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cldx-20230630x10q.htm"/>
        <w:bookmarkStart w:id="1" w:name="kscldx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bookmarkStart w:id="2" w:name="_b629cb41_76c7_4912_9a56_0dd992f52571"/>
      <w:bookmarkEnd w:id="2"/>
      <w:r>
        <w:rPr>
          <w:rFonts w:ascii="Times New Roman;Times;serif" w:hAnsi="Times New Roman;Times;serif"/>
          <w:b/>
          <w:sz w:val="36"/>
        </w:rPr>
        <w:t>UNITED STATES</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QUARTERLY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center"/>
        <w:rPr/>
      </w:pPr>
      <w:r>
        <w:rPr/>
        <w:t>​</w:t>
      </w:r>
    </w:p>
    <w:p>
      <w:pPr>
        <w:pStyle w:val="TextBody"/>
        <w:pBdr/>
        <w:bidi w:val="0"/>
        <w:spacing w:before="0" w:after="0"/>
        <w:ind w:left="360" w:right="0" w:hanging="360"/>
        <w:jc w:val="left"/>
        <w:rPr/>
      </w:pPr>
      <w:r>
        <w:rPr/>
        <w:t>☐   </w:t>
      </w:r>
      <w:r>
        <w:rPr>
          <w:rFonts w:ascii="Times New Roman;Times;serif" w:hAnsi="Times New Roman;Times;serif"/>
          <w:b/>
          <w:sz w:val="20"/>
        </w:rPr>
        <w:t>TRANSITION REPORT PURSUANT TO SECTION 13 OR 15(d) OF THE SECURITIES EXCHANGE ACT OF 1934</w:t>
      </w:r>
    </w:p>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000-15006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CELLDEX THERAPEUTICS,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rJ-gDJ07PEWPbff1CbPpag_1_2"/>
      <w:bookmarkStart w:id="4" w:name="Tc_9fucHwkrTUOWVFUeb7slwA_1_0"/>
      <w:bookmarkStart w:id="5" w:name="Tc_ivsitGSA00iORUXXZLX2Bw_0_2"/>
      <w:bookmarkStart w:id="6" w:name="_d0dca1c5_cfbd_41ee_8326_31c42ddd1388"/>
      <w:bookmarkStart w:id="7" w:name="Tc_rJ-gDJ07PEWPbff1CbPpag_1_2"/>
      <w:bookmarkStart w:id="8" w:name="Tc_9fucHwkrTUOWVFUeb7slwA_1_0"/>
      <w:bookmarkStart w:id="9" w:name="Tc_ivsitGSA00iORUXXZLX2Bw_0_2"/>
      <w:bookmarkStart w:id="10" w:name="_d0dca1c5_cfbd_41ee_8326_31c42ddd1388"/>
      <w:bookmarkEnd w:id="7"/>
      <w:bookmarkEnd w:id="8"/>
      <w:bookmarkEnd w:id="9"/>
      <w:bookmarkEnd w:id="10"/>
    </w:p>
    <w:tbl>
      <w:tblPr>
        <w:tblW w:w="8323" w:type="dxa"/>
        <w:jc w:val="left"/>
        <w:tblInd w:w="0" w:type="dxa"/>
        <w:tblLayout w:type="fixed"/>
        <w:tblCellMar>
          <w:top w:w="0" w:type="dxa"/>
          <w:left w:w="0" w:type="dxa"/>
          <w:bottom w:w="0" w:type="dxa"/>
          <w:right w:w="0" w:type="dxa"/>
        </w:tblCellMar>
      </w:tblPr>
      <w:tblGrid>
        <w:gridCol w:w="4966"/>
        <w:gridCol w:w="326"/>
        <w:gridCol w:w="3031"/>
      </w:tblGrid>
      <w:tr>
        <w:trPr/>
        <w:tc>
          <w:tcPr>
            <w:tcW w:w="49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26" w:type="dxa"/>
            <w:tcBorders/>
            <w:vAlign w:val="center"/>
          </w:tcPr>
          <w:p>
            <w:pPr>
              <w:pStyle w:val="TableContents"/>
              <w:bidi w:val="0"/>
              <w:spacing w:before="0" w:after="0"/>
              <w:ind w:left="0" w:right="0" w:hanging="0"/>
              <w:jc w:val="left"/>
              <w:rPr/>
            </w:pPr>
            <w:r>
              <w:rPr/>
              <w:t>    </w:t>
            </w:r>
          </w:p>
        </w:tc>
        <w:tc>
          <w:tcPr>
            <w:tcW w:w="30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 13-3191702</w:t>
            </w:r>
          </w:p>
        </w:tc>
      </w:tr>
      <w:tr>
        <w:trPr/>
        <w:tc>
          <w:tcPr>
            <w:tcW w:w="49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or organization)</w:t>
            </w:r>
          </w:p>
        </w:tc>
        <w:tc>
          <w:tcPr>
            <w:tcW w:w="326" w:type="dxa"/>
            <w:tcBorders/>
            <w:vAlign w:val="center"/>
          </w:tcPr>
          <w:p>
            <w:pPr>
              <w:pStyle w:val="TableContents"/>
              <w:bidi w:val="0"/>
              <w:spacing w:before="0" w:after="0"/>
              <w:ind w:left="0" w:right="0" w:hanging="0"/>
              <w:jc w:val="left"/>
              <w:rPr/>
            </w:pPr>
            <w:r>
              <w:rPr/>
              <w:t>​</w:t>
            </w:r>
          </w:p>
        </w:tc>
        <w:tc>
          <w:tcPr>
            <w:tcW w:w="30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Perryville III Building, 53 Frontage Road, Suite 220, Hampton, New Jersey</w:t>
      </w:r>
      <w:r>
        <w:rPr>
          <w:rFonts w:ascii="Times New Roman;Times;serif" w:hAnsi="Times New Roman;Times;serif"/>
          <w:sz w:val="20"/>
        </w:rPr>
        <w:t xml:space="preserve"> </w:t>
      </w:r>
      <w:r>
        <w:rPr>
          <w:rFonts w:ascii="Times New Roman;Times;serif" w:hAnsi="Times New Roman;Times;serif"/>
          <w:b/>
          <w:sz w:val="20"/>
        </w:rPr>
        <w:t>08827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(908) 200-7500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1" w:name="Tc_mII2YH7BaUKgBVo38xrSNg_1_4"/>
      <w:bookmarkStart w:id="12" w:name="Tc_3qE7lMgIU0e8BzG8Z0AhTg_0_4"/>
      <w:bookmarkStart w:id="13" w:name="Tc_kEt5He9-gEmcrk1_yRojPA_0_2"/>
      <w:bookmarkStart w:id="14" w:name="Tc_5YqLnCfPWEq9EPYpT5soWg_0_0"/>
      <w:bookmarkStart w:id="15" w:name="_82a80587_f51d_4628_93ff_43a2d7fa089f"/>
      <w:bookmarkStart w:id="16" w:name="Tc_mII2YH7BaUKgBVo38xrSNg_1_4"/>
      <w:bookmarkStart w:id="17" w:name="Tc_3qE7lMgIU0e8BzG8Z0AhTg_0_4"/>
      <w:bookmarkStart w:id="18" w:name="Tc_kEt5He9-gEmcrk1_yRojPA_0_2"/>
      <w:bookmarkStart w:id="19" w:name="Tc_5YqLnCfPWEq9EPYpT5soWg_0_0"/>
      <w:bookmarkStart w:id="20" w:name="_82a80587_f51d_4628_93ff_43a2d7fa089f"/>
      <w:bookmarkEnd w:id="16"/>
      <w:bookmarkEnd w:id="17"/>
      <w:bookmarkEnd w:id="18"/>
      <w:bookmarkEnd w:id="19"/>
      <w:bookmarkEnd w:id="20"/>
    </w:p>
    <w:tbl>
      <w:tblPr>
        <w:tblW w:w="8425" w:type="dxa"/>
        <w:jc w:val="left"/>
        <w:tblInd w:w="0" w:type="dxa"/>
        <w:tblLayout w:type="fixed"/>
        <w:tblCellMar>
          <w:top w:w="0" w:type="dxa"/>
          <w:left w:w="0" w:type="dxa"/>
          <w:bottom w:w="28" w:type="dxa"/>
          <w:right w:w="0" w:type="dxa"/>
        </w:tblCellMar>
      </w:tblPr>
      <w:tblGrid>
        <w:gridCol w:w="2731"/>
        <w:gridCol w:w="326"/>
        <w:gridCol w:w="1561"/>
        <w:gridCol w:w="326"/>
        <w:gridCol w:w="3481"/>
      </w:tblGrid>
      <w:tr>
        <w:trPr/>
        <w:tc>
          <w:tcPr>
            <w:tcW w:w="27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156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26" w:type="dxa"/>
            <w:tcBorders/>
            <w:tcMar>
              <w:bottom w:w="0" w:type="dxa"/>
            </w:tcMar>
            <w:vAlign w:val="center"/>
          </w:tcPr>
          <w:p>
            <w:pPr>
              <w:pStyle w:val="TableContents"/>
              <w:bidi w:val="0"/>
              <w:spacing w:before="0" w:after="0"/>
              <w:ind w:left="0" w:right="0" w:hanging="0"/>
              <w:jc w:val="center"/>
              <w:rPr/>
            </w:pPr>
            <w:r>
              <w:rPr/>
              <w:t>    </w:t>
            </w:r>
          </w:p>
        </w:tc>
        <w:tc>
          <w:tcPr>
            <w:tcW w:w="348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273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CLDX</w:t>
            </w:r>
          </w:p>
        </w:tc>
        <w:tc>
          <w:tcPr>
            <w:tcW w:w="326" w:type="dxa"/>
            <w:tcBorders/>
            <w:tcMar>
              <w:bottom w:w="0" w:type="dxa"/>
            </w:tcMar>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Calibri;Helvetica;sans-serif" w:hAnsi="Calibri;Helvetica;sans-serif"/>
                <w:sz w:val="22"/>
              </w:rPr>
            </w:pPr>
            <w:r>
              <w:rPr>
                <w:rFonts w:ascii="Times New Roman;Times;serif" w:hAnsi="Times New Roman;Times;serif"/>
                <w:sz w:val="20"/>
              </w:rPr>
              <w:t>Nasdaq</w:t>
            </w:r>
            <w:r>
              <w:rPr>
                <w:rFonts w:ascii="Calibri;Helvetica;sans-serif" w:hAnsi="Calibri;Helvetica;sans-serif"/>
                <w:sz w:val="22"/>
              </w:rPr>
              <w:t xml:space="preserve"> </w:t>
            </w:r>
            <w:r>
              <w:rPr>
                <w:rFonts w:ascii="Times New Roman;Times;serif" w:hAnsi="Times New Roman;Times;serif"/>
                <w:sz w:val="20"/>
              </w:rPr>
              <w:t>Capital Market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pPr>
      <w:r>
        <w:rPr/>
        <w:t>​</w:t>
      </w:r>
    </w:p>
    <w:tbl>
      <w:tblPr>
        <w:tblW w:w="5053" w:type="dxa"/>
        <w:jc w:val="left"/>
        <w:tblInd w:w="0" w:type="dxa"/>
        <w:tblLayout w:type="fixed"/>
        <w:tblCellMar>
          <w:top w:w="0" w:type="dxa"/>
          <w:left w:w="0" w:type="dxa"/>
          <w:bottom w:w="0" w:type="dxa"/>
          <w:right w:w="0" w:type="dxa"/>
        </w:tblCellMar>
      </w:tblPr>
      <w:tblGrid>
        <w:gridCol w:w="2146"/>
        <w:gridCol w:w="326"/>
        <w:gridCol w:w="2581"/>
      </w:tblGrid>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326" w:type="dxa"/>
            <w:tcBorders/>
            <w:vAlign w:val="center"/>
          </w:tcPr>
          <w:p>
            <w:pPr>
              <w:pStyle w:val="TableContents"/>
              <w:bidi w:val="0"/>
              <w:spacing w:before="0" w:after="0"/>
              <w:ind w:left="0" w:right="0" w:hanging="0"/>
              <w:jc w:val="left"/>
              <w:rPr/>
            </w:pPr>
            <w:r>
              <w:rPr/>
              <w:t>    </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1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326" w:type="dxa"/>
            <w:tcBorders/>
            <w:vAlign w:val="center"/>
          </w:tcPr>
          <w:p>
            <w:pPr>
              <w:pStyle w:val="TableContents"/>
              <w:bidi w:val="0"/>
              <w:spacing w:before="0" w:after="0"/>
              <w:ind w:left="0" w:right="0" w:hanging="0"/>
              <w:jc w:val="center"/>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1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5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As of July 31, 2023, 47,260,804 shares of common stock, $.001 par value per share, were outstanding.</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21" w:name="_59411b48_31a4_4168_ab70_f4ef418f28e2"/>
      <w:bookmarkEnd w:id="21"/>
      <w:r>
        <w:rPr>
          <w:rFonts w:ascii="Times New Roman;Times;serif" w:hAnsi="Times New Roman;Times;serif"/>
          <w:b/>
          <w:sz w:val="20"/>
        </w:rPr>
        <w:t>CELLDEX THERAPEUTICS, INC.</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2023</w:t>
      </w:r>
    </w:p>
    <w:p>
      <w:pPr>
        <w:pStyle w:val="TextBody"/>
        <w:bidi w:val="0"/>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Table of Contents</w:t>
      </w:r>
    </w:p>
    <w:p>
      <w:pPr>
        <w:pStyle w:val="TextBody"/>
        <w:bidi w:val="0"/>
        <w:spacing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68"/>
        <w:gridCol w:w="326"/>
        <w:gridCol w:w="511"/>
      </w:tblGrid>
      <w:tr>
        <w:trPr/>
        <w:tc>
          <w:tcPr>
            <w:tcW w:w="9368"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right"/>
              <w:rPr/>
            </w:pPr>
            <w:r>
              <w:rPr/>
              <w:t>    </w:t>
            </w:r>
          </w:p>
        </w:tc>
        <w:tc>
          <w:tcPr>
            <w:tcW w:w="51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368" w:type="dxa"/>
            <w:tcBorders/>
            <w:shd w:fill="CCEEFF" w:val="clear"/>
            <w:vAlign w:val="center"/>
          </w:tcPr>
          <w:p>
            <w:pPr>
              <w:pStyle w:val="TableContents"/>
              <w:pBdr/>
              <w:bidi w:val="0"/>
              <w:spacing w:before="0" w:after="0"/>
              <w:ind w:left="0" w:right="0" w:hanging="0"/>
              <w:jc w:val="left"/>
              <w:rPr/>
            </w:pPr>
            <w:hyperlink w:anchor="PARTIFINANCIALINFORMATION_722713">
              <w:r>
                <w:rPr>
                  <w:rStyle w:val="InternetLink"/>
                  <w:rFonts w:ascii="Times New Roman;Times;serif" w:hAnsi="Times New Roman;Times;serif"/>
                  <w:b/>
                  <w:i w:val="false"/>
                  <w:caps w:val="false"/>
                  <w:smallCaps w:val="false"/>
                  <w:sz w:val="20"/>
                </w:rPr>
                <w:t>Part I — Financial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top w:val="single" w:sz="8"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unaudited">
              <w:r>
                <w:rPr>
                  <w:rStyle w:val="InternetLink"/>
                  <w:rFonts w:ascii="Times New Roman;Times;serif" w:hAnsi="Times New Roman;Times;serif"/>
                  <w:b w:val="false"/>
                  <w:i w:val="false"/>
                  <w:caps w:val="false"/>
                  <w:smallCaps w:val="false"/>
                  <w:sz w:val="20"/>
                </w:rPr>
                <w:t>Item 1. Unaudited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BALANCESHEETS_81311">
              <w:r>
                <w:rPr>
                  <w:rStyle w:val="InternetLink"/>
                  <w:rFonts w:ascii="Times New Roman;Times;serif" w:hAnsi="Times New Roman;Times;serif"/>
                  <w:b w:val="false"/>
                  <w:i w:val="false"/>
                  <w:caps w:val="false"/>
                  <w:smallCaps w:val="false"/>
                  <w:sz w:val="20"/>
                </w:rPr>
                <w:t>Condensed Consolidated Balance Sheets at June 30, 2023 and December 31, 2022</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68" w:type="dxa"/>
            <w:tcBorders/>
            <w:vAlign w:val="center"/>
          </w:tcPr>
          <w:p>
            <w:pPr>
              <w:pStyle w:val="TableContents"/>
              <w:pBdr/>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2023 and 2022</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68" w:type="dxa"/>
            <w:tcBorders/>
            <w:shd w:fill="CCEEFF" w:val="clear"/>
            <w:vAlign w:val="center"/>
          </w:tcPr>
          <w:p>
            <w:pPr>
              <w:pStyle w:val="TableContents"/>
              <w:pBdr/>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2023 and 2022</w:t>
              </w:r>
            </w:hyperlink>
          </w:p>
        </w:tc>
        <w:tc>
          <w:tcPr>
            <w:tcW w:w="326" w:type="dxa"/>
            <w:tcBorders/>
            <w:shd w:fill="CCEEFF" w:val="clear"/>
            <w:vAlign w:val="center"/>
          </w:tcPr>
          <w:p>
            <w:pPr>
              <w:pStyle w:val="TableContents"/>
              <w:bidi w:val="0"/>
              <w:spacing w:before="0" w:after="0"/>
              <w:ind w:left="0" w:right="0" w:hanging="0"/>
              <w:jc w:val="right"/>
              <w:rPr/>
            </w:pPr>
            <w:r>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68" w:type="dxa"/>
            <w:tcBorders/>
            <w:vAlign w:val="center"/>
          </w:tcPr>
          <w:p>
            <w:pPr>
              <w:pStyle w:val="TableContents"/>
              <w:pBdr/>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68" w:type="dxa"/>
            <w:tcBorders/>
            <w:shd w:fill="CCEEFF" w:val="clear"/>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9368"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368" w:type="dxa"/>
            <w:tcBorders/>
            <w:shd w:fill="CCEEFF" w:val="clear"/>
            <w:vAlign w:val="center"/>
          </w:tcPr>
          <w:p>
            <w:pPr>
              <w:pStyle w:val="TableContents"/>
              <w:pBdr/>
              <w:bidi w:val="0"/>
              <w:spacing w:before="0" w:after="0"/>
              <w:ind w:left="0" w:right="0" w:hanging="0"/>
              <w:jc w:val="left"/>
              <w:rPr/>
            </w:pPr>
            <w:hyperlink w:anchor="Item4ControlsandProcedures_940929">
              <w:r>
                <w:rPr>
                  <w:rStyle w:val="InternetLink"/>
                  <w:rFonts w:ascii="Times New Roman;Times;serif" w:hAnsi="Times New Roman;Times;serif"/>
                  <w:b w:val="false"/>
                  <w:i w:val="false"/>
                  <w:caps w:val="false"/>
                  <w:smallCaps w:val="false"/>
                  <w:sz w:val="20"/>
                </w:rPr>
                <w:t>Item 4. Controls and Procedures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368" w:type="dxa"/>
            <w:tcBorders/>
            <w:vAlign w:val="center"/>
          </w:tcPr>
          <w:p>
            <w:pPr>
              <w:pStyle w:val="TableContents"/>
              <w:pBdr/>
              <w:bidi w:val="0"/>
              <w:spacing w:before="0" w:after="0"/>
              <w:ind w:left="0" w:right="0" w:hanging="0"/>
              <w:jc w:val="left"/>
              <w:rPr/>
            </w:pPr>
            <w:hyperlink w:anchor="Item5OtherInformation_222271">
              <w:r>
                <w:rPr>
                  <w:rStyle w:val="InternetLink"/>
                  <w:rFonts w:ascii="Times New Roman;Times;serif" w:hAnsi="Times New Roman;Times;serif"/>
                  <w:b w:val="false"/>
                  <w:i w:val="false"/>
                  <w:caps w:val="false"/>
                  <w:smallCaps w:val="false"/>
                  <w:sz w:val="20"/>
                </w:rPr>
                <w:t>Item 5. Other Information</w:t>
              </w:r>
            </w:hyperlink>
          </w:p>
        </w:tc>
        <w:tc>
          <w:tcPr>
            <w:tcW w:w="326" w:type="dxa"/>
            <w:tcBorders/>
            <w:vAlign w:val="center"/>
          </w:tcPr>
          <w:p>
            <w:pPr>
              <w:pStyle w:val="TableContents"/>
              <w:bidi w:val="0"/>
              <w:spacing w:before="0" w:after="0"/>
              <w:ind w:left="0" w:right="0" w:hanging="0"/>
              <w:jc w:val="righ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9368" w:type="dxa"/>
            <w:tcBorders/>
            <w:shd w:fill="CCEEFF" w:val="clear"/>
            <w:vAlign w:val="center"/>
          </w:tcPr>
          <w:p>
            <w:pPr>
              <w:pStyle w:val="TableContents"/>
              <w:pBdr/>
              <w:bidi w:val="0"/>
              <w:spacing w:before="0" w:after="0"/>
              <w:ind w:left="0" w:right="0" w:hanging="0"/>
              <w:jc w:val="left"/>
              <w:rPr/>
            </w:pPr>
            <w:hyperlink w:anchor="PARTIIOTHERINFORMATION_770534">
              <w:r>
                <w:rPr>
                  <w:rStyle w:val="InternetLink"/>
                  <w:rFonts w:ascii="Times New Roman;Times;serif" w:hAnsi="Times New Roman;Times;serif"/>
                  <w:b/>
                  <w:i w:val="false"/>
                  <w:caps w:val="false"/>
                  <w:smallCaps w:val="false"/>
                  <w:sz w:val="20"/>
                </w:rPr>
                <w:t>Part II — Other Information</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9368" w:type="dxa"/>
            <w:tcBorders/>
            <w:vAlign w:val="center"/>
          </w:tcPr>
          <w:p>
            <w:pPr>
              <w:pStyle w:val="TableContents"/>
              <w:pBdr/>
              <w:bidi w:val="0"/>
              <w:spacing w:before="0" w:after="0"/>
              <w:ind w:left="0" w:right="0" w:hanging="0"/>
              <w:jc w:val="left"/>
              <w:rPr/>
            </w:pPr>
            <w:hyperlink w:anchor="Item1ARiskFactors_750939">
              <w:r>
                <w:rPr>
                  <w:rStyle w:val="InternetLink"/>
                  <w:rFonts w:ascii="Times New Roman;Times;serif" w:hAnsi="Times New Roman;Times;serif"/>
                  <w:b w:val="false"/>
                  <w:i w:val="false"/>
                  <w:caps w:val="false"/>
                  <w:smallCaps w:val="false"/>
                  <w:sz w:val="20"/>
                </w:rPr>
                <w:t>Item 1A. Risk Factors</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9368" w:type="dxa"/>
            <w:tcBorders/>
            <w:shd w:fill="CCEEFF" w:val="clear"/>
            <w:vAlign w:val="center"/>
          </w:tcPr>
          <w:p>
            <w:pPr>
              <w:pStyle w:val="TableContents"/>
              <w:pBdr/>
              <w:bidi w:val="0"/>
              <w:spacing w:before="0" w:after="0"/>
              <w:ind w:left="0" w:right="0" w:hanging="0"/>
              <w:jc w:val="left"/>
              <w:rPr/>
            </w:pPr>
            <w:hyperlink w:anchor="Item6Exhibits_142075">
              <w:r>
                <w:rPr>
                  <w:rStyle w:val="InternetLink"/>
                  <w:rFonts w:ascii="Times New Roman;Times;serif" w:hAnsi="Times New Roman;Times;serif"/>
                  <w:b w:val="false"/>
                  <w:i w:val="false"/>
                  <w:caps w:val="false"/>
                  <w:smallCaps w:val="false"/>
                  <w:sz w:val="20"/>
                </w:rPr>
                <w:t>Item 6. Exhibits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368" w:type="dxa"/>
            <w:tcBorders/>
            <w:vAlign w:val="center"/>
          </w:tcPr>
          <w:p>
            <w:pPr>
              <w:pStyle w:val="TableContents"/>
              <w:pBdr/>
              <w:bidi w:val="0"/>
              <w:spacing w:before="0" w:after="0"/>
              <w:ind w:left="0" w:right="0" w:hanging="0"/>
              <w:jc w:val="left"/>
              <w:rPr/>
            </w:pPr>
            <w:hyperlink w:anchor="Exhibitindex">
              <w:r>
                <w:rPr>
                  <w:rStyle w:val="InternetLink"/>
                  <w:rFonts w:ascii="Times New Roman;Times;serif" w:hAnsi="Times New Roman;Times;serif"/>
                  <w:b/>
                  <w:i w:val="false"/>
                  <w:caps w:val="false"/>
                  <w:smallCaps w:val="false"/>
                  <w:sz w:val="20"/>
                </w:rPr>
                <w:t>Exhibit Index</w:t>
              </w:r>
            </w:hyperlink>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9368" w:type="dxa"/>
            <w:tcBorders/>
            <w:shd w:fill="CCEEFF" w:val="clear"/>
            <w:vAlign w:val="center"/>
          </w:tcPr>
          <w:p>
            <w:pPr>
              <w:pStyle w:val="TableContents"/>
              <w:pBdr/>
              <w:bidi w:val="0"/>
              <w:spacing w:before="0" w:after="0"/>
              <w:ind w:left="0" w:right="0" w:hanging="0"/>
              <w:jc w:val="left"/>
              <w:rPr/>
            </w:pPr>
            <w:hyperlink w:anchor="SIGNATURES_933986">
              <w:r>
                <w:rPr>
                  <w:rStyle w:val="InternetLink"/>
                  <w:rFonts w:ascii="Times New Roman;Times;serif" w:hAnsi="Times New Roman;Times;serif"/>
                  <w:b/>
                  <w:i w:val="false"/>
                  <w:caps w:val="false"/>
                  <w:smallCaps w:val="false"/>
                  <w:sz w:val="20"/>
                </w:rPr>
                <w:t>Signatures</w:t>
              </w:r>
            </w:hyperlink>
          </w:p>
        </w:tc>
        <w:tc>
          <w:tcPr>
            <w:tcW w:w="3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3" w:name="PARTIFINANCIALINFORMATION_722713"/>
      <w:bookmarkStart w:id="24" w:name="_bc13f64f_c74f_4bb5_bc92_6aaf721fa630"/>
      <w:bookmarkEnd w:id="23"/>
      <w:bookmarkEnd w:id="2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bookmarkStart w:id="25" w:name="Item1unaudited"/>
      <w:bookmarkEnd w:id="25"/>
      <w:r>
        <w:rPr>
          <w:rFonts w:ascii="Times New Roman;Times;serif" w:hAnsi="Times New Roman;Times;serif"/>
          <w:b/>
          <w:sz w:val="20"/>
        </w:rPr>
        <w:t>Item 1. Unaudited Financial Statements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6" w:name="CONDENSEDCONSOLIDATEDBALANCESHEETS_81311"/>
      <w:bookmarkEnd w:id="2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7" w:name="Tc_Ql81ndLodUGdkiXBSUJPUA_33_5"/>
      <w:bookmarkStart w:id="28" w:name="Tc_gs1xQ0WiLEmgKSM9Td7v1Q_33_2"/>
      <w:bookmarkStart w:id="29" w:name="Tc_ViWGnR1jIUyRVzi1HIxebg_33_0"/>
      <w:bookmarkStart w:id="30" w:name="Tc_zELl3dLO9UWcar6XNdt1jA_32_0"/>
      <w:bookmarkStart w:id="31" w:name="Tc_3JsYFyOlBUGJAo5raoFXTA_31_0"/>
      <w:bookmarkStart w:id="32" w:name="Tc_XRV2Bw1vTkuz9XHCiJwmIg_30_0"/>
      <w:bookmarkStart w:id="33" w:name="Tc_jUhTYv3wkUa2rnJkVITEJA_29_0"/>
      <w:bookmarkStart w:id="34" w:name="Tc_VXElqjNx3E6wnf6cp9yROQ_28_0"/>
      <w:bookmarkStart w:id="35" w:name="Tc_VWZBXxjx4kmF9dTE5CETfQ_27_3"/>
      <w:bookmarkStart w:id="36" w:name="_f945a6e9_adcb_42d0_94c6_056dbb4cce1a_3"/>
      <w:bookmarkStart w:id="37" w:name="_f945a6e9_adcb_42d0_94c6_056dbb4cce1a_2"/>
      <w:bookmarkStart w:id="38" w:name="_f945a6e9_adcb_42d0_94c6_056dbb4cce1a"/>
      <w:bookmarkStart w:id="39" w:name="Tc_TvfZxY1TVka9ki9N67ajyQ_27_0"/>
      <w:bookmarkStart w:id="40" w:name="Tc_KGdPSOtvoECn_sohycgtmg_26_0"/>
      <w:bookmarkStart w:id="41" w:name="Tc_eJ4SNwZAYkKLYlhYL8aTzA_25_0"/>
      <w:bookmarkStart w:id="42" w:name="Tc_3FvpbxihekyvJPxvbBkHJg_24_0"/>
      <w:bookmarkStart w:id="43" w:name="Tc_3mYJ5UGhpUah8CxWy0NAGw_23_0"/>
      <w:bookmarkStart w:id="44" w:name="Tc_9kArufXcj0mgsR5211YalA_22_0"/>
      <w:bookmarkStart w:id="45" w:name="Tc_RBFgwjRujEe7z-5qMqDklg_21_0"/>
      <w:bookmarkStart w:id="46" w:name="Tc_0xF5lV55zUicHAIzePjKAA_20_0"/>
      <w:bookmarkStart w:id="47" w:name="Tc_gNriWKIVU0mFDZCo6Z0rNw_19_0"/>
      <w:bookmarkStart w:id="48" w:name="Tc_U_MwbxTMDEOkq5T4cPrcYA_18_0"/>
      <w:bookmarkStart w:id="49" w:name="Tc_caOhGfA7C0KNepC_T11jzQ_17_5"/>
      <w:bookmarkStart w:id="50" w:name="Tc_qpaqgCM7TEa8k8dqni6PcQ_17_2"/>
      <w:bookmarkStart w:id="51" w:name="Tc_dNcKp78pgEOdJzrlocYEeQ_17_0"/>
      <w:bookmarkStart w:id="52" w:name="Tc_G_k12CW0VECqH2wssfdRyQ_16_0"/>
      <w:bookmarkStart w:id="53" w:name="Tc_ANv0zvfG0EulrLpz1M6CfA_15_0"/>
      <w:bookmarkStart w:id="54" w:name="Tc_p_WqY-r2XEKXKRB_-r5btA_14_5"/>
      <w:bookmarkStart w:id="55" w:name="Tc_vIiF8FS4aE-Qhc6SsGk9ig_14_2"/>
      <w:bookmarkStart w:id="56" w:name="Tc_KSPMpOfy902HjEmsR3bwPQ_14_0"/>
      <w:bookmarkStart w:id="57" w:name="Tc_CjGsGwg-UkqJXBU_0DU2hA_13_0"/>
      <w:bookmarkStart w:id="58" w:name="Tc_22zHIEDQskqGTEhhn8gS_Q_12_0"/>
      <w:bookmarkStart w:id="59" w:name="Tc_JUfSgpXB0k68O0AgdpIavw_11_0"/>
      <w:bookmarkStart w:id="60" w:name="Tc_9vn0BaB-CUa5dr3QW7GDUg_10_0"/>
      <w:bookmarkStart w:id="61" w:name="Tc_Yh9lL5GhNkqg80BumxF8nw_9_0"/>
      <w:bookmarkStart w:id="62" w:name="Tc_YNKpVepfc0-T4XYLK20U7Q_8_0"/>
      <w:bookmarkStart w:id="63" w:name="Tc_nGhMVrqkRUyb1ePZoX0Ktg_7_0"/>
      <w:bookmarkStart w:id="64" w:name="Tc_b2TRSXsrhkilI3A6MLHgCA_6_0"/>
      <w:bookmarkStart w:id="65" w:name="Tc_OxwXqrn6nkCeGraHm7rMJQ_5_5"/>
      <w:bookmarkStart w:id="66" w:name="Tc_3b3tOSWuEUqUuGWT4JxzQQ_5_2"/>
      <w:bookmarkStart w:id="67" w:name="Tc_q9Vo6A8jJEKUTGOOX3kUMA_5_0"/>
      <w:bookmarkStart w:id="68" w:name="Tc_Ea8QX2hJFkOCpRjxsHF80Q_4_0"/>
      <w:bookmarkStart w:id="69" w:name="Tc_WQONjx7qbUGdPLj311OSmQ_3_0"/>
      <w:bookmarkStart w:id="70" w:name="Tc_6mFrLyrcT0GGbpNDSMfLyg_2_5"/>
      <w:bookmarkStart w:id="71" w:name="Tc_G9PKYrEuNEqiO0d-_y6E2w_2_2"/>
      <w:bookmarkStart w:id="72" w:name="Tc_e4iG7ys50kWpNVUd8SUB7Q_1_5"/>
      <w:bookmarkStart w:id="73" w:name="Tc_l1Mq6MuOekKKNfW8thZRiA_1_2"/>
      <w:bookmarkStart w:id="74" w:name="_1a341834_fd8a_4ea7_8c9b_3c4775173112"/>
      <w:bookmarkStart w:id="75" w:name="Tc_Ql81ndLodUGdkiXBSUJPUA_33_5"/>
      <w:bookmarkStart w:id="76" w:name="Tc_gs1xQ0WiLEmgKSM9Td7v1Q_33_2"/>
      <w:bookmarkStart w:id="77" w:name="Tc_ViWGnR1jIUyRVzi1HIxebg_33_0"/>
      <w:bookmarkStart w:id="78" w:name="Tc_zELl3dLO9UWcar6XNdt1jA_32_0"/>
      <w:bookmarkStart w:id="79" w:name="Tc_3JsYFyOlBUGJAo5raoFXTA_31_0"/>
      <w:bookmarkStart w:id="80" w:name="Tc_XRV2Bw1vTkuz9XHCiJwmIg_30_0"/>
      <w:bookmarkStart w:id="81" w:name="Tc_jUhTYv3wkUa2rnJkVITEJA_29_0"/>
      <w:bookmarkStart w:id="82" w:name="Tc_VXElqjNx3E6wnf6cp9yROQ_28_0"/>
      <w:bookmarkStart w:id="83" w:name="Tc_VWZBXxjx4kmF9dTE5CETfQ_27_3"/>
      <w:bookmarkStart w:id="84" w:name="_f945a6e9_adcb_42d0_94c6_056dbb4cce1a_3"/>
      <w:bookmarkStart w:id="85" w:name="_f945a6e9_adcb_42d0_94c6_056dbb4cce1a_2"/>
      <w:bookmarkStart w:id="86" w:name="_f945a6e9_adcb_42d0_94c6_056dbb4cce1a"/>
      <w:bookmarkStart w:id="87" w:name="Tc_TvfZxY1TVka9ki9N67ajyQ_27_0"/>
      <w:bookmarkStart w:id="88" w:name="Tc_KGdPSOtvoECn_sohycgtmg_26_0"/>
      <w:bookmarkStart w:id="89" w:name="Tc_eJ4SNwZAYkKLYlhYL8aTzA_25_0"/>
      <w:bookmarkStart w:id="90" w:name="Tc_3FvpbxihekyvJPxvbBkHJg_24_0"/>
      <w:bookmarkStart w:id="91" w:name="Tc_3mYJ5UGhpUah8CxWy0NAGw_23_0"/>
      <w:bookmarkStart w:id="92" w:name="Tc_9kArufXcj0mgsR5211YalA_22_0"/>
      <w:bookmarkStart w:id="93" w:name="Tc_RBFgwjRujEe7z-5qMqDklg_21_0"/>
      <w:bookmarkStart w:id="94" w:name="Tc_0xF5lV55zUicHAIzePjKAA_20_0"/>
      <w:bookmarkStart w:id="95" w:name="Tc_gNriWKIVU0mFDZCo6Z0rNw_19_0"/>
      <w:bookmarkStart w:id="96" w:name="Tc_U_MwbxTMDEOkq5T4cPrcYA_18_0"/>
      <w:bookmarkStart w:id="97" w:name="Tc_caOhGfA7C0KNepC_T11jzQ_17_5"/>
      <w:bookmarkStart w:id="98" w:name="Tc_qpaqgCM7TEa8k8dqni6PcQ_17_2"/>
      <w:bookmarkStart w:id="99" w:name="Tc_dNcKp78pgEOdJzrlocYEeQ_17_0"/>
      <w:bookmarkStart w:id="100" w:name="Tc_G_k12CW0VECqH2wssfdRyQ_16_0"/>
      <w:bookmarkStart w:id="101" w:name="Tc_ANv0zvfG0EulrLpz1M6CfA_15_0"/>
      <w:bookmarkStart w:id="102" w:name="Tc_p_WqY-r2XEKXKRB_-r5btA_14_5"/>
      <w:bookmarkStart w:id="103" w:name="Tc_vIiF8FS4aE-Qhc6SsGk9ig_14_2"/>
      <w:bookmarkStart w:id="104" w:name="Tc_KSPMpOfy902HjEmsR3bwPQ_14_0"/>
      <w:bookmarkStart w:id="105" w:name="Tc_CjGsGwg-UkqJXBU_0DU2hA_13_0"/>
      <w:bookmarkStart w:id="106" w:name="Tc_22zHIEDQskqGTEhhn8gS_Q_12_0"/>
      <w:bookmarkStart w:id="107" w:name="Tc_JUfSgpXB0k68O0AgdpIavw_11_0"/>
      <w:bookmarkStart w:id="108" w:name="Tc_9vn0BaB-CUa5dr3QW7GDUg_10_0"/>
      <w:bookmarkStart w:id="109" w:name="Tc_Yh9lL5GhNkqg80BumxF8nw_9_0"/>
      <w:bookmarkStart w:id="110" w:name="Tc_YNKpVepfc0-T4XYLK20U7Q_8_0"/>
      <w:bookmarkStart w:id="111" w:name="Tc_nGhMVrqkRUyb1ePZoX0Ktg_7_0"/>
      <w:bookmarkStart w:id="112" w:name="Tc_b2TRSXsrhkilI3A6MLHgCA_6_0"/>
      <w:bookmarkStart w:id="113" w:name="Tc_OxwXqrn6nkCeGraHm7rMJQ_5_5"/>
      <w:bookmarkStart w:id="114" w:name="Tc_3b3tOSWuEUqUuGWT4JxzQQ_5_2"/>
      <w:bookmarkStart w:id="115" w:name="Tc_q9Vo6A8jJEKUTGOOX3kUMA_5_0"/>
      <w:bookmarkStart w:id="116" w:name="Tc_Ea8QX2hJFkOCpRjxsHF80Q_4_0"/>
      <w:bookmarkStart w:id="117" w:name="Tc_WQONjx7qbUGdPLj311OSmQ_3_0"/>
      <w:bookmarkStart w:id="118" w:name="Tc_6mFrLyrcT0GGbpNDSMfLyg_2_5"/>
      <w:bookmarkStart w:id="119" w:name="Tc_G9PKYrEuNEqiO0d-_y6E2w_2_2"/>
      <w:bookmarkStart w:id="120" w:name="Tc_e4iG7ys50kWpNVUd8SUB7Q_1_5"/>
      <w:bookmarkStart w:id="121" w:name="Tc_l1Mq6MuOekKKNfW8thZRiA_1_2"/>
      <w:bookmarkStart w:id="122" w:name="_1a341834_fd8a_4ea7_8c9b_3c4775173112"/>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052"/>
        <w:gridCol w:w="326"/>
        <w:gridCol w:w="211"/>
        <w:gridCol w:w="1016"/>
        <w:gridCol w:w="326"/>
        <w:gridCol w:w="211"/>
        <w:gridCol w:w="1063"/>
      </w:tblGrid>
      <w:tr>
        <w:trPr/>
        <w:tc>
          <w:tcPr>
            <w:tcW w:w="7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478020" cy="175260"/>
                      <wp:effectExtent l="0" t="0" r="0" b="0"/>
                      <wp:wrapNone/>
                      <wp:docPr id="1" name="Frame1"/>
                      <a:graphic xmlns:a="http://schemas.openxmlformats.org/drawingml/2006/main">
                        <a:graphicData uri="http://schemas.microsoft.com/office/word/2010/wordprocessingShape">
                          <wps:wsp>
                            <wps:cNvSpPr txBox="1"/>
                            <wps:spPr>
                              <a:xfrm>
                                <a:off x="0" y="0"/>
                                <a:ext cx="447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5160" cy="175260"/>
                      <wp:effectExtent l="0" t="0" r="0" b="0"/>
                      <wp:wrapNone/>
                      <wp:docPr id="4" name="Frame4"/>
                      <a:graphic xmlns:a="http://schemas.openxmlformats.org/drawingml/2006/main">
                        <a:graphicData uri="http://schemas.microsoft.com/office/word/2010/wordprocessingShape">
                          <wps:wsp>
                            <wps:cNvSpPr txBox="1"/>
                            <wps:spPr>
                              <a:xfrm>
                                <a:off x="0" y="0"/>
                                <a:ext cx="64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75005" cy="175260"/>
                      <wp:effectExtent l="0" t="0" r="0" b="0"/>
                      <wp:wrapNone/>
                      <wp:docPr id="7" name="Frame7"/>
                      <a:graphic xmlns:a="http://schemas.openxmlformats.org/drawingml/2006/main">
                        <a:graphicData uri="http://schemas.microsoft.com/office/word/2010/wordprocessingShape">
                          <wps:wsp>
                            <wps:cNvSpPr txBox="1"/>
                            <wps:spPr>
                              <a:xfrm>
                                <a:off x="0" y="0"/>
                                <a:ext cx="675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127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05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and other receivables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Prepaid and other current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12,394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current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264,820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317,693</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Property and equipment, net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4,001</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27,190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assets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assets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299,311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352,735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3,340</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12,835</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long-term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18,610</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2,588</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5,333</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21,774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26,531</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63" w:type="dxa"/>
            <w:tcBorders/>
            <w:vAlign w:val="center"/>
          </w:tcPr>
          <w:p>
            <w:pPr>
              <w:pStyle w:val="TableContents"/>
              <w:bidi w:val="0"/>
              <w:spacing w:before="0" w:after="0"/>
              <w:ind w:left="0" w:right="0" w:hanging="0"/>
              <w:jc w:val="right"/>
              <w:rPr/>
            </w:pPr>
            <w:r>
              <w:rPr/>
              <w:t>​</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preferred stock, $.01 par value; 3,000,000 shares authorized; no shares issued and outstanding at June 30, 2023 and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pPr>
            <w:r>
              <w:rPr/>
              <w:t>—</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$.001 par value; 297,000,000 shares authorized; 47,253,813 and 47,200,695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June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1,580,829</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(1,255,932)</w:t>
            </w:r>
          </w:p>
        </w:tc>
      </w:tr>
      <w:tr>
        <w:trPr/>
        <w:tc>
          <w:tcPr>
            <w:tcW w:w="705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277,537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326,204</w:t>
            </w:r>
          </w:p>
        </w:tc>
      </w:tr>
      <w:tr>
        <w:trPr/>
        <w:tc>
          <w:tcPr>
            <w:tcW w:w="705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299,311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352,735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3" w:name="_b40a2459_ef98_4da6_9a36_28c5275513b5"/>
      <w:bookmarkEnd w:id="123"/>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124" w:name="CONDENSEDCONSOLIDATEDSTATEMENTSOFOPERATI"/>
      <w:bookmarkEnd w:id="124"/>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25" w:name="Tc_b9bDEU2Ixk6JnFrtcuS44w_27_11"/>
      <w:bookmarkStart w:id="126" w:name="Tc_DIvnua88AU2gQOilpAzmow_27_8"/>
      <w:bookmarkStart w:id="127" w:name="Tc_Dwnsfa8PKkeXwsIefiekJQ_27_5"/>
      <w:bookmarkStart w:id="128" w:name="Tc_R8bdLNXyYEWPYCSm1HNQJg_27_2"/>
      <w:bookmarkStart w:id="129" w:name="Tc_e77nSlsD80-0YlM8o3I6lQ_27_0"/>
      <w:bookmarkStart w:id="130" w:name="Tc_PDtEpCsyMUWjeXjLmgJ5KQ_26_0"/>
      <w:bookmarkStart w:id="131" w:name="Tc_l1Ra_1L5LkWJpCXKHRIUXA_25_0"/>
      <w:bookmarkStart w:id="132" w:name="Tc_14HAwf15Ak2xoH2xFGVCRw_24_11"/>
      <w:bookmarkStart w:id="133" w:name="Tc_c6_SXnF9oEWKgvj7zJLHMg_24_8"/>
      <w:bookmarkStart w:id="134" w:name="Tc_M-1Z9P9GD0CMl8HkhzY2nA_24_5"/>
      <w:bookmarkStart w:id="135" w:name="Tc_7Q3Z76CW7UWqGtYMlSkI6Q_24_2"/>
      <w:bookmarkStart w:id="136" w:name="Tc_tRDOqRczUEKFDAoku36hyg_24_0"/>
      <w:bookmarkStart w:id="137" w:name="Tc_vnY1k88pVE-R9zd5P-Tw_g_23_0"/>
      <w:bookmarkStart w:id="138" w:name="Tc_tXdyDtpGQ0SWjtNquGOqXQ_21_0"/>
      <w:bookmarkStart w:id="139" w:name="Tc_4_0tLIjjlk69oMpA15xLhA_19_0"/>
      <w:bookmarkStart w:id="140" w:name="Tc_GPbja_4xsk6k20Snt0AUQg_17_11"/>
      <w:bookmarkStart w:id="141" w:name="Tc_-2Whtr3oKU-sZYbMqiFhHQ_17_8"/>
      <w:bookmarkStart w:id="142" w:name="Tc_7ZCkq50KNkCex1nydropVw_17_5"/>
      <w:bookmarkStart w:id="143" w:name="Tc_uLjayUIH6kebOrWGhIV1ew_17_2"/>
      <w:bookmarkStart w:id="144" w:name="Tc_z_zjC5d7zU2uQX_IQYq4sQ_17_0"/>
      <w:bookmarkStart w:id="145" w:name="Tc_OGC8sV6aDk-uTjQPRSCFog_16_0"/>
      <w:bookmarkStart w:id="146" w:name="Tc_Mxiw8cxhWEWyj35U6NUDRQ_15_0"/>
      <w:bookmarkStart w:id="147" w:name="Tc_ZQR-S0RfjkS1Ua5NJuPpbw_13_0"/>
      <w:bookmarkStart w:id="148" w:name="Tc_4VvWROJ-eEybO84mgxVSrA_12_9"/>
      <w:bookmarkStart w:id="149" w:name="Tc_WUhFtplNJ0CqKd3Vk_IrEw_12_3"/>
      <w:bookmarkStart w:id="150" w:name="Tc_y0f-3sEdeUq6uwXlkeP98A_12_0"/>
      <w:bookmarkStart w:id="151" w:name="Tc_-ZjuU6vLP065NUTSXGVD8A_11_9"/>
      <w:bookmarkStart w:id="152" w:name="Tc_CCwSmYlnAkOZfRRfMieDUg_11_3"/>
      <w:bookmarkStart w:id="153" w:name="Tc_twrS-D2Oq0q99kiQrw_Hnw_11_0"/>
      <w:bookmarkStart w:id="154" w:name="Tc_oOGjS3hJZ0SV_If9s4zFRg_10_0"/>
      <w:bookmarkStart w:id="155" w:name="Tc_Lc3OuDKvk0WjvSwKGa86pw_9_0"/>
      <w:bookmarkStart w:id="156" w:name="Tc__p16K1GQgEiLHD1PfYIE_w_8_0"/>
      <w:bookmarkStart w:id="157" w:name="Tc_TWlkGGdnNkC1yRhz86IrbQ_6_0"/>
      <w:bookmarkStart w:id="158" w:name="Tc_BCjFEM-wOEGn0qpuwtoaVQ_5_0"/>
      <w:bookmarkStart w:id="159" w:name="Tc_GVP64fZEEE6jSRyhTTNQeQ_4_11"/>
      <w:bookmarkStart w:id="160" w:name="Tc_O3bSJQgQBUumaweYSw8PUg_4_8"/>
      <w:bookmarkStart w:id="161" w:name="Tc_vZ2sTF7SyU6pdKESIzPOgA_4_6"/>
      <w:bookmarkStart w:id="162" w:name="Tc_CeQincA0sUmD2QXG134c7Q_4_5"/>
      <w:bookmarkStart w:id="163" w:name="Tc_JvsVh7e9ik2S85NrzX2PRQ_4_2"/>
      <w:bookmarkStart w:id="164" w:name="Tc_5q1j5nQJjE2exHg8UOD9eQ_4_0"/>
      <w:bookmarkStart w:id="165" w:name="Tc_4J76YR3Fv0WIpIgFOzDt0g_3_0"/>
      <w:bookmarkStart w:id="166" w:name="Tc_k3hVep17fUCUtNFYT-sXQA_2_11"/>
      <w:bookmarkStart w:id="167" w:name="Tc_riVM1Bu1X0mXRu6LXgunjQ_2_8"/>
      <w:bookmarkStart w:id="168" w:name="Tc_G6inbr2cAUqbHUfAzaFunQ_2_5"/>
      <w:bookmarkStart w:id="169" w:name="Tc_zRqEp97qakiPpNWzVm6-Tw_2_2"/>
      <w:bookmarkStart w:id="170" w:name="Tc_eGeJec2vm0-xyuZyG0mruA_1_11"/>
      <w:bookmarkStart w:id="171" w:name="Tc_8aYt-hf7gUijmU6SDxa_0g_1_8"/>
      <w:bookmarkStart w:id="172" w:name="Tc_Nglf_aKqmkWYE1mS8kj1DA_1_5"/>
      <w:bookmarkStart w:id="173" w:name="Tc_chyGU9PbjUuP8QbAbq4ucw_1_2"/>
      <w:bookmarkStart w:id="174" w:name="_be025735_3b83_40c4_9871_d6089a032502"/>
      <w:bookmarkStart w:id="175" w:name="_d47e9ac3_9f28_48aa_849a_efdebf818e65"/>
      <w:bookmarkStart w:id="176" w:name="Tc_b9bDEU2Ixk6JnFrtcuS44w_27_11"/>
      <w:bookmarkStart w:id="177" w:name="Tc_DIvnua88AU2gQOilpAzmow_27_8"/>
      <w:bookmarkStart w:id="178" w:name="Tc_Dwnsfa8PKkeXwsIefiekJQ_27_5"/>
      <w:bookmarkStart w:id="179" w:name="Tc_R8bdLNXyYEWPYCSm1HNQJg_27_2"/>
      <w:bookmarkStart w:id="180" w:name="Tc_e77nSlsD80-0YlM8o3I6lQ_27_0"/>
      <w:bookmarkStart w:id="181" w:name="Tc_PDtEpCsyMUWjeXjLmgJ5KQ_26_0"/>
      <w:bookmarkStart w:id="182" w:name="Tc_l1Ra_1L5LkWJpCXKHRIUXA_25_0"/>
      <w:bookmarkStart w:id="183" w:name="Tc_14HAwf15Ak2xoH2xFGVCRw_24_11"/>
      <w:bookmarkStart w:id="184" w:name="Tc_c6_SXnF9oEWKgvj7zJLHMg_24_8"/>
      <w:bookmarkStart w:id="185" w:name="Tc_M-1Z9P9GD0CMl8HkhzY2nA_24_5"/>
      <w:bookmarkStart w:id="186" w:name="Tc_7Q3Z76CW7UWqGtYMlSkI6Q_24_2"/>
      <w:bookmarkStart w:id="187" w:name="Tc_tRDOqRczUEKFDAoku36hyg_24_0"/>
      <w:bookmarkStart w:id="188" w:name="Tc_vnY1k88pVE-R9zd5P-Tw_g_23_0"/>
      <w:bookmarkStart w:id="189" w:name="Tc_tXdyDtpGQ0SWjtNquGOqXQ_21_0"/>
      <w:bookmarkStart w:id="190" w:name="Tc_4_0tLIjjlk69oMpA15xLhA_19_0"/>
      <w:bookmarkStart w:id="191" w:name="Tc_GPbja_4xsk6k20Snt0AUQg_17_11"/>
      <w:bookmarkStart w:id="192" w:name="Tc_-2Whtr3oKU-sZYbMqiFhHQ_17_8"/>
      <w:bookmarkStart w:id="193" w:name="Tc_7ZCkq50KNkCex1nydropVw_17_5"/>
      <w:bookmarkStart w:id="194" w:name="Tc_uLjayUIH6kebOrWGhIV1ew_17_2"/>
      <w:bookmarkStart w:id="195" w:name="Tc_z_zjC5d7zU2uQX_IQYq4sQ_17_0"/>
      <w:bookmarkStart w:id="196" w:name="Tc_OGC8sV6aDk-uTjQPRSCFog_16_0"/>
      <w:bookmarkStart w:id="197" w:name="Tc_Mxiw8cxhWEWyj35U6NUDRQ_15_0"/>
      <w:bookmarkStart w:id="198" w:name="Tc_ZQR-S0RfjkS1Ua5NJuPpbw_13_0"/>
      <w:bookmarkStart w:id="199" w:name="Tc_4VvWROJ-eEybO84mgxVSrA_12_9"/>
      <w:bookmarkStart w:id="200" w:name="Tc_WUhFtplNJ0CqKd3Vk_IrEw_12_3"/>
      <w:bookmarkStart w:id="201" w:name="Tc_y0f-3sEdeUq6uwXlkeP98A_12_0"/>
      <w:bookmarkStart w:id="202" w:name="Tc_-ZjuU6vLP065NUTSXGVD8A_11_9"/>
      <w:bookmarkStart w:id="203" w:name="Tc_CCwSmYlnAkOZfRRfMieDUg_11_3"/>
      <w:bookmarkStart w:id="204" w:name="Tc_twrS-D2Oq0q99kiQrw_Hnw_11_0"/>
      <w:bookmarkStart w:id="205" w:name="Tc_oOGjS3hJZ0SV_If9s4zFRg_10_0"/>
      <w:bookmarkStart w:id="206" w:name="Tc_Lc3OuDKvk0WjvSwKGa86pw_9_0"/>
      <w:bookmarkStart w:id="207" w:name="Tc__p16K1GQgEiLHD1PfYIE_w_8_0"/>
      <w:bookmarkStart w:id="208" w:name="Tc_TWlkGGdnNkC1yRhz86IrbQ_6_0"/>
      <w:bookmarkStart w:id="209" w:name="Tc_BCjFEM-wOEGn0qpuwtoaVQ_5_0"/>
      <w:bookmarkStart w:id="210" w:name="Tc_GVP64fZEEE6jSRyhTTNQeQ_4_11"/>
      <w:bookmarkStart w:id="211" w:name="Tc_O3bSJQgQBUumaweYSw8PUg_4_8"/>
      <w:bookmarkStart w:id="212" w:name="Tc_vZ2sTF7SyU6pdKESIzPOgA_4_6"/>
      <w:bookmarkStart w:id="213" w:name="Tc_CeQincA0sUmD2QXG134c7Q_4_5"/>
      <w:bookmarkStart w:id="214" w:name="Tc_JvsVh7e9ik2S85NrzX2PRQ_4_2"/>
      <w:bookmarkStart w:id="215" w:name="Tc_5q1j5nQJjE2exHg8UOD9eQ_4_0"/>
      <w:bookmarkStart w:id="216" w:name="Tc_4J76YR3Fv0WIpIgFOzDt0g_3_0"/>
      <w:bookmarkStart w:id="217" w:name="Tc_k3hVep17fUCUtNFYT-sXQA_2_11"/>
      <w:bookmarkStart w:id="218" w:name="Tc_riVM1Bu1X0mXRu6LXgunjQ_2_8"/>
      <w:bookmarkStart w:id="219" w:name="Tc_G6inbr2cAUqbHUfAzaFunQ_2_5"/>
      <w:bookmarkStart w:id="220" w:name="Tc_zRqEp97qakiPpNWzVm6-Tw_2_2"/>
      <w:bookmarkStart w:id="221" w:name="Tc_eGeJec2vm0-xyuZyG0mruA_1_11"/>
      <w:bookmarkStart w:id="222" w:name="Tc_8aYt-hf7gUijmU6SDxa_0g_1_8"/>
      <w:bookmarkStart w:id="223" w:name="Tc_Nglf_aKqmkWYE1mS8kj1DA_1_5"/>
      <w:bookmarkStart w:id="224" w:name="Tc_chyGU9PbjUuP8QbAbq4ucw_1_2"/>
      <w:bookmarkStart w:id="225" w:name="_be025735_3b83_40c4_9871_d6089a032502"/>
      <w:bookmarkStart w:id="226" w:name="_d47e9ac3_9f28_48aa_849a_efdebf818e6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4348"/>
        <w:gridCol w:w="326"/>
        <w:gridCol w:w="250"/>
        <w:gridCol w:w="877"/>
        <w:gridCol w:w="326"/>
        <w:gridCol w:w="250"/>
        <w:gridCol w:w="877"/>
        <w:gridCol w:w="326"/>
        <w:gridCol w:w="250"/>
        <w:gridCol w:w="876"/>
        <w:gridCol w:w="326"/>
        <w:gridCol w:w="249"/>
        <w:gridCol w:w="924"/>
      </w:tblGrid>
      <w:tr>
        <w:trPr/>
        <w:tc>
          <w:tcPr>
            <w:tcW w:w="4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760980" cy="175260"/>
                      <wp:effectExtent l="0" t="0" r="0" b="0"/>
                      <wp:wrapNone/>
                      <wp:docPr id="8" name="Frame8"/>
                      <a:graphic xmlns:a="http://schemas.openxmlformats.org/drawingml/2006/main">
                        <a:graphicData uri="http://schemas.microsoft.com/office/word/2010/wordprocessingShape">
                          <wps:wsp>
                            <wps:cNvSpPr txBox="1"/>
                            <wps:spPr>
                              <a:xfrm>
                                <a:off x="0" y="0"/>
                                <a:ext cx="276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58750" cy="175260"/>
                      <wp:effectExtent l="0" t="0" r="0" b="0"/>
                      <wp:wrapNone/>
                      <wp:docPr id="10" name="Frame1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6895" cy="175260"/>
                      <wp:effectExtent l="0" t="0" r="0" b="0"/>
                      <wp:wrapNone/>
                      <wp:docPr id="11" name="Frame11"/>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58750" cy="175260"/>
                      <wp:effectExtent l="0" t="0" r="0" b="0"/>
                      <wp:wrapNone/>
                      <wp:docPr id="13" name="Frame1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56895" cy="175260"/>
                      <wp:effectExtent l="0" t="0" r="0" b="0"/>
                      <wp:wrapNone/>
                      <wp:docPr id="14" name="Frame14"/>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58750" cy="175260"/>
                      <wp:effectExtent l="0" t="0" r="0" b="0"/>
                      <wp:wrapNone/>
                      <wp:docPr id="16" name="Frame1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56260" cy="175260"/>
                      <wp:effectExtent l="0" t="0" r="0" b="0"/>
                      <wp:wrapNone/>
                      <wp:docPr id="17" name="Frame17"/>
                      <a:graphic xmlns:a="http://schemas.openxmlformats.org/drawingml/2006/main">
                        <a:graphicData uri="http://schemas.microsoft.com/office/word/2010/wordprocessingShape">
                          <wps:wsp>
                            <wps:cNvSpPr txBox="1"/>
                            <wps:spPr>
                              <a:xfrm>
                                <a:off x="0" y="0"/>
                                <a:ext cx="556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58115" cy="175260"/>
                      <wp:effectExtent l="0" t="0" r="0" b="0"/>
                      <wp:wrapNone/>
                      <wp:docPr id="19" name="Frame1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6740" cy="175260"/>
                      <wp:effectExtent l="0" t="0" r="0" b="0"/>
                      <wp:wrapNone/>
                      <wp:docPr id="20" name="Frame20"/>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vAlign w:val="center"/>
          </w:tcPr>
          <w:p>
            <w:pPr>
              <w:pStyle w:val="TableContents"/>
              <w:bidi w:val="0"/>
              <w:spacing w:before="0" w:after="0"/>
              <w:ind w:left="0" w:right="0" w:hanging="0"/>
              <w:jc w:val="left"/>
              <w:rPr/>
            </w:pPr>
            <w:r>
              <w:rPr/>
              <w:t>​</w:t>
            </w:r>
          </w:p>
        </w:tc>
        <w:tc>
          <w:tcPr>
            <w:tcW w:w="112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w:t>
              <w:br/>
              <w:t>Ended</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c>
          <w:tcPr>
            <w:tcW w:w="326" w:type="dxa"/>
            <w:tcBorders/>
            <w:vAlign w:val="center"/>
          </w:tcPr>
          <w:p>
            <w:pPr>
              <w:pStyle w:val="TableContents"/>
              <w:bidi w:val="0"/>
              <w:spacing w:before="0" w:after="0"/>
              <w:ind w:left="0" w:right="0" w:hanging="0"/>
              <w:jc w:val="left"/>
              <w:rPr/>
            </w:pPr>
            <w:r>
              <w:rPr/>
              <w:t>​</w:t>
            </w:r>
          </w:p>
        </w:tc>
        <w:tc>
          <w:tcPr>
            <w:tcW w:w="117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r>
      <w:tr>
        <w:trPr/>
        <w:tc>
          <w:tcPr>
            <w:tcW w:w="4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1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r>
      <w:tr>
        <w:trPr/>
        <w:tc>
          <w:tcPr>
            <w:tcW w:w="434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37,786</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13,861</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14,066</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66,910</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59,990</w:t>
            </w:r>
          </w:p>
        </w:tc>
      </w:tr>
      <w:tr>
        <w:trPr/>
        <w:tc>
          <w:tcPr>
            <w:tcW w:w="4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(36,396)</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(65,676)</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92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(59,653)</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(59,054)</w:t>
            </w:r>
          </w:p>
        </w:tc>
      </w:tr>
      <w:tr>
        <w:trPr/>
        <w:tc>
          <w:tcPr>
            <w:tcW w:w="4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r>
      <w:tr>
        <w:trPr/>
        <w:tc>
          <w:tcPr>
            <w:tcW w:w="4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calculating basic and diluted net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46,759</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47,233</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46,749</w:t>
            </w:r>
          </w:p>
        </w:tc>
      </w:tr>
      <w:tr>
        <w:trPr/>
        <w:tc>
          <w:tcPr>
            <w:tcW w:w="43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w:t>
            </w:r>
          </w:p>
        </w:tc>
        <w:tc>
          <w:tcPr>
            <w:tcW w:w="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924" w:type="dxa"/>
            <w:tcBorders/>
            <w:vAlign w:val="center"/>
          </w:tcPr>
          <w:p>
            <w:pPr>
              <w:pStyle w:val="TableContents"/>
              <w:bidi w:val="0"/>
              <w:spacing w:before="0" w:after="0"/>
              <w:ind w:left="0" w:right="0" w:hanging="0"/>
              <w:jc w:val="right"/>
              <w:rPr/>
            </w:pPr>
            <w:r>
              <w:rPr/>
              <w:t>​</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loss </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(59,054)</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w:t>
            </w:r>
          </w:p>
        </w:tc>
        <w:tc>
          <w:tcPr>
            <w:tcW w:w="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924" w:type="dxa"/>
            <w:tcBorders/>
            <w:shd w:fill="CCEEFF" w:val="clear"/>
            <w:vAlign w:val="center"/>
          </w:tcPr>
          <w:p>
            <w:pPr>
              <w:pStyle w:val="TableContents"/>
              <w:bidi w:val="0"/>
              <w:spacing w:before="0" w:after="0"/>
              <w:ind w:left="0" w:right="0" w:hanging="0"/>
              <w:jc w:val="right"/>
              <w:rPr/>
            </w:pPr>
            <w:r>
              <w:rPr/>
              <w:t>​</w:t>
            </w:r>
          </w:p>
        </w:tc>
      </w:tr>
      <w:tr>
        <w:trPr/>
        <w:tc>
          <w:tcPr>
            <w:tcW w:w="43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gain on marketable securities</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w:t>
            </w:r>
          </w:p>
        </w:tc>
      </w:tr>
      <w:tr>
        <w:trPr/>
        <w:tc>
          <w:tcPr>
            <w:tcW w:w="43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(30,553)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(36,533)</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(59,051)</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(61,365)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7" w:name="_90ac0324_67e7_401b_8c69_04cddbf76961"/>
      <w:bookmarkEnd w:id="227"/>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228" w:name="CONDENSEDCONSOLIDATEDSTATEMENTSOFCASHFLO"/>
      <w:bookmarkEnd w:id="228"/>
      <w:r>
        <w:rPr>
          <w:rFonts w:ascii="Times New Roman;Times;serif" w:hAnsi="Times New Roman;Times;serif"/>
          <w:b/>
          <w:sz w:val="20"/>
        </w:rPr>
        <w:t>CONDENSED CONSOLIDATED STATEMENTS OF CASH FLOW</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9" w:name="Tc_QrQwaXArK0WEQ7t6AKxgsw_33_5"/>
      <w:bookmarkStart w:id="230" w:name="Tc_p-6glrBjbEqxA-wHaELmGA_33_2"/>
      <w:bookmarkStart w:id="231" w:name="Tc_j0h1pHyz80Sd8ZPJ6DpXiQ_33_0"/>
      <w:bookmarkStart w:id="232" w:name="Tc_XVE_iI8IlEC8SppDIbkxNw_32_0"/>
      <w:bookmarkStart w:id="233" w:name="Tc_7QwyJHB6q0O2tYr24-5mUw_30_5"/>
      <w:bookmarkStart w:id="234" w:name="Tc_DS0aOuRjD02GhX8dZ_o5UQ_30_2"/>
      <w:bookmarkStart w:id="235" w:name="Tc_RKr40eCg4k-ZXNM_KdrjBA_30_0"/>
      <w:bookmarkStart w:id="236" w:name="Tc_AfrnTqY9Dku0EanKzAf-jg_29_0"/>
      <w:bookmarkStart w:id="237" w:name="Tc_5fZL7xa3Q0K742foWUBQEg_28_0"/>
      <w:bookmarkStart w:id="238" w:name="Tc_znHPrEqWWUuY7Xc6UGIORA_26_0"/>
      <w:bookmarkStart w:id="239" w:name="Tc_VY5lJp1l5UKKdzZSGCAgiA_25_0"/>
      <w:bookmarkStart w:id="240" w:name="Tc_71dCnz-_IUi23O1LvjzqkA_24_0"/>
      <w:bookmarkStart w:id="241" w:name="Tc_pCc_Vdfqc0CeRGDczKgdZQ_23_0"/>
      <w:bookmarkStart w:id="242" w:name="Tc_imqP8JFS70ykJ9XtmVU1BQ_22_0"/>
      <w:bookmarkStart w:id="243" w:name="Tc_NUlm-J1Sz0ud-B5GVf1Pog_21_0"/>
      <w:bookmarkStart w:id="244" w:name="Tc_qo0Y9dfqXEeo52-_l88-9A_20_0"/>
      <w:bookmarkStart w:id="245" w:name="Tc_FQR242luWUKgT-39G4-bJA_19_0"/>
      <w:bookmarkStart w:id="246" w:name="Tc_BtXQ31s60ESQ2Vo7-43HAA_18_0"/>
      <w:bookmarkStart w:id="247" w:name="Tc_lvsAvp0NFUySp41MTDNAwg_17_0"/>
      <w:bookmarkStart w:id="248" w:name="Tc_F_yHDN6HVkeL4giXvdMVnw_16_0"/>
      <w:bookmarkStart w:id="249" w:name="Tc_IlLGsqNYREabK-5RcW7vBA_15_0"/>
      <w:bookmarkStart w:id="250" w:name="Tc_559QhiOfiEiVbSuCCc7ssg_14_6"/>
      <w:bookmarkStart w:id="251" w:name="Tc_w78DnSwzZU6aTYR-YEQYag_14_0"/>
      <w:bookmarkStart w:id="252" w:name="Tc_YLK_fqmwi0mIsXTmdy3SXA_13_0"/>
      <w:bookmarkStart w:id="253" w:name="Tc_zcRcA8wVfEeYZJR9HlE3_Q_12_0"/>
      <w:bookmarkStart w:id="254" w:name="Tc_bReWhad4-0i-zO-0HgHRhA_11_0"/>
      <w:bookmarkStart w:id="255" w:name="Tc_6I-VdsKFj0qDjwZAmBeZPQ_10_0"/>
      <w:bookmarkStart w:id="256" w:name="Tc_ktEUYMunmkqZGhQYrc4Z4w_9_0"/>
      <w:bookmarkStart w:id="257" w:name="Tc_ZqFjqzt8MUupxd9BDKLUWg_8_0"/>
      <w:bookmarkStart w:id="258" w:name="Tc_6q1PauWAmUGLw2nMmy0Psw_7_0"/>
      <w:bookmarkStart w:id="259" w:name="Tc_zJZNCacoTEaOzWjHjRZuFQ_6_0"/>
      <w:bookmarkStart w:id="260" w:name="Tc_uQIah1-Ct0qVE_9foUD1xQ_5_0"/>
      <w:bookmarkStart w:id="261" w:name="Tc_1TU3aI0r8ky59gBHrh7bCw_4_5"/>
      <w:bookmarkStart w:id="262" w:name="Tc_0blcLj6vtkmVsO5mNIdhVg_4_2"/>
      <w:bookmarkStart w:id="263" w:name="Tc_xjzDTtTi0E23j5aCK7PPGA_4_0"/>
      <w:bookmarkStart w:id="264" w:name="Tc_0aisyq8eb0q-mNikosh4Kw_3_0"/>
      <w:bookmarkStart w:id="265" w:name="Tc_xePLfb2xYkGLCqkrSKelYw_2_5"/>
      <w:bookmarkStart w:id="266" w:name="Tc__kpdtAuM4Eq8ap3xkpafbw_2_2"/>
      <w:bookmarkStart w:id="267" w:name="Tc_FujFtiB-QUCWdZIaEuwLGg_1_5"/>
      <w:bookmarkStart w:id="268" w:name="Tc_gHbSwKTvK0-0N4zUqbNqGA_1_2"/>
      <w:bookmarkStart w:id="269" w:name="_9e3ec5e0_fdee_406d_b344_18d05335fb2c"/>
      <w:bookmarkStart w:id="270" w:name="Tc_QrQwaXArK0WEQ7t6AKxgsw_33_5"/>
      <w:bookmarkStart w:id="271" w:name="Tc_p-6glrBjbEqxA-wHaELmGA_33_2"/>
      <w:bookmarkStart w:id="272" w:name="Tc_j0h1pHyz80Sd8ZPJ6DpXiQ_33_0"/>
      <w:bookmarkStart w:id="273" w:name="Tc_XVE_iI8IlEC8SppDIbkxNw_32_0"/>
      <w:bookmarkStart w:id="274" w:name="Tc_7QwyJHB6q0O2tYr24-5mUw_30_5"/>
      <w:bookmarkStart w:id="275" w:name="Tc_DS0aOuRjD02GhX8dZ_o5UQ_30_2"/>
      <w:bookmarkStart w:id="276" w:name="Tc_RKr40eCg4k-ZXNM_KdrjBA_30_0"/>
      <w:bookmarkStart w:id="277" w:name="Tc_AfrnTqY9Dku0EanKzAf-jg_29_0"/>
      <w:bookmarkStart w:id="278" w:name="Tc_5fZL7xa3Q0K742foWUBQEg_28_0"/>
      <w:bookmarkStart w:id="279" w:name="Tc_znHPrEqWWUuY7Xc6UGIORA_26_0"/>
      <w:bookmarkStart w:id="280" w:name="Tc_VY5lJp1l5UKKdzZSGCAgiA_25_0"/>
      <w:bookmarkStart w:id="281" w:name="Tc_71dCnz-_IUi23O1LvjzqkA_24_0"/>
      <w:bookmarkStart w:id="282" w:name="Tc_pCc_Vdfqc0CeRGDczKgdZQ_23_0"/>
      <w:bookmarkStart w:id="283" w:name="Tc_imqP8JFS70ykJ9XtmVU1BQ_22_0"/>
      <w:bookmarkStart w:id="284" w:name="Tc_NUlm-J1Sz0ud-B5GVf1Pog_21_0"/>
      <w:bookmarkStart w:id="285" w:name="Tc_qo0Y9dfqXEeo52-_l88-9A_20_0"/>
      <w:bookmarkStart w:id="286" w:name="Tc_FQR242luWUKgT-39G4-bJA_19_0"/>
      <w:bookmarkStart w:id="287" w:name="Tc_BtXQ31s60ESQ2Vo7-43HAA_18_0"/>
      <w:bookmarkStart w:id="288" w:name="Tc_lvsAvp0NFUySp41MTDNAwg_17_0"/>
      <w:bookmarkStart w:id="289" w:name="Tc_F_yHDN6HVkeL4giXvdMVnw_16_0"/>
      <w:bookmarkStart w:id="290" w:name="Tc_IlLGsqNYREabK-5RcW7vBA_15_0"/>
      <w:bookmarkStart w:id="291" w:name="Tc_559QhiOfiEiVbSuCCc7ssg_14_6"/>
      <w:bookmarkStart w:id="292" w:name="Tc_w78DnSwzZU6aTYR-YEQYag_14_0"/>
      <w:bookmarkStart w:id="293" w:name="Tc_YLK_fqmwi0mIsXTmdy3SXA_13_0"/>
      <w:bookmarkStart w:id="294" w:name="Tc_zcRcA8wVfEeYZJR9HlE3_Q_12_0"/>
      <w:bookmarkStart w:id="295" w:name="Tc_bReWhad4-0i-zO-0HgHRhA_11_0"/>
      <w:bookmarkStart w:id="296" w:name="Tc_6I-VdsKFj0qDjwZAmBeZPQ_10_0"/>
      <w:bookmarkStart w:id="297" w:name="Tc_ktEUYMunmkqZGhQYrc4Z4w_9_0"/>
      <w:bookmarkStart w:id="298" w:name="Tc_ZqFjqzt8MUupxd9BDKLUWg_8_0"/>
      <w:bookmarkStart w:id="299" w:name="Tc_6q1PauWAmUGLw2nMmy0Psw_7_0"/>
      <w:bookmarkStart w:id="300" w:name="Tc_zJZNCacoTEaOzWjHjRZuFQ_6_0"/>
      <w:bookmarkStart w:id="301" w:name="Tc_uQIah1-Ct0qVE_9foUD1xQ_5_0"/>
      <w:bookmarkStart w:id="302" w:name="Tc_1TU3aI0r8ky59gBHrh7bCw_4_5"/>
      <w:bookmarkStart w:id="303" w:name="Tc_0blcLj6vtkmVsO5mNIdhVg_4_2"/>
      <w:bookmarkStart w:id="304" w:name="Tc_xjzDTtTi0E23j5aCK7PPGA_4_0"/>
      <w:bookmarkStart w:id="305" w:name="Tc_0aisyq8eb0q-mNikosh4Kw_3_0"/>
      <w:bookmarkStart w:id="306" w:name="Tc_xePLfb2xYkGLCqkrSKelYw_2_5"/>
      <w:bookmarkStart w:id="307" w:name="Tc__kpdtAuM4Eq8ap3xkpafbw_2_2"/>
      <w:bookmarkStart w:id="308" w:name="Tc_FujFtiB-QUCWdZIaEuwLGg_1_5"/>
      <w:bookmarkStart w:id="309" w:name="Tc_gHbSwKTvK0-0N4zUqbNqGA_1_2"/>
      <w:bookmarkStart w:id="310" w:name="_9e3ec5e0_fdee_406d_b344_18d05335fb2c"/>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tbl>
      <w:tblPr>
        <w:tblW w:w="8980" w:type="dxa"/>
        <w:jc w:val="left"/>
        <w:tblInd w:w="0" w:type="dxa"/>
        <w:tblLayout w:type="fixed"/>
        <w:tblCellMar>
          <w:top w:w="0" w:type="dxa"/>
          <w:left w:w="0" w:type="dxa"/>
          <w:bottom w:w="0" w:type="dxa"/>
          <w:right w:w="0" w:type="dxa"/>
        </w:tblCellMar>
      </w:tblPr>
      <w:tblGrid>
        <w:gridCol w:w="6031"/>
        <w:gridCol w:w="326"/>
        <w:gridCol w:w="225"/>
        <w:gridCol w:w="901"/>
        <w:gridCol w:w="326"/>
        <w:gridCol w:w="238"/>
        <w:gridCol w:w="933"/>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29685" cy="175260"/>
                      <wp:effectExtent l="0" t="0" r="0" b="0"/>
                      <wp:wrapNone/>
                      <wp:docPr id="21" name="Frame21"/>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2875" cy="175260"/>
                      <wp:effectExtent l="0" t="0" r="0" b="0"/>
                      <wp:wrapNone/>
                      <wp:docPr id="23" name="Frame2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2135" cy="175260"/>
                      <wp:effectExtent l="0" t="0" r="0" b="0"/>
                      <wp:wrapNone/>
                      <wp:docPr id="24" name="Frame24"/>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51130" cy="175260"/>
                      <wp:effectExtent l="0" t="0" r="0" b="0"/>
                      <wp:wrapNone/>
                      <wp:docPr id="26" name="Frame26"/>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92455" cy="175260"/>
                      <wp:effectExtent l="0" t="0" r="0" b="0"/>
                      <wp:wrapNone/>
                      <wp:docPr id="27" name="Frame27"/>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c>
          <w:tcPr>
            <w:tcW w:w="32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w:t>
              <w:br/>
              <w:t>Ended</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(59,054)</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and premium of marketable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sale or disposal of assets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9,557</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6,607</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and other receivables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(8,485)</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Litigation settlement payable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3,886</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(55,765)</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(46,778)</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210,150</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106,756</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(155,422)</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(69,847)</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(1,248)</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53,733</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35,661</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stock from employee benefit plans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(1,205)</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9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(10,742)</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29,429</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39,143</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28,224</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28,401</w:t>
            </w:r>
          </w:p>
        </w:tc>
      </w:tr>
      <w:tr>
        <w:trPr/>
        <w:tc>
          <w:tcPr>
            <w:tcW w:w="603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pPr>
            <w:r>
              <w:rPr/>
              <w:t>​</w:t>
            </w:r>
          </w:p>
        </w:tc>
      </w:tr>
      <w:tr>
        <w:trPr/>
        <w:tc>
          <w:tcPr>
            <w:tcW w:w="603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Non-cash investing activities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w:t>
            </w:r>
          </w:p>
        </w:tc>
        <w:tc>
          <w:tcPr>
            <w:tcW w:w="933"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construction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11" w:name="_59b7f169_36f8_4f49_a754_d08190615c13"/>
      <w:bookmarkEnd w:id="311"/>
      <w:r>
        <w:rPr>
          <w:rFonts w:ascii="Times New Roman;Times;serif" w:hAnsi="Times New Roman;Times;serif"/>
          <w:b/>
          <w:sz w:val="20"/>
        </w:rPr>
        <w:t>CELLDEX THERAPEUTICS, INC.</w:t>
      </w:r>
    </w:p>
    <w:p>
      <w:pPr>
        <w:pStyle w:val="TextBody"/>
        <w:bidi w:val="0"/>
        <w:spacing w:before="0" w:after="0"/>
        <w:ind w:left="0" w:right="0" w:hanging="0"/>
        <w:jc w:val="center"/>
        <w:rPr>
          <w:rFonts w:ascii="Times New Roman;Times;serif" w:hAnsi="Times New Roman;Times;serif"/>
          <w:b/>
          <w:sz w:val="20"/>
        </w:rPr>
      </w:pPr>
      <w:bookmarkStart w:id="312" w:name="NotestoUnaudited"/>
      <w:bookmarkStart w:id="313" w:name="NotestoUnauditedCondensedConsolidatedFin"/>
      <w:bookmarkEnd w:id="312"/>
      <w:bookmarkEnd w:id="313"/>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These interim financial statements do not include all the information and footnotes required by U.S. GAAP for annual financial statements and should be read in conjunction with the audited financial statements for the year ended December 31, 2022, which are included in the Company’s Annual Report on Form 10-K filed with the Securities and Exchange Commission (the “SEC”) on February 28, 2023.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results of operations for the interim periods are not necessarily indicative of the results of operations to be expected for any future interim period or the fiscal year ending December 31, 2023.</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2023, the Company had cash, cash equivalents and marketable securities of $252.7 million. The Company has had recurring losses and incurred a loss of $59.9 million for the six months ended June 30, 2023. Net cash used in operations for the six months ended June 30, 2023 was $55.8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13), in the event that the Company achieves the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significant accounting policies used in preparation of these condensed consolidated financial statements on this Quarterly Report on Form 10-Q for the three and six months ended June 30, 2023 are consistent with those discussed in Note 2 to the financial statements in our Annual Report on Form 10-K for the year ended December 31, 2022, except as it relates to the adoption of new accounting standards during the first six months of 2023 as discussed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Newly Adopted Accounting Pronouncements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January 1, 2023, the Company adopted ASU 2016-13: Financial Instruments - Credit Losses (Topic 326): Measurement of Credit Losses on Financial Instruments. The guidance requires that credit losses be reported using an expected losses model rather than the incurred losses model and establishes additional disclosure requirements related to credit risks. For available-for-sale debt securities with unrealized losses, the standard requires allowances to be recorded instead of reducing the amortized cost of the investment. The adoption of this guidance did not have a material impact on the Company’s consolidated financial statements and related disclosures.</w:t>
      </w:r>
    </w:p>
    <w:p>
      <w:pPr>
        <w:pStyle w:val="TextBody"/>
        <w:bidi w:val="0"/>
        <w:spacing w:before="0" w:after="0"/>
        <w:ind w:left="0" w:right="0" w:firstLine="36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From time to time, new accounting pronouncements are issued by the FASB or other standard setting bodies that are adopted by the Company as of the specified effective date. The Company has reviewed recently issued accounting pronouncements and concluded they are either not applicable to the business or not expected to have a material impact on the Company’s consolidated financial statements as a result of future adoption.</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314" w:name="Tc_p3rVXNjOOUK9mGYAAI685Q_7_12"/>
      <w:bookmarkStart w:id="315" w:name="Tc_nJMGmexz80255hcq_DdtOg_7_8"/>
      <w:bookmarkStart w:id="316" w:name="Tc_7patYrA8r0atSeFWolxGug_7_6"/>
      <w:bookmarkStart w:id="317" w:name="Tc_Giixp4_iqEeflAo1NbTRMg_7_2"/>
      <w:bookmarkStart w:id="318" w:name="Tc_m2gazxXzoEeq2wn4nzUiTg_6_12"/>
      <w:bookmarkStart w:id="319" w:name="Tc_-Eaq_cW3G0OxDUlSuKePiw_6_6"/>
      <w:bookmarkStart w:id="320" w:name="Tc_0Y69hTCyvUOpmrkhz971WQ_6_0"/>
      <w:bookmarkStart w:id="321" w:name="Tc_JK8yzemjb0as79pz3c1LNw_5_12"/>
      <w:bookmarkStart w:id="322" w:name="Tc_b46SVQvnz02u2ayTCGZqxA_5_8"/>
      <w:bookmarkStart w:id="323" w:name="Tc_zShD3-w7a0uEKu2q9d_Yuw_5_6"/>
      <w:bookmarkStart w:id="324" w:name="Tc_b0O8TCEeRkmif16aL58ihw_5_2"/>
      <w:bookmarkStart w:id="325" w:name="Tc_oE7S5h89JEidJMLpc-s2kw_5_0"/>
      <w:bookmarkStart w:id="326" w:name="Tc_jzrTQhEwL0KLOtKcCiLNpQ_4_0"/>
      <w:bookmarkStart w:id="327" w:name="Tc_0A7GU47MykiGCZ9xs-WbtA_3_2"/>
      <w:bookmarkStart w:id="328" w:name="Tc_C0OGLCetpkicyFa0s16JWA_2_11"/>
      <w:bookmarkStart w:id="329" w:name="Tc_UqkXVlauTEKmtVqICvxHRw_2_8"/>
      <w:bookmarkStart w:id="330" w:name="Tc_pgTstP6mfkyi4ymUexMhWA_2_5"/>
      <w:bookmarkStart w:id="331" w:name="Tc_O3sHk9f8CUi5iBZJyqn8yw_2_2"/>
      <w:bookmarkStart w:id="332" w:name="Tc_nxGMoMxtE0283Htv_mdcqg_1_2"/>
      <w:bookmarkStart w:id="333" w:name="_0e5afe75_0642_4fdb_a720_2952027a1163"/>
      <w:bookmarkStart w:id="334" w:name="Tc_6XER_UFXpkWxWrr-W1VEpA_7_12"/>
      <w:bookmarkStart w:id="335" w:name="Tc_thXpqWUFfk2Ih0nHEzuqdQ_7_8"/>
      <w:bookmarkStart w:id="336" w:name="Tc_QeoKI4GGgUGEeWnl5tUiRA_7_6"/>
      <w:bookmarkStart w:id="337" w:name="Tc_mBXC2pBVLE2FNx-9O-BZDw_7_2"/>
      <w:bookmarkStart w:id="338" w:name="Tc_-1Y8I7amrUS1Yilci7vcAg_6_12"/>
      <w:bookmarkStart w:id="339" w:name="Tc_bFWOc7kxnUanfuKK3UpLxQ_6_6"/>
      <w:bookmarkStart w:id="340" w:name="Tc_BGnEzu92MUWFc23Ynlb_Gg_6_0"/>
      <w:bookmarkStart w:id="341" w:name="Tc_KVAEjPQpQUekGTVbqVQUpw_5_12"/>
      <w:bookmarkStart w:id="342" w:name="Tc_-dvDcUAdyUK45ftQq1oqLA_5_8"/>
      <w:bookmarkStart w:id="343" w:name="Tc_AK0iMqh3fEmnqtx2wLuwuA_5_6"/>
      <w:bookmarkStart w:id="344" w:name="Tc_G66CcLBkVE-zjhK9ROdhdA_5_2"/>
      <w:bookmarkStart w:id="345" w:name="Tc_fosfeURuMEOi1tj-8FheeA_5_0"/>
      <w:bookmarkStart w:id="346" w:name="Tc_W7pdJLKjlUCF3nxTaYRWlw_4_0"/>
      <w:bookmarkStart w:id="347" w:name="Tc_5p06YKv0hEa5_gFWZdXZCA_3_2"/>
      <w:bookmarkStart w:id="348" w:name="Tc_xIwkTATZzUucMhpuP9mEMQ_2_11"/>
      <w:bookmarkStart w:id="349" w:name="Tc_lO4uIFs0ckOSBmKa0vXJeQ_2_8"/>
      <w:bookmarkStart w:id="350" w:name="Tc_u7u_J7cggECzAx9vYPtx-A_2_5"/>
      <w:bookmarkStart w:id="351" w:name="Tc_SeOyow4djk-_oKRDNuzd2g_2_2"/>
      <w:bookmarkStart w:id="352" w:name="Tc_bQFewcDrxkCl_w3BcVuKgA_1_2"/>
      <w:bookmarkStart w:id="353" w:name="_92faa322_03c3_45a8_81bb_24d6129864cc"/>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r>
        <w:rPr>
          <w:rFonts w:ascii="Times New Roman;Times;serif" w:hAnsi="Times New Roman;Times;serif"/>
          <w:b/>
          <w:sz w:val="20"/>
        </w:rPr>
        <w:t>(3)  Fair Value Measurements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set forth the Company’s financial assets and liabilities subject to fair value measurements:</w:t>
      </w:r>
    </w:p>
    <w:p>
      <w:pPr>
        <w:pStyle w:val="TextBody"/>
        <w:bidi w:val="0"/>
        <w:spacing w:before="0" w:after="0"/>
        <w:ind w:left="0" w:right="0" w:hanging="0"/>
        <w:jc w:val="left"/>
        <w:rPr/>
      </w:pPr>
      <w:r>
        <w:rPr/>
        <w:t>​</w:t>
      </w:r>
    </w:p>
    <w:tbl>
      <w:tblPr>
        <w:tblW w:w="8315" w:type="dxa"/>
        <w:jc w:val="left"/>
        <w:tblInd w:w="0" w:type="dxa"/>
        <w:tblLayout w:type="fixed"/>
        <w:tblCellMar>
          <w:top w:w="0" w:type="dxa"/>
          <w:left w:w="0" w:type="dxa"/>
          <w:bottom w:w="0" w:type="dxa"/>
          <w:right w:w="0" w:type="dxa"/>
        </w:tblCellMar>
      </w:tblPr>
      <w:tblGrid>
        <w:gridCol w:w="3586"/>
        <w:gridCol w:w="326"/>
        <w:gridCol w:w="239"/>
        <w:gridCol w:w="887"/>
        <w:gridCol w:w="326"/>
        <w:gridCol w:w="151"/>
        <w:gridCol w:w="480"/>
        <w:gridCol w:w="326"/>
        <w:gridCol w:w="211"/>
        <w:gridCol w:w="781"/>
        <w:gridCol w:w="326"/>
        <w:gridCol w:w="131"/>
        <w:gridCol w:w="545"/>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77110" cy="175260"/>
                      <wp:effectExtent l="0" t="0" r="0" b="0"/>
                      <wp:wrapNone/>
                      <wp:docPr id="28" name="Frame28"/>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1765" cy="175260"/>
                      <wp:effectExtent l="0" t="0" r="0" b="0"/>
                      <wp:wrapNone/>
                      <wp:docPr id="30" name="Frame30"/>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63245" cy="175260"/>
                      <wp:effectExtent l="0" t="0" r="0" b="0"/>
                      <wp:wrapNone/>
                      <wp:docPr id="31" name="Frame31"/>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95885" cy="175260"/>
                      <wp:effectExtent l="0" t="0" r="0" b="0"/>
                      <wp:wrapNone/>
                      <wp:docPr id="33" name="Frame33"/>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304800" cy="175260"/>
                      <wp:effectExtent l="0" t="0" r="0" b="0"/>
                      <wp:wrapNone/>
                      <wp:docPr id="34" name="Frame34"/>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95935" cy="175260"/>
                      <wp:effectExtent l="0" t="0" r="0" b="0"/>
                      <wp:wrapNone/>
                      <wp:docPr id="37" name="Frame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83185" cy="175260"/>
                      <wp:effectExtent l="0" t="0" r="0" b="0"/>
                      <wp:wrapNone/>
                      <wp:docPr id="39" name="Frame39"/>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46075" cy="175260"/>
                      <wp:effectExtent l="0" t="0" r="0" b="0"/>
                      <wp:wrapNone/>
                      <wp:docPr id="40" name="Frame40"/>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31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03"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left"/>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Money market funds and cash equivalents </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19,710</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19,710</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224,473</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224,473</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244,183</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244,183</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tbl>
      <w:tblPr>
        <w:tblW w:w="8645" w:type="dxa"/>
        <w:jc w:val="left"/>
        <w:tblInd w:w="0" w:type="dxa"/>
        <w:tblLayout w:type="fixed"/>
        <w:tblCellMar>
          <w:top w:w="0" w:type="dxa"/>
          <w:left w:w="0" w:type="dxa"/>
          <w:bottom w:w="0" w:type="dxa"/>
          <w:right w:w="0" w:type="dxa"/>
        </w:tblCellMar>
      </w:tblPr>
      <w:tblGrid>
        <w:gridCol w:w="3541"/>
        <w:gridCol w:w="326"/>
        <w:gridCol w:w="319"/>
        <w:gridCol w:w="1182"/>
        <w:gridCol w:w="326"/>
        <w:gridCol w:w="151"/>
        <w:gridCol w:w="480"/>
        <w:gridCol w:w="326"/>
        <w:gridCol w:w="211"/>
        <w:gridCol w:w="781"/>
        <w:gridCol w:w="326"/>
        <w:gridCol w:w="131"/>
        <w:gridCol w:w="545"/>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248535" cy="175260"/>
                      <wp:effectExtent l="0" t="0" r="0" b="0"/>
                      <wp:wrapNone/>
                      <wp:docPr id="41" name="Frame41"/>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2565" cy="175260"/>
                      <wp:effectExtent l="0" t="0" r="0" b="0"/>
                      <wp:wrapNone/>
                      <wp:docPr id="43" name="Frame4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750570" cy="175260"/>
                      <wp:effectExtent l="0" t="0" r="0" b="0"/>
                      <wp:wrapNone/>
                      <wp:docPr id="44" name="Frame44"/>
                      <a:graphic xmlns:a="http://schemas.openxmlformats.org/drawingml/2006/main">
                        <a:graphicData uri="http://schemas.microsoft.com/office/word/2010/wordprocessingShape">
                          <wps:wsp>
                            <wps:cNvSpPr txBox="1"/>
                            <wps:spPr>
                              <a:xfrm>
                                <a:off x="0" y="0"/>
                                <a:ext cx="750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5885" cy="175260"/>
                      <wp:effectExtent l="0" t="0" r="0" b="0"/>
                      <wp:wrapNone/>
                      <wp:docPr id="46" name="Frame46"/>
                      <a:graphic xmlns:a="http://schemas.openxmlformats.org/drawingml/2006/main">
                        <a:graphicData uri="http://schemas.microsoft.com/office/word/2010/wordprocessingShape">
                          <wps:wsp>
                            <wps:cNvSpPr txBox="1"/>
                            <wps:spPr>
                              <a:xfrm>
                                <a:off x="0" y="0"/>
                                <a:ext cx="9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04800" cy="175260"/>
                      <wp:effectExtent l="0" t="0" r="0" b="0"/>
                      <wp:wrapNone/>
                      <wp:docPr id="47" name="Frame47"/>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83185" cy="175260"/>
                      <wp:effectExtent l="0" t="0" r="0" b="0"/>
                      <wp:wrapNone/>
                      <wp:docPr id="52" name="Frame52"/>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46075" cy="175260"/>
                      <wp:effectExtent l="0" t="0" r="0" b="0"/>
                      <wp:wrapNone/>
                      <wp:docPr id="53" name="Frame53"/>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0"/>
              <w:ind w:left="0" w:right="0" w:hanging="0"/>
              <w:jc w:val="left"/>
              <w:rPr/>
            </w:pPr>
            <w:r>
              <w:rPr/>
              <w:t>    </w:t>
            </w:r>
          </w:p>
        </w:tc>
        <w:tc>
          <w:tcPr>
            <w:tcW w:w="6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864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78"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center"/>
              <w:rPr/>
            </w:pPr>
            <w:r>
              <w:rPr/>
              <w:t>​</w:t>
            </w:r>
          </w:p>
        </w:tc>
        <w:tc>
          <w:tcPr>
            <w:tcW w:w="1182"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shd w:fill="CCEEFF" w:val="clear"/>
            <w:vAlign w:val="center"/>
          </w:tcPr>
          <w:p>
            <w:pPr>
              <w:pStyle w:val="TableContents"/>
              <w:bidi w:val="0"/>
              <w:spacing w:before="0" w:after="0"/>
              <w:ind w:left="0" w:right="0" w:hanging="0"/>
              <w:jc w:val="center"/>
              <w:rPr/>
            </w:pPr>
            <w:r>
              <w:rPr/>
              <w:t>​</w:t>
            </w:r>
          </w:p>
        </w:tc>
        <w:tc>
          <w:tcPr>
            <w:tcW w:w="480"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center"/>
              <w:rPr/>
            </w:pPr>
            <w:r>
              <w:rPr/>
              <w:t>​</w:t>
            </w:r>
          </w:p>
        </w:tc>
        <w:tc>
          <w:tcPr>
            <w:tcW w:w="545" w:type="dxa"/>
            <w:tcBorders/>
            <w:shd w:fill="CCEEFF" w:val="clear"/>
            <w:vAlign w:val="center"/>
          </w:tcPr>
          <w:p>
            <w:pPr>
              <w:pStyle w:val="TableContents"/>
              <w:bidi w:val="0"/>
              <w:spacing w:before="0" w:after="0"/>
              <w:ind w:left="0" w:right="0" w:hanging="0"/>
              <w:jc w:val="center"/>
              <w:rPr/>
            </w:pPr>
            <w:r>
              <w:rPr/>
              <w:t>​</w:t>
            </w:r>
          </w:p>
        </w:tc>
      </w:tr>
      <w:tr>
        <w:trPr/>
        <w:tc>
          <w:tcPr>
            <w:tcW w:w="3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 and cash equivalents</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26" w:type="dxa"/>
            <w:tcBorders/>
            <w:vAlign w:val="center"/>
          </w:tcPr>
          <w:p>
            <w:pPr>
              <w:pStyle w:val="TableContents"/>
              <w:bidi w:val="0"/>
              <w:spacing w:before="0" w:after="0"/>
              <w:ind w:left="0" w:right="0" w:hanging="0"/>
              <w:jc w:val="left"/>
              <w:rPr/>
            </w:pPr>
            <w:r>
              <w:rPr/>
              <w:t>​</w:t>
            </w:r>
          </w:p>
        </w:tc>
        <w:tc>
          <w:tcPr>
            <w:tcW w:w="151" w:type="dxa"/>
            <w:tcBorders/>
            <w:vAlign w:val="center"/>
          </w:tcPr>
          <w:p>
            <w:pPr>
              <w:pStyle w:val="TableContents"/>
              <w:bidi w:val="0"/>
              <w:spacing w:before="0" w:after="0"/>
              <w:ind w:left="0" w:right="0" w:hanging="0"/>
              <w:jc w:val="left"/>
              <w:rPr/>
            </w:pPr>
            <w:r>
              <w:rPr/>
              <w:t>​</w:t>
            </w:r>
          </w:p>
        </w:tc>
        <w:tc>
          <w:tcPr>
            <w:tcW w:w="48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16,813</w:t>
            </w:r>
          </w:p>
        </w:tc>
        <w:tc>
          <w:tcPr>
            <w:tcW w:w="326" w:type="dxa"/>
            <w:tcBorders/>
            <w:vAlign w:val="center"/>
          </w:tcPr>
          <w:p>
            <w:pPr>
              <w:pStyle w:val="TableContents"/>
              <w:bidi w:val="0"/>
              <w:spacing w:before="0" w:after="0"/>
              <w:ind w:left="0" w:right="0" w:hanging="0"/>
              <w:jc w:val="left"/>
              <w:rPr/>
            </w:pPr>
            <w:r>
              <w:rPr/>
              <w:t>​</w:t>
            </w:r>
          </w:p>
        </w:tc>
        <w:tc>
          <w:tcPr>
            <w:tcW w:w="131" w:type="dxa"/>
            <w:tcBorders/>
            <w:vAlign w:val="center"/>
          </w:tcPr>
          <w:p>
            <w:pPr>
              <w:pStyle w:val="TableContents"/>
              <w:bidi w:val="0"/>
              <w:spacing w:before="0" w:after="0"/>
              <w:ind w:left="0" w:right="0" w:hanging="0"/>
              <w:jc w:val="left"/>
              <w:rPr/>
            </w:pPr>
            <w:r>
              <w:rPr/>
              <w:t>​</w:t>
            </w:r>
          </w:p>
        </w:tc>
        <w:tc>
          <w:tcPr>
            <w:tcW w:w="545" w:type="dxa"/>
            <w:tcBorders/>
            <w:vAlign w:val="center"/>
          </w:tcPr>
          <w:p>
            <w:pPr>
              <w:pStyle w:val="TableContents"/>
              <w:bidi w:val="0"/>
              <w:spacing w:before="0" w:after="0"/>
              <w:ind w:left="0" w:right="0" w:hanging="0"/>
              <w:jc w:val="right"/>
              <w:rPr/>
            </w:pPr>
            <w:r>
              <w:rPr/>
              <w:t>—</w:t>
            </w:r>
          </w:p>
        </w:tc>
      </w:tr>
      <w:tr>
        <w:trPr/>
        <w:tc>
          <w:tcPr>
            <w:tcW w:w="3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Marketable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c>
          <w:tcPr>
            <w:tcW w:w="326" w:type="dxa"/>
            <w:tcBorders/>
            <w:shd w:fill="CCEEFF" w:val="clear"/>
            <w:vAlign w:val="center"/>
          </w:tcPr>
          <w:p>
            <w:pPr>
              <w:pStyle w:val="TableContents"/>
              <w:bidi w:val="0"/>
              <w:spacing w:before="0" w:after="0"/>
              <w:ind w:left="0" w:right="0" w:hanging="0"/>
              <w:jc w:val="left"/>
              <w:rPr/>
            </w:pPr>
            <w:r>
              <w:rPr/>
              <w:t>​</w:t>
            </w:r>
          </w:p>
        </w:tc>
        <w:tc>
          <w:tcPr>
            <w:tcW w:w="1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275,523</w:t>
            </w:r>
          </w:p>
        </w:tc>
        <w:tc>
          <w:tcPr>
            <w:tcW w:w="326" w:type="dxa"/>
            <w:tcBorders/>
            <w:shd w:fill="CCEE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292,336</w:t>
            </w:r>
          </w:p>
        </w:tc>
        <w:tc>
          <w:tcPr>
            <w:tcW w:w="326" w:type="dxa"/>
            <w:tcBorders/>
            <w:vAlign w:val="center"/>
          </w:tcPr>
          <w:p>
            <w:pPr>
              <w:pStyle w:val="TableContents"/>
              <w:bidi w:val="0"/>
              <w:spacing w:before="0" w:after="0"/>
              <w:ind w:left="0" w:right="0" w:hanging="0"/>
              <w:jc w:val="left"/>
              <w:rPr/>
            </w:pPr>
            <w:r>
              <w:rPr/>
              <w:t>​</w:t>
            </w:r>
          </w:p>
        </w:tc>
        <w:tc>
          <w:tcPr>
            <w:tcW w:w="15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48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292,336</w:t>
            </w:r>
          </w:p>
        </w:tc>
        <w:tc>
          <w:tcPr>
            <w:tcW w:w="326" w:type="dxa"/>
            <w:tcBorders/>
            <w:vAlign w:val="center"/>
          </w:tcPr>
          <w:p>
            <w:pPr>
              <w:pStyle w:val="TableContents"/>
              <w:bidi w:val="0"/>
              <w:spacing w:before="0" w:after="0"/>
              <w:ind w:left="0" w:right="0" w:hanging="0"/>
              <w:jc w:val="left"/>
              <w:rPr/>
            </w:pPr>
            <w:r>
              <w:rPr/>
              <w:t>​</w:t>
            </w:r>
          </w:p>
        </w:tc>
        <w:tc>
          <w:tcPr>
            <w:tcW w:w="13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Contingent consideration liabilities measured at fair value using Level 3 inputs were $0.0 million as of June 30, 2023 and December 31, 2022.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three and six months ended June 30, 2023, there was no gain or loss on fair value remeasurement of contingent consideration. During the three and six months ended June 30, 2022, the Company recorded a $6.3 million and $6.9 million gain on fair value remeasurement of contingent consideration, respectively, primarily due to the Company’s decision to deprioritize the CDX-1140 program.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have any transfers in or out of Level 3 </w:t>
      </w:r>
      <w:r>
        <w:rPr>
          <w:rFonts w:ascii="Times New Roman;Times;serif" w:hAnsi="Times New Roman;Times;serif"/>
          <w:b w:val="false"/>
          <w:i w:val="false"/>
          <w:caps w:val="false"/>
          <w:smallCaps w:val="false"/>
          <w:sz w:val="20"/>
        </w:rPr>
        <w:t>assets</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liabilities</w:t>
      </w:r>
      <w:r>
        <w:rPr>
          <w:rFonts w:ascii="Times New Roman;Times;serif" w:hAnsi="Times New Roman;Times;serif"/>
          <w:sz w:val="20"/>
        </w:rPr>
        <w:t xml:space="preserve"> </w:t>
      </w:r>
      <w:r>
        <w:rPr>
          <w:rFonts w:ascii="Times New Roman;Times;serif" w:hAnsi="Times New Roman;Times;serif"/>
          <w:b w:val="false"/>
          <w:i w:val="false"/>
          <w:caps w:val="false"/>
          <w:smallCaps w:val="false"/>
          <w:sz w:val="20"/>
        </w:rPr>
        <w:t>during</w:t>
      </w:r>
      <w:r>
        <w:rPr>
          <w:rFonts w:ascii="Times New Roman;Times;serif" w:hAnsi="Times New Roman;Times;serif"/>
          <w:sz w:val="20"/>
        </w:rPr>
        <w:t xml:space="preserve"> the six months ended June 30, 2023.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354" w:name="Tc_YQMxbnKv_UWVmIRF-5plkA_30_11"/>
      <w:bookmarkStart w:id="355" w:name="Tc_lI0JYbg0zkKK6v_FlQneVQ_30_8"/>
      <w:bookmarkStart w:id="356" w:name="Tc_2S_cbCQPGEiIrTlBmyXgIw_30_5"/>
      <w:bookmarkStart w:id="357" w:name="Tc_BtW9PkjAzUmFeASD2oszZQ_30_2"/>
      <w:bookmarkStart w:id="358" w:name="Tc_eBIdj1iiCkKbL8OIqhH4-A_30_0"/>
      <w:bookmarkStart w:id="359" w:name="Tc_wiyEHK0uqEugmho2KeP5Dg_29_11"/>
      <w:bookmarkStart w:id="360" w:name="Tc_MVUpfd9Dd0SBSB-O9oO7uQ_29_8"/>
      <w:bookmarkStart w:id="361" w:name="Tc_lPkLTBKVFEKMjatWYaZUnA_29_5"/>
      <w:bookmarkStart w:id="362" w:name="Tc_Vq2e0V5G2kmzyNtVO7xpnw_29_2"/>
      <w:bookmarkStart w:id="363" w:name="Tc_qqByNjUdtkSFItWMl0D9OA_29_0"/>
      <w:bookmarkStart w:id="364" w:name="Tc_pVcdAM_GBkm_suy8Hu3ipA_28_12"/>
      <w:bookmarkStart w:id="365" w:name="Tc_KXembiUbcUq5szOs8RDW8Q_28_9"/>
      <w:bookmarkStart w:id="366" w:name="Tc_AzPNssM_R0KwUlaI9rNRLA_28_3"/>
      <w:bookmarkStart w:id="367" w:name="Tc_94-PflURzkqXjMLuAyFoSg_28_0"/>
      <w:bookmarkStart w:id="368" w:name="Tc_NG_oPSxAf022ku4AfQ8m1Q_27_11"/>
      <w:bookmarkStart w:id="369" w:name="Tc_DEsGjxnBvEOcFkWRyJNPRA_27_8"/>
      <w:bookmarkStart w:id="370" w:name="Tc_gFMEE_pm9kKanFwWGJK1Vg_27_5"/>
      <w:bookmarkStart w:id="371" w:name="Tc_IzEB_hKCK0yYD9xll5-MDQ_27_2"/>
      <w:bookmarkStart w:id="372" w:name="Tc_dIy-tipIEkS05ucXKwS5kQ_27_0"/>
      <w:bookmarkStart w:id="373" w:name="Tc_9LUIK6Ot50KN1vq92YIyJg_26_0"/>
      <w:bookmarkStart w:id="374" w:name="Tc_sp2_OzRMiESOrdGH5SAHgg_25_11"/>
      <w:bookmarkStart w:id="375" w:name="Tc_2tFE6rUNWkqBlS8Qi7VGUA_25_8"/>
      <w:bookmarkStart w:id="376" w:name="Tc_gNXUAdZ1ukeagwFul_5Z1Q_25_5"/>
      <w:bookmarkStart w:id="377" w:name="Tc_LwOPe96ATUKXx3N4vFY7iA_25_2"/>
      <w:bookmarkStart w:id="378" w:name="Tc_mQV__NlKG0a6Ap8tVq5d9w_25_0"/>
      <w:bookmarkStart w:id="379" w:name="Tc_EUSbVI17AEqtMhWKsN3fCA_24_12"/>
      <w:bookmarkStart w:id="380" w:name="Tc_K2rbL4p8sEeU2SEUXzIfvg_24_9"/>
      <w:bookmarkStart w:id="381" w:name="Tc_lgOx6ZACAkKiHcUG6ZrDcQ_24_3"/>
      <w:bookmarkStart w:id="382" w:name="Tc__s36vm5mfEG6c6_GhjrbyA_24_0"/>
      <w:bookmarkStart w:id="383" w:name="Tc_GpWFnoHiF0KIYPxZk_ykVw_23_11"/>
      <w:bookmarkStart w:id="384" w:name="Tc__UQr6258rUCDszZJXS0ugw_23_8"/>
      <w:bookmarkStart w:id="385" w:name="Tc_4CMbpcMia0ewisvtBg4Qfw_23_5"/>
      <w:bookmarkStart w:id="386" w:name="Tc_xKL-30TEWUieM751fWqh_Q_23_2"/>
      <w:bookmarkStart w:id="387" w:name="Tc_Q-Q8QkiWPEyzs6YOKZ3r6A_23_0"/>
      <w:bookmarkStart w:id="388" w:name="Tc_CZsqLo1te0-c5tNNmwzYUw_22_0"/>
      <w:bookmarkStart w:id="389" w:name="Tc_YUThZgHH80Sb13eTUzaUrg_21_0"/>
      <w:bookmarkStart w:id="390" w:name="Tc_sp-lCCb2yEGmsZwoeclz7g_20_0"/>
      <w:bookmarkStart w:id="391" w:name="Tc_Ox42HdhXM0GHkFLJqp8C7A_19_2"/>
      <w:bookmarkStart w:id="392" w:name="Tc_u6pnC71cq0u1a3cLYarNaA_18_11"/>
      <w:bookmarkStart w:id="393" w:name="Tc_s_tkxstHykCTfwYnwQeWQw_18_8"/>
      <w:bookmarkStart w:id="394" w:name="Tc_M6-y0yHipEyqap9uiFjlOw_18_5"/>
      <w:bookmarkStart w:id="395" w:name="Tc_vMcFJrD890i96W8AVEza7Q_18_2"/>
      <w:bookmarkStart w:id="396" w:name="Tc_UsRNXmBshUeP3ZQSDZbA8g_17_11"/>
      <w:bookmarkStart w:id="397" w:name="Tc_gfbFvXoDU0KjiROIj5Ukmw_17_8"/>
      <w:bookmarkStart w:id="398" w:name="Tc_aYIBBvKJBEi3qLg5ghGYSQ_17_5"/>
      <w:bookmarkStart w:id="399" w:name="Tc_QPKyEGO1m0mcX6jaSBYF5A_17_2"/>
      <w:bookmarkStart w:id="400" w:name="Tc_zVu8-JVYI0eO33T-BaJ1Yw_14_11"/>
      <w:bookmarkStart w:id="401" w:name="Tc_7W5gtu1LsUe5iEX6UCjQtA_14_8"/>
      <w:bookmarkStart w:id="402" w:name="Tc_ab8Ug7vORUm1IM4_AK5p4w_14_5"/>
      <w:bookmarkStart w:id="403" w:name="Tc_zOwVpDSJNkWLUBHUg3FAbA_14_2"/>
      <w:bookmarkStart w:id="404" w:name="Tc_aTzhw6eWK0CTrDBYuuMaxA_14_0"/>
      <w:bookmarkStart w:id="405" w:name="Tc_qbN6u91yTEiv2YsXTbhuAA_13_11"/>
      <w:bookmarkStart w:id="406" w:name="Tc_V2uNcCDon0C0lFJc4XYPKQ_13_8"/>
      <w:bookmarkStart w:id="407" w:name="Tc_p8oVHYmPp0yqcdvbT3mEkg_13_5"/>
      <w:bookmarkStart w:id="408" w:name="Tc_mweXmly-7kawOrTWkC_QSw_13_2"/>
      <w:bookmarkStart w:id="409" w:name="Tc_w9HW-hEznE25G2XgtmA7jA_13_0"/>
      <w:bookmarkStart w:id="410" w:name="Tc_FhxqsT27qky3F_QVtKor7A_12_0"/>
      <w:bookmarkStart w:id="411" w:name="Tc_Yf0uyCWhR0Oz6hPqDHwyGQ_11_11"/>
      <w:bookmarkStart w:id="412" w:name="Tc_sf4Ca3681UeumZZCm9J0gw_11_8"/>
      <w:bookmarkStart w:id="413" w:name="Tc_HOhA8AANNU-dgc-cYytFXg_11_5"/>
      <w:bookmarkStart w:id="414" w:name="Tc_w9_wkr7iLEqmbSpPY6aWbw_11_2"/>
      <w:bookmarkStart w:id="415" w:name="Tc_IqDxqZITMk2HUqhwbkrilg_11_0"/>
      <w:bookmarkStart w:id="416" w:name="Tc_Ecd2bSsD2UeVF_JjNadKWA_10_0"/>
      <w:bookmarkStart w:id="417" w:name="Tc_rqVrKxgw_0u2H9fk-vE3uQ_9_11"/>
      <w:bookmarkStart w:id="418" w:name="Tc_DMJaNT_3pEOTqrl1YrylOA_9_8"/>
      <w:bookmarkStart w:id="419" w:name="Tc_uTRF1pD0l0WaKhglKJwheQ_9_6"/>
      <w:bookmarkStart w:id="420" w:name="Tc_ZWI5HWrOmUGIDIr1Agiv0g_9_5"/>
      <w:bookmarkStart w:id="421" w:name="Tc_tgIJbPmR8UyxooPLIAIV0A_9_2"/>
      <w:bookmarkStart w:id="422" w:name="Tc_JJLuUKjJ2U29o2-OR3jXPg_9_0"/>
      <w:bookmarkStart w:id="423" w:name="Tc_NEg95xMzgEq3ghANjq-pUw_8_6"/>
      <w:bookmarkStart w:id="424" w:name="Tc_-L-RKlhaM0ul46y7xhR0xw_8_0"/>
      <w:bookmarkStart w:id="425" w:name="Tc_KayDq_cFlka_pQ9TRYBjAg_7_11"/>
      <w:bookmarkStart w:id="426" w:name="Tc_TF3-qZ5kRkCaIzH87JXHQg_7_8"/>
      <w:bookmarkStart w:id="427" w:name="Tc_13wbnJlsL0ax0TZCzPupyg_7_6"/>
      <w:bookmarkStart w:id="428" w:name="Tc_sN1jyshHrkqy78-FV5-28Q_7_5"/>
      <w:bookmarkStart w:id="429" w:name="Tc_VMu33O4LyUyo7JwlJz9N7g_7_2"/>
      <w:bookmarkStart w:id="430" w:name="Tc_lhA8rz5ffkuzK8b_NrkQ7w_7_0"/>
      <w:bookmarkStart w:id="431" w:name="Tc_0m2InlHez0mq5EWaXKjleQ_6_0"/>
      <w:bookmarkStart w:id="432" w:name="Tc_ZTmw4uxAOEWt5MBN-oq01Q_5_0"/>
      <w:bookmarkStart w:id="433" w:name="Tc_lajAPLeb10uvJ_YQpSWFXw_4_0"/>
      <w:bookmarkStart w:id="434" w:name="Tc_PqxP3t1ox0KUAEiPAWgUyg_3_2"/>
      <w:bookmarkStart w:id="435" w:name="Tc_lLBR8GH9xk-JzimBcLRMnQ_2_11"/>
      <w:bookmarkStart w:id="436" w:name="Tc_6kr2LFuPg06-SuuhjXGwJw_2_8"/>
      <w:bookmarkStart w:id="437" w:name="Tc_UOuLXLb8Z068eesMi4YMHQ_2_5"/>
      <w:bookmarkStart w:id="438" w:name="Tc_yti7VPby6U6Au65oOORg0w_2_2"/>
      <w:bookmarkStart w:id="439" w:name="Tc_um6crBzJ_EuxX3wKxtRLFg_1_11"/>
      <w:bookmarkStart w:id="440" w:name="Tc_5AIaV0lCtUCEECoETi7rrg_1_8"/>
      <w:bookmarkStart w:id="441" w:name="Tc__vaxvTC7PEODUAepVygOAw_1_5"/>
      <w:bookmarkStart w:id="442" w:name="Tc_H2dlS-NSok6tTuVrx7wplQ_1_2"/>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ascii="Times New Roman;Times;serif" w:hAnsi="Times New Roman;Times;serif"/>
          <w:b/>
          <w:sz w:val="20"/>
        </w:rPr>
        <w:t>(4)  Marketable Securities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is a summary of marketable debt securities, classified as available-for-sale: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120"/>
        <w:gridCol w:w="326"/>
        <w:gridCol w:w="211"/>
        <w:gridCol w:w="781"/>
        <w:gridCol w:w="326"/>
        <w:gridCol w:w="508"/>
        <w:gridCol w:w="837"/>
        <w:gridCol w:w="326"/>
        <w:gridCol w:w="315"/>
        <w:gridCol w:w="1030"/>
        <w:gridCol w:w="326"/>
        <w:gridCol w:w="211"/>
        <w:gridCol w:w="888"/>
      </w:tblGrid>
      <w:tr>
        <w:trPr/>
        <w:tc>
          <w:tcPr>
            <w:tcW w:w="41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616200" cy="175260"/>
                      <wp:effectExtent l="0" t="0" r="0" b="0"/>
                      <wp:wrapNone/>
                      <wp:docPr id="54" name="Frame54"/>
                      <a:graphic xmlns:a="http://schemas.openxmlformats.org/drawingml/2006/main">
                        <a:graphicData uri="http://schemas.microsoft.com/office/word/2010/wordprocessingShape">
                          <wps:wsp>
                            <wps:cNvSpPr txBox="1"/>
                            <wps:spPr>
                              <a:xfrm>
                                <a:off x="0" y="0"/>
                                <a:ext cx="2616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95935" cy="175260"/>
                      <wp:effectExtent l="0" t="0" r="0" b="0"/>
                      <wp:wrapNone/>
                      <wp:docPr id="57" name="Frame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22580" cy="175260"/>
                      <wp:effectExtent l="0" t="0" r="0" b="0"/>
                      <wp:wrapNone/>
                      <wp:docPr id="59" name="Frame59"/>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1495" cy="175260"/>
                      <wp:effectExtent l="0" t="0" r="0" b="0"/>
                      <wp:wrapNone/>
                      <wp:docPr id="60" name="Frame60"/>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0025" cy="175260"/>
                      <wp:effectExtent l="0" t="0" r="0" b="0"/>
                      <wp:wrapNone/>
                      <wp:docPr id="62" name="Frame62"/>
                      <a:graphic xmlns:a="http://schemas.openxmlformats.org/drawingml/2006/main">
                        <a:graphicData uri="http://schemas.microsoft.com/office/word/2010/wordprocessingShape">
                          <wps:wsp>
                            <wps:cNvSpPr txBox="1"/>
                            <wps:spPr>
                              <a:xfrm>
                                <a:off x="0" y="0"/>
                                <a:ext cx="200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54050" cy="175260"/>
                      <wp:effectExtent l="0" t="0" r="0" b="0"/>
                      <wp:wrapNone/>
                      <wp:docPr id="63" name="Frame63"/>
                      <a:graphic xmlns:a="http://schemas.openxmlformats.org/drawingml/2006/main">
                        <a:graphicData uri="http://schemas.microsoft.com/office/word/2010/wordprocessingShape">
                          <wps:wsp>
                            <wps:cNvSpPr txBox="1"/>
                            <wps:spPr>
                              <a:xfrm>
                                <a:off x="0" y="0"/>
                                <a:ext cx="654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3880" cy="175260"/>
                      <wp:effectExtent l="0" t="0" r="0" b="0"/>
                      <wp:wrapNone/>
                      <wp:docPr id="66" name="Frame66"/>
                      <a:graphic xmlns:a="http://schemas.openxmlformats.org/drawingml/2006/main">
                        <a:graphicData uri="http://schemas.microsoft.com/office/word/2010/wordprocessingShape">
                          <wps:wsp>
                            <wps:cNvSpPr txBox="1"/>
                            <wps:spPr>
                              <a:xfrm>
                                <a:off x="0" y="0"/>
                                <a:ext cx="563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righ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96,632</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96,364</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10,716</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10,682</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107,348</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107,046</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73,263</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73,120</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44,387</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44,307</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117,650</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117,427</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224,998</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224,473</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34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Unrealized</w:t>
            </w:r>
          </w:p>
        </w:tc>
        <w:tc>
          <w:tcPr>
            <w:tcW w:w="326"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13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1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lef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pPr>
            <w:r>
              <w:rPr/>
              <w:t>​</w:t>
            </w:r>
          </w:p>
        </w:tc>
        <w:tc>
          <w:tcPr>
            <w:tcW w:w="8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pPr>
            <w:r>
              <w:rPr/>
              <w:t>​</w:t>
            </w:r>
          </w:p>
        </w:tc>
        <w:tc>
          <w:tcPr>
            <w:tcW w:w="103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8" w:type="dxa"/>
            <w:tcBorders/>
            <w:vAlign w:val="center"/>
          </w:tcPr>
          <w:p>
            <w:pPr>
              <w:pStyle w:val="TableContents"/>
              <w:bidi w:val="0"/>
              <w:spacing w:before="0" w:after="0"/>
              <w:ind w:left="0" w:right="0" w:hanging="0"/>
              <w:jc w:val="left"/>
              <w:rPr/>
            </w:pPr>
            <w:r>
              <w:rPr/>
              <w:t>​</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U.S. government and municipal obligations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97,246</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U.S. government and municipal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97,246</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96,882</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Corporate debt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shd w:fill="CCEEFF" w:val="clear"/>
            <w:vAlign w:val="center"/>
          </w:tcPr>
          <w:p>
            <w:pPr>
              <w:pStyle w:val="TableContents"/>
              <w:bidi w:val="0"/>
              <w:spacing w:before="0" w:after="0"/>
              <w:ind w:left="0" w:right="0" w:hanging="0"/>
              <w:jc w:val="left"/>
              <w:rPr/>
            </w:pPr>
            <w:r>
              <w:rPr/>
              <w:t>​</w:t>
            </w:r>
          </w:p>
        </w:tc>
        <w:tc>
          <w:tcPr>
            <w:tcW w:w="10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8" w:type="dxa"/>
            <w:tcBorders/>
            <w:shd w:fill="CCEEFF" w:val="cle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in one year or less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179,613</w:t>
            </w:r>
          </w:p>
        </w:tc>
        <w:tc>
          <w:tcPr>
            <w:tcW w:w="326" w:type="dxa"/>
            <w:tcBorders/>
            <w:vAlign w:val="center"/>
          </w:tcPr>
          <w:p>
            <w:pPr>
              <w:pStyle w:val="TableContents"/>
              <w:bidi w:val="0"/>
              <w:spacing w:before="0" w:after="0"/>
              <w:ind w:left="0" w:right="0" w:hanging="0"/>
              <w:jc w:val="left"/>
              <w:rPr/>
            </w:pPr>
            <w:r>
              <w:rPr/>
              <w:t>​</w:t>
            </w:r>
          </w:p>
        </w:tc>
        <w:tc>
          <w:tcPr>
            <w:tcW w:w="5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178,641</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Maturing after one year through three years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corporate debt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179,613</w:t>
            </w:r>
          </w:p>
        </w:tc>
        <w:tc>
          <w:tcPr>
            <w:tcW w:w="326" w:type="dxa"/>
            <w:tcBorders/>
            <w:vAlign w:val="center"/>
          </w:tcPr>
          <w:p>
            <w:pPr>
              <w:pStyle w:val="TableContents"/>
              <w:bidi w:val="0"/>
              <w:spacing w:before="0" w:after="0"/>
              <w:ind w:left="0" w:right="0" w:hanging="0"/>
              <w:jc w:val="left"/>
              <w:rPr/>
            </w:pPr>
            <w:r>
              <w:rPr/>
              <w:t>​</w:t>
            </w:r>
          </w:p>
        </w:tc>
        <w:tc>
          <w:tcPr>
            <w:tcW w:w="50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178,641</w:t>
            </w:r>
          </w:p>
        </w:tc>
      </w:tr>
      <w:tr>
        <w:trPr/>
        <w:tc>
          <w:tcPr>
            <w:tcW w:w="41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276,859</w:t>
            </w:r>
          </w:p>
        </w:tc>
        <w:tc>
          <w:tcPr>
            <w:tcW w:w="326" w:type="dxa"/>
            <w:tcBorders/>
            <w:shd w:fill="CCEEFF" w:val="clear"/>
            <w:vAlign w:val="center"/>
          </w:tcPr>
          <w:p>
            <w:pPr>
              <w:pStyle w:val="TableContents"/>
              <w:bidi w:val="0"/>
              <w:spacing w:before="0" w:after="0"/>
              <w:ind w:left="0" w:right="0" w:hanging="0"/>
              <w:jc w:val="left"/>
              <w:rPr/>
            </w:pPr>
            <w:r>
              <w:rPr/>
              <w:t>​</w:t>
            </w:r>
          </w:p>
        </w:tc>
        <w:tc>
          <w:tcPr>
            <w:tcW w:w="5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31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275,523</w:t>
            </w:r>
          </w:p>
        </w:tc>
      </w:tr>
    </w:tbl>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holds investment-grade marketable securities, and none were in a continuous unrealized loss position for more than twelve months as of June 30, 2023 and December 31, 2022. The unrealized losses are attributable to changes in interest rates and the Company does not believe any unrealized losses represent other-than-temporary impairments. The Company has the intent and ability to hold such marketable securities until recovery and has determined that there has been no material change to their credit risk. As a result, the Company determined it did not hold any investments with a credit loss at June 30, 2023.</w:t>
      </w:r>
    </w:p>
    <w:p>
      <w:pPr>
        <w:pStyle w:val="TextBody"/>
        <w:bidi w:val="0"/>
        <w:spacing w:before="0" w:after="0"/>
        <w:ind w:left="0" w:right="0" w:firstLine="36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Marketable securities include $1.3 million and $0.8 million in accrued interest at June 30, 2023 and December 31, 2022,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43" w:name="_Hlk114785249"/>
      <w:bookmarkEnd w:id="443"/>
      <w:r>
        <w:rPr>
          <w:rFonts w:ascii="Times New Roman;Times;serif" w:hAnsi="Times New Roman;Times;serif"/>
          <w:b/>
          <w:sz w:val="20"/>
        </w:rPr>
        <w:t>(5)  Intangible Assets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2023 and December 31, 2022, the carrying value of the Company’s indefinite-lived intangible assets was $27.2 million. Indefinite-lived intangible assets consist of acquired IPR&amp;D related to the development of the anti-KIT program, including barzolvolimab (also referred to as CDX-0159), which was recorded in connection with the Kolltan acquisition. Barzolvolimab is in Phase 2 development. As of June 30, 2023, the IPR&amp;D asset related to the anti-KIT program had not reached technological feasibility nor did the asset have alternative future uses.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44" w:name="Tc_TPnIVwWex0qGywy770Dqkw_9_5"/>
      <w:bookmarkStart w:id="445" w:name="Tc_YE16mahHW0CuWQ_t-5cgpQ_9_2"/>
      <w:bookmarkStart w:id="446" w:name="Tc_3F1eIOqj1kmIZ0EaLStelQ_9_0"/>
      <w:bookmarkStart w:id="447" w:name="Tc_ARTzf0GPDkGxvF9naqG_TQ_8_0"/>
      <w:bookmarkStart w:id="448" w:name="Tc_iSn9-LyQE0qtAf7viiEz1Q_7_0"/>
      <w:bookmarkStart w:id="449" w:name="Tc_VpovLmIDfUCJyM-Xrvsa5A_6_0"/>
      <w:bookmarkStart w:id="450" w:name="Tc_mKMYaFwDEUKXmUx0v4F7aw_5_0"/>
      <w:bookmarkStart w:id="451" w:name="Tc_VSN9HtPev0aydQFMhUAvWg_4_5"/>
      <w:bookmarkStart w:id="452" w:name="Tc_snZJ7ZwOEEO0T08Se-8pjQ_4_2"/>
      <w:bookmarkStart w:id="453" w:name="Tc_uqODNYwbW0G617cpG_wILA_4_0"/>
      <w:bookmarkStart w:id="454" w:name="Tc_zCbHi2Jn5kKcaKp9N3oMTg_3_2"/>
      <w:bookmarkStart w:id="455" w:name="Tc_pylLD1RpVEKbu4wCMCNdAQ_2_5"/>
      <w:bookmarkStart w:id="456" w:name="Tc_1OFjWRgTN0q05A73Yfi10A_2_2"/>
      <w:bookmarkStart w:id="457" w:name="Tc_fs6rag9ALkKNZer4frJnbA_1_5"/>
      <w:bookmarkStart w:id="458" w:name="Tc_u7UfBOJbmUaJ3nopM0KFIQ_1_2"/>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rFonts w:ascii="Times New Roman;Times;serif" w:hAnsi="Times New Roman;Times;serif"/>
          <w:b/>
          <w:sz w:val="20"/>
        </w:rPr>
        <w:t>(6) Other Long-Term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long-term liabilities include the following:</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4486"/>
        <w:gridCol w:w="326"/>
        <w:gridCol w:w="211"/>
        <w:gridCol w:w="571"/>
        <w:gridCol w:w="326"/>
        <w:gridCol w:w="281"/>
        <w:gridCol w:w="904"/>
      </w:tblGrid>
      <w:tr>
        <w:trPr/>
        <w:tc>
          <w:tcPr>
            <w:tcW w:w="4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848610" cy="175260"/>
                      <wp:effectExtent l="0" t="0" r="0" b="0"/>
                      <wp:wrapNone/>
                      <wp:docPr id="67" name="Frame67"/>
                      <a:graphic xmlns:a="http://schemas.openxmlformats.org/drawingml/2006/main">
                        <a:graphicData uri="http://schemas.microsoft.com/office/word/2010/wordprocessingShape">
                          <wps:wsp>
                            <wps:cNvSpPr txBox="1"/>
                            <wps:spPr>
                              <a:xfrm>
                                <a:off x="0" y="0"/>
                                <a:ext cx="2848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62585" cy="175260"/>
                      <wp:effectExtent l="0" t="0" r="0" b="0"/>
                      <wp:wrapNone/>
                      <wp:docPr id="70" name="Frame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78435" cy="175260"/>
                      <wp:effectExtent l="0" t="0" r="0" b="0"/>
                      <wp:wrapNone/>
                      <wp:docPr id="72" name="Frame7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74040" cy="175260"/>
                      <wp:effectExtent l="0" t="0" r="0" b="0"/>
                      <wp:wrapNone/>
                      <wp:docPr id="73" name="Frame7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1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deferred tax liabilities related to IPR&amp;D (Note 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From Sale of Tax Benefits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(Note 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5,381</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6,323</w:t>
            </w:r>
          </w:p>
        </w:tc>
      </w:tr>
      <w:tr>
        <w:trPr/>
        <w:tc>
          <w:tcPr>
            <w:tcW w:w="4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r>
      <w:tr>
        <w:trPr/>
        <w:tc>
          <w:tcPr>
            <w:tcW w:w="4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4,403</w:t>
            </w:r>
          </w:p>
        </w:tc>
        <w:tc>
          <w:tcPr>
            <w:tcW w:w="32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5,333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$0.0 million and $0.9 million in other income related to the sale of these tax benefits during the three and six months ended June 30, 2023.</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459" w:name="Tc_qrDyjpZurEaEwf-PU67LMA_16_16"/>
      <w:bookmarkStart w:id="460" w:name="Tc_WEwHkCZ2lUaHqdyuBAgo8w_16_13"/>
      <w:bookmarkStart w:id="461" w:name="Tc_oJMhHvUdvUKG7PFHMCj91g_16_10"/>
      <w:bookmarkStart w:id="462" w:name="Tc_61RkHyvsxk2BdtzpESVCoQ_16_7"/>
      <w:bookmarkStart w:id="463" w:name="Tc_6Csu7WwGIkmmTXBN1A3Tgw_16_4"/>
      <w:bookmarkStart w:id="464" w:name="Tc_5fjPlnnw3EW3_ZiKFt0tWA_16_0"/>
      <w:bookmarkStart w:id="465" w:name="Tc_ZRpHfQTTr0aoLGvHvQtxpg_15_11"/>
      <w:bookmarkStart w:id="466" w:name="Tc_tNhPSw5RpEirYMuqpcWgIg_15_8"/>
      <w:bookmarkStart w:id="467" w:name="Tc_pu01cuFJpEezgBO7bQcO8g_15_5"/>
      <w:bookmarkStart w:id="468" w:name="Tc_gO5ao16JtkK8Mhy5n7PNZg_15_2"/>
      <w:bookmarkStart w:id="469" w:name="Tc_b5l1EjCw-EKuhRZS87hGBw_15_0"/>
      <w:bookmarkStart w:id="470" w:name="Tc_GzHigBGsXEeU4PTEjws51Q_14_14"/>
      <w:bookmarkStart w:id="471" w:name="Tc_m2JUYRDlt02OCS5bJ2UIdA_14_8"/>
      <w:bookmarkStart w:id="472" w:name="Tc_N8VrhIQZYkmIyykEnpdoIg_14_5"/>
      <w:bookmarkStart w:id="473" w:name="Tc_QWk1GIwhK0ux-JFwymXnKQ_14_2"/>
      <w:bookmarkStart w:id="474" w:name="Tc_gcJI4khyoUekQGUiXsH8Jg_14_0"/>
      <w:bookmarkStart w:id="475" w:name="Tc_pbdpbo_vfUG5RdDAMOeHsg_13_14"/>
      <w:bookmarkStart w:id="476" w:name="Tc_TD8TocU98UW9jB0PaLkx_Q_13_11"/>
      <w:bookmarkStart w:id="477" w:name="Tc__RB8Hx_6YE6_jJeGdD_9Gg_13_5"/>
      <w:bookmarkStart w:id="478" w:name="Tc_xGk0OwU4okGxElKyjeYwBg_13_2"/>
      <w:bookmarkStart w:id="479" w:name="Tc_ISd1pmtY002QonwPopYMEA_13_0"/>
      <w:bookmarkStart w:id="480" w:name="Tc_8dkqsiFp2Eeme70uw5up_Q_12_14"/>
      <w:bookmarkStart w:id="481" w:name="Tc_DfARtQdgDU6nDLxtqkakfA_12_11"/>
      <w:bookmarkStart w:id="482" w:name="Tc_NqDa85UZZ0-Z63P7IKSZbw_12_5"/>
      <w:bookmarkStart w:id="483" w:name="Tc_n9hj-KGrQkeUbgpjdhS31g_12_0"/>
      <w:bookmarkStart w:id="484" w:name="Tc_UqxgV61li0-Qrgt99DSWXg_11_16"/>
      <w:bookmarkStart w:id="485" w:name="Tc_4b837Hz6rkSM4p5DiSBv1Q_11_13"/>
      <w:bookmarkStart w:id="486" w:name="Tc_Z9pHpfPRPUe1cQ-Qc19J0Q_11_10"/>
      <w:bookmarkStart w:id="487" w:name="Tc_g5xH7tip40u6Vejk5dxyHw_11_7"/>
      <w:bookmarkStart w:id="488" w:name="Tc_IC15HwMnGEGtWxk53ON7bg_11_4"/>
      <w:bookmarkStart w:id="489" w:name="Tc_9Qh0eSDxsEmknMFKp20YHA_11_0"/>
      <w:bookmarkStart w:id="490" w:name="Tc_3HnBCFU43EGuIYo_kG0kDw_10_11"/>
      <w:bookmarkStart w:id="491" w:name="Tc_5eQ56obiWECPOdaz4hRh6A_10_8"/>
      <w:bookmarkStart w:id="492" w:name="Tc_52ZHMOrSqUy2aFt1mfCNHA_10_5"/>
      <w:bookmarkStart w:id="493" w:name="Tc_rP-rCZOvSkSpb0xfRIVI-Q_10_2"/>
      <w:bookmarkStart w:id="494" w:name="Tc_u8j8luXoTEmhrCWJ9SdNZA_10_0"/>
      <w:bookmarkStart w:id="495" w:name="Tc_4-YQSATTvk-R4SNv5_hLwQ_9_14"/>
      <w:bookmarkStart w:id="496" w:name="Tc_4N124_jhqk6Qv_1LXZxU9A_9_8"/>
      <w:bookmarkStart w:id="497" w:name="Tc_E3GCCLY1v0yxIIF-zaLBFQ_9_5"/>
      <w:bookmarkStart w:id="498" w:name="Tc_PvQFgeCPZESYz8R2azrKKQ_9_2"/>
      <w:bookmarkStart w:id="499" w:name="Tc_WdXkxgf_z0C0tQxMLXyWrA_9_0"/>
      <w:bookmarkStart w:id="500" w:name="Tc_50o-Qrbknkyv86gFUbnUKw_8_14"/>
      <w:bookmarkStart w:id="501" w:name="Tc_HYw6xaDAn06U6UmzobBtOA_8_11"/>
      <w:bookmarkStart w:id="502" w:name="Tc_eYxoGWE3TkSe2SAFc-BROQ_8_5"/>
      <w:bookmarkStart w:id="503" w:name="Tc_Bkqv2LJpE0SSXUX7Myy0zw_8_2"/>
      <w:bookmarkStart w:id="504" w:name="Tc_eBqxxVhJC0aWr7tcnAbBvA_8_0"/>
      <w:bookmarkStart w:id="505" w:name="Tc_1a7SBXoxk06Jq6UybYsv8w_7_14"/>
      <w:bookmarkStart w:id="506" w:name="Tc_JZiunfqZkEWjZ8rosApvHA_7_11"/>
      <w:bookmarkStart w:id="507" w:name="Tc_yH2Y0Ohr40qV6JVOaLNpQA_7_5"/>
      <w:bookmarkStart w:id="508" w:name="Tc_fIdsjpJGU0iGB4hZ5ryj7A_7_0"/>
      <w:bookmarkStart w:id="509" w:name="Tc_o6JJzBBuNEuYAZZthgMHaw_6_16"/>
      <w:bookmarkStart w:id="510" w:name="Tc_Pt5ehpEHIUSvh25tdBsGeg_6_13"/>
      <w:bookmarkStart w:id="511" w:name="Tc_SHHh98RATkuWUKHzrJIn6A_6_10"/>
      <w:bookmarkStart w:id="512" w:name="Tc_dmw-9CD4H0qNk6YpWFxBFQ_6_7"/>
      <w:bookmarkStart w:id="513" w:name="Tc_2S2jBhczIkaIGcIMYeq0UQ_6_4"/>
      <w:bookmarkStart w:id="514" w:name="Tc_pYgsbSi9X0K7WxgQXEOJlQ_6_0"/>
      <w:bookmarkStart w:id="515" w:name="Tc_2cT0ZcoZD0uKG0fH49BlUg_5_2"/>
      <w:bookmarkStart w:id="516" w:name="Tc_89KiVOeERk6Fzp-M1lVdJw_4_16"/>
      <w:bookmarkStart w:id="517" w:name="Tc_WcI1ZUJjhkSgApZaweWSrw_4_13"/>
      <w:bookmarkStart w:id="518" w:name="Tc_5czX_c7nsE-PDMW7ro3VPA_4_10"/>
      <w:bookmarkStart w:id="519" w:name="Tc_-K609SC-F0aNtoE88gXnGQ_4_7"/>
      <w:bookmarkStart w:id="520" w:name="Tc_cotC_U4RUUydIRp2yxuVow_4_4"/>
      <w:bookmarkStart w:id="521" w:name="Tc_czmnJmXVaUOW9BCUosapsA_4_2"/>
      <w:bookmarkStart w:id="522" w:name="Tc_esYfgo8IqUK7HEEk5bMqJQ_3_16"/>
      <w:bookmarkStart w:id="523" w:name="Tc_WkU7RCXoB0aAsr7Y1tHzxg_3_13"/>
      <w:bookmarkStart w:id="524" w:name="Tc_bm56i5ousE-nbszJoLFpSw_3_10"/>
      <w:bookmarkStart w:id="525" w:name="Tc_rukkp3tkNkeRGexIy-m9PQ_3_7"/>
      <w:bookmarkStart w:id="526" w:name="Tc_PZPQ_H9KjUCYhbQJ7YfCnA_3_4"/>
      <w:bookmarkStart w:id="527" w:name="Tc_gvt0L519xka7Y1ST53HGmA_3_2"/>
      <w:bookmarkStart w:id="528" w:name="Tc_O1Opr5DfpE66r1UCoIpsfA_2_16"/>
      <w:bookmarkStart w:id="529" w:name="Tc_6W47L0AxwkqJx3fWjeD8XA_2_10"/>
      <w:bookmarkStart w:id="530" w:name="Tc_NNkmGmPCdkKZZ2ZG1rFNYA_2_7"/>
      <w:bookmarkStart w:id="531" w:name="Tc_5hrRrHV4oUq0QkVPClf-MA_2_4"/>
      <w:bookmarkStart w:id="532" w:name="Tc_YIlIAaRVMEe49MTxlGAePA_2_2"/>
      <w:bookmarkStart w:id="533" w:name="Tc_kyy1wNHlmkOmlPW3fP22Mg_1_10"/>
      <w:bookmarkStart w:id="534" w:name="_7de56773_b0be_4ffa_955c_22483496e9d1"/>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Pr>
          <w:rFonts w:ascii="Times New Roman;Times;serif" w:hAnsi="Times New Roman;Times;serif"/>
          <w:b/>
          <w:sz w:val="20"/>
        </w:rPr>
        <w:t>(7) Stockholders’ Equity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May 2016, the Company entered into a controlled equity offering sales agreement (the “Cantor Agreement”) with Cantor Fitzgerald &amp; Co. (“Cantor”) to allow the Company to issue and sell shares of its common stock from time to time through Cantor, acting as agent. At June 30, 2023, the Company had $50.0 million remaining in aggregate gross offering price available under the Company’s November 2020 prospectus.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Stockholders’ Equity during the three and six months ended June 30, 2023 and 2022 are summarized below:</w:t>
      </w:r>
    </w:p>
    <w:p>
      <w:pPr>
        <w:pStyle w:val="TextBody"/>
        <w:bidi w:val="0"/>
        <w:spacing w:before="0" w:after="0"/>
        <w:ind w:left="0" w:right="0" w:hanging="0"/>
        <w:jc w:val="left"/>
        <w:rPr/>
      </w:pPr>
      <w:r>
        <w:rPr/>
        <w:t>​</w:t>
      </w:r>
    </w:p>
    <w:tbl>
      <w:tblPr>
        <w:tblW w:w="10216" w:type="dxa"/>
        <w:jc w:val="left"/>
        <w:tblInd w:w="0" w:type="dxa"/>
        <w:tblLayout w:type="fixed"/>
        <w:tblCellMar>
          <w:top w:w="0" w:type="dxa"/>
          <w:left w:w="0" w:type="dxa"/>
          <w:bottom w:w="0" w:type="dxa"/>
          <w:right w:w="0" w:type="dxa"/>
        </w:tblCellMar>
      </w:tblPr>
      <w:tblGrid>
        <w:gridCol w:w="1741"/>
        <w:gridCol w:w="326"/>
        <w:gridCol w:w="1036"/>
        <w:gridCol w:w="326"/>
        <w:gridCol w:w="312"/>
        <w:gridCol w:w="514"/>
        <w:gridCol w:w="326"/>
        <w:gridCol w:w="211"/>
        <w:gridCol w:w="931"/>
        <w:gridCol w:w="326"/>
        <w:gridCol w:w="327"/>
        <w:gridCol w:w="889"/>
        <w:gridCol w:w="326"/>
        <w:gridCol w:w="211"/>
        <w:gridCol w:w="991"/>
        <w:gridCol w:w="326"/>
        <w:gridCol w:w="211"/>
        <w:gridCol w:w="88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105535" cy="175260"/>
                      <wp:effectExtent l="0" t="0" r="0" b="0"/>
                      <wp:wrapNone/>
                      <wp:docPr id="74" name="Frame74"/>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57860" cy="175260"/>
                      <wp:effectExtent l="0" t="0" r="0" b="0"/>
                      <wp:wrapNone/>
                      <wp:docPr id="76" name="Frame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98120" cy="175260"/>
                      <wp:effectExtent l="0" t="0" r="0" b="0"/>
                      <wp:wrapNone/>
                      <wp:docPr id="78" name="Frame7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26390" cy="175260"/>
                      <wp:effectExtent l="0" t="0" r="0" b="0"/>
                      <wp:wrapNone/>
                      <wp:docPr id="79" name="Frame79"/>
                      <a:graphic xmlns:a="http://schemas.openxmlformats.org/drawingml/2006/main">
                        <a:graphicData uri="http://schemas.microsoft.com/office/word/2010/wordprocessingShape">
                          <wps:wsp>
                            <wps:cNvSpPr txBox="1"/>
                            <wps:spPr>
                              <a:xfrm>
                                <a:off x="0" y="0"/>
                                <a:ext cx="326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591185" cy="175260"/>
                      <wp:effectExtent l="0" t="0" r="0" b="0"/>
                      <wp:wrapNone/>
                      <wp:docPr id="82" name="Frame8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645" cy="175260"/>
                      <wp:effectExtent l="0" t="0" r="0" b="0"/>
                      <wp:wrapNone/>
                      <wp:docPr id="84" name="Frame84"/>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564515" cy="175260"/>
                      <wp:effectExtent l="0" t="0" r="0" b="0"/>
                      <wp:wrapNone/>
                      <wp:docPr id="85" name="Frame85"/>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29285" cy="175260"/>
                      <wp:effectExtent l="0" t="0" r="0" b="0"/>
                      <wp:wrapNone/>
                      <wp:docPr id="88" name="Frame8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90"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562610" cy="175260"/>
                      <wp:effectExtent l="0" t="0" r="0" b="0"/>
                      <wp:wrapNone/>
                      <wp:docPr id="91" name="Frame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16"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49"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47,200,695</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1,580,829</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(1,255,932)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326,204</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43,986</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c>
          <w:tcPr>
            <w:tcW w:w="32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694</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shd w:fill="CCEEFF" w:val="clear"/>
            <w:vAlign w:val="center"/>
          </w:tcPr>
          <w:p>
            <w:pPr>
              <w:pStyle w:val="TableContents"/>
              <w:bidi w:val="0"/>
              <w:spacing w:before="0" w:after="0"/>
              <w:ind w:left="0" w:right="0" w:hanging="0"/>
              <w:jc w:val="left"/>
              <w:rPr/>
            </w:pPr>
            <w:r>
              <w:rPr/>
              <w:t> </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4,340</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pPr>
            <w:r>
              <w:rPr/>
              <w:t> </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2023</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47,244,681</w:t>
            </w:r>
          </w:p>
        </w:tc>
        <w:tc>
          <w:tcPr>
            <w:tcW w:w="326" w:type="dxa"/>
            <w:tcBorders/>
            <w:vAlign w:val="center"/>
          </w:tcPr>
          <w:p>
            <w:pPr>
              <w:pStyle w:val="TableContents"/>
              <w:bidi w:val="0"/>
              <w:spacing w:before="0" w:after="0"/>
              <w:ind w:left="0" w:right="0" w:hanging="0"/>
              <w:jc w:val="left"/>
              <w:rPr/>
            </w:pPr>
            <w:r>
              <w:rPr/>
              <w:t> </w:t>
            </w:r>
          </w:p>
        </w:tc>
        <w:tc>
          <w:tcPr>
            <w:tcW w:w="3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1,585,863</w:t>
            </w:r>
          </w:p>
        </w:tc>
        <w:tc>
          <w:tcPr>
            <w:tcW w:w="326" w:type="dxa"/>
            <w:tcBorders/>
            <w:vAlign w:val="center"/>
          </w:tcPr>
          <w:p>
            <w:pPr>
              <w:pStyle w:val="TableContents"/>
              <w:bidi w:val="0"/>
              <w:spacing w:before="0" w:after="0"/>
              <w:ind w:left="0" w:right="0" w:hanging="0"/>
              <w:jc w:val="left"/>
              <w:rPr/>
            </w:pPr>
            <w:r>
              <w:rPr/>
              <w:t> </w:t>
            </w:r>
          </w:p>
        </w:tc>
        <w:tc>
          <w:tcPr>
            <w:tcW w:w="3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(1,285,293)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302,740</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9,132</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vAlign w:val="center"/>
          </w:tcPr>
          <w:p>
            <w:pPr>
              <w:pStyle w:val="TableContents"/>
              <w:bidi w:val="0"/>
              <w:spacing w:before="0" w:after="0"/>
              <w:ind w:left="0" w:right="0" w:hanging="0"/>
              <w:jc w:val="left"/>
              <w:rPr/>
            </w:pPr>
            <w:r>
              <w:rPr/>
              <w:t>​</w:t>
            </w:r>
          </w:p>
        </w:tc>
        <w:tc>
          <w:tcPr>
            <w:tcW w:w="51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326" w:type="dxa"/>
            <w:tcBorders/>
            <w:vAlign w:val="center"/>
          </w:tcPr>
          <w:p>
            <w:pPr>
              <w:pStyle w:val="TableContents"/>
              <w:bidi w:val="0"/>
              <w:spacing w:before="0" w:after="0"/>
              <w:ind w:left="0" w:right="0" w:hanging="0"/>
              <w:jc w:val="left"/>
              <w:rPr/>
            </w:pPr>
            <w:r>
              <w:rPr/>
              <w:t>​</w:t>
            </w:r>
          </w:p>
        </w:tc>
        <w:tc>
          <w:tcPr>
            <w:tcW w:w="327"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pPr>
            <w:r>
              <w:rPr/>
              <w:t>​</w:t>
            </w:r>
          </w:p>
        </w:tc>
        <w:tc>
          <w:tcPr>
            <w:tcW w:w="51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174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r>
      <w:tr>
        <w:trPr/>
        <w:tc>
          <w:tcPr>
            <w:tcW w:w="174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47,253,813</w:t>
            </w:r>
          </w:p>
        </w:tc>
        <w:tc>
          <w:tcPr>
            <w:tcW w:w="326" w:type="dxa"/>
            <w:tcBorders/>
            <w:shd w:fill="CCEEFF" w:val="clear"/>
            <w:vAlign w:val="center"/>
          </w:tcPr>
          <w:p>
            <w:pPr>
              <w:pStyle w:val="TableContents"/>
              <w:bidi w:val="0"/>
              <w:spacing w:before="0" w:after="0"/>
              <w:ind w:left="0" w:right="0" w:hanging="0"/>
              <w:jc w:val="left"/>
              <w:rPr/>
            </w:pPr>
            <w:r>
              <w:rPr/>
              <w:t>​</w:t>
            </w:r>
          </w:p>
        </w:tc>
        <w:tc>
          <w:tcPr>
            <w:tcW w:w="3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1,591,213</w:t>
            </w:r>
          </w:p>
        </w:tc>
        <w:tc>
          <w:tcPr>
            <w:tcW w:w="326" w:type="dxa"/>
            <w:tcBorders/>
            <w:shd w:fill="CCEEFF" w:val="clear"/>
            <w:vAlign w:val="center"/>
          </w:tcPr>
          <w:p>
            <w:pPr>
              <w:pStyle w:val="TableContents"/>
              <w:bidi w:val="0"/>
              <w:spacing w:before="0" w:after="0"/>
              <w:ind w:left="0" w:right="0" w:hanging="0"/>
              <w:jc w:val="left"/>
              <w:rPr/>
            </w:pPr>
            <w:r>
              <w:rPr/>
              <w:t>​</w:t>
            </w:r>
          </w:p>
        </w:tc>
        <w:tc>
          <w:tcPr>
            <w:tcW w:w="32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(1,315,795)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277,537</w:t>
            </w:r>
          </w:p>
        </w:tc>
      </w:tr>
    </w:tbl>
    <w:p>
      <w:pPr>
        <w:pStyle w:val="TextBody"/>
        <w:bidi w:val="0"/>
        <w:spacing w:before="0" w:after="0"/>
        <w:ind w:left="0" w:right="0" w:hanging="0"/>
        <w:jc w:val="left"/>
        <w:rPr>
          <w:smallCaps/>
        </w:rPr>
      </w:pPr>
      <w:r>
        <w:rPr>
          <w:small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535" w:name="Tc_JozvvA5Cg0mRZKDdRgxVmQ_16_16"/>
      <w:bookmarkStart w:id="536" w:name="Tc_S7OvSF1PFUqRVcvOi7R-7Q_16_13"/>
      <w:bookmarkStart w:id="537" w:name="Tc_bjsQoZ9HzUiZ83MR9k7yaw_16_10"/>
      <w:bookmarkStart w:id="538" w:name="Tc_RiVpPNiQc0COfgZlbWIepw_16_7"/>
      <w:bookmarkStart w:id="539" w:name="Tc_JTKeXlct9EKxOV_MR8J1Ww_16_4"/>
      <w:bookmarkStart w:id="540" w:name="Tc_zVW9woy09USaU1V06DTDXw_16_0"/>
      <w:bookmarkStart w:id="541" w:name="Tc_RkJrqakxm0ewU8psOLnqrQ_15_11"/>
      <w:bookmarkStart w:id="542" w:name="Tc_mVdhqhGa-ESEYIs7_C74uA_15_8"/>
      <w:bookmarkStart w:id="543" w:name="Tc_CUSJMy2R5kK1h2ZWl-ps1g_15_5"/>
      <w:bookmarkStart w:id="544" w:name="Tc_U3sMcKUkV0CIVJnLmvsbUA_15_2"/>
      <w:bookmarkStart w:id="545" w:name="Tc_QRZui_y--UGoUv5syjg-jQ_15_0"/>
      <w:bookmarkStart w:id="546" w:name="Tc_28bF_JnzmEKkD18JEJNXBQ_14_14"/>
      <w:bookmarkStart w:id="547" w:name="Tc_5Ojevgcz6Ey9ms6jlEaWiA_14_8"/>
      <w:bookmarkStart w:id="548" w:name="Tc_SjlpVjn93kSk55YUmweqlg_14_5"/>
      <w:bookmarkStart w:id="549" w:name="Tc_EMsw5O_WyUiLB3hW__NYtw_14_2"/>
      <w:bookmarkStart w:id="550" w:name="Tc_eU0EZfLIwUOw_gCPia-XEw_14_0"/>
      <w:bookmarkStart w:id="551" w:name="Tc_Wq_6rCRQa0qmEBbqL_5H6g_13_14"/>
      <w:bookmarkStart w:id="552" w:name="Tc_nUYGmLVtRUOuebCP80upzA_13_11"/>
      <w:bookmarkStart w:id="553" w:name="Tc_j8GFJHzrC0uSDccNjVnYYw_13_5"/>
      <w:bookmarkStart w:id="554" w:name="Tc_APADIr_ikUSacS7nAvxjUA_13_2"/>
      <w:bookmarkStart w:id="555" w:name="Tc_fWQzSY1bLUubdumd8BwMdA_13_0"/>
      <w:bookmarkStart w:id="556" w:name="Tc_Ag0imPyUsEuR0JkYHX4V0Q_12_14"/>
      <w:bookmarkStart w:id="557" w:name="Tc_4eAj_UQhLUOOoAgD7b9plA_12_11"/>
      <w:bookmarkStart w:id="558" w:name="Tc_B54GAKZT5kSOib4hiDt0Lw_12_5"/>
      <w:bookmarkStart w:id="559" w:name="Tc_lyGAkDGEnkOPobSH5pIwJw_12_0"/>
      <w:bookmarkStart w:id="560" w:name="Tc_ab4BeWz0KUub1yp-FP0sIA_11_16"/>
      <w:bookmarkStart w:id="561" w:name="Tc_ARSCJyX5fUaSdQOt4LiA4Q_11_13"/>
      <w:bookmarkStart w:id="562" w:name="Tc_w45aA1RkTku7SCnEWIUsrg_11_10"/>
      <w:bookmarkStart w:id="563" w:name="Tc_urDdLGqGX0iDMNw3v3Ebxg_11_7"/>
      <w:bookmarkStart w:id="564" w:name="Tc_oRvnyM_I80enfdAZ_nRhUQ_11_4"/>
      <w:bookmarkStart w:id="565" w:name="Tc_j_deg9DzkUu86i9k-yZ5CA_11_0"/>
      <w:bookmarkStart w:id="566" w:name="Tc_8eoug6fOY0CVsIGp-v1SFg_10_11"/>
      <w:bookmarkStart w:id="567" w:name="Tc_V0lX2swJf0OQis8es5vAzg_10_8"/>
      <w:bookmarkStart w:id="568" w:name="Tc_3LwX1RzVZE-23MpqfybBTw_10_5"/>
      <w:bookmarkStart w:id="569" w:name="Tc_ghd9wJOvI0ywvuatJACIqQ_10_2"/>
      <w:bookmarkStart w:id="570" w:name="Tc_pd-OJJHRyU62ix9NZ8Rviw_10_0"/>
      <w:bookmarkStart w:id="571" w:name="Tc_EAQG5mEZFUWiwb1nCmIq9g_9_14"/>
      <w:bookmarkStart w:id="572" w:name="Tc_zIH1P9GY7EmaqoYDLeuBWg_9_8"/>
      <w:bookmarkStart w:id="573" w:name="Tc_vbbigH65W0iJPLxK7_zDIA_9_5"/>
      <w:bookmarkStart w:id="574" w:name="Tc_cDDYvXfHqUC62a16P12uqQ_9_2"/>
      <w:bookmarkStart w:id="575" w:name="Tc_oDR1imUvHUqbuFqSo7h4cQ_9_0"/>
      <w:bookmarkStart w:id="576" w:name="Tc_99SfAYFYSE2Zwc9tuL_3Ug_8_14"/>
      <w:bookmarkStart w:id="577" w:name="Tc_JIxJG3CgMUSUqTuG1RpGog_8_11"/>
      <w:bookmarkStart w:id="578" w:name="Tc_yWWwnQPuUkK-iylBXDAXPg_8_5"/>
      <w:bookmarkStart w:id="579" w:name="Tc_gK7q8DZ7D0mKn82zM1_SrQ_8_2"/>
      <w:bookmarkStart w:id="580" w:name="Tc_oDdX9LF9FkiMSbhP7Hsc7w_8_0"/>
      <w:bookmarkStart w:id="581" w:name="Tc_zYN9_xfA4kKpV5sUSv5oEQ_7_14"/>
      <w:bookmarkStart w:id="582" w:name="Tc_qn5aWiIifEyB5Gd1j7M76Q_7_11"/>
      <w:bookmarkStart w:id="583" w:name="Tc_0AJZa1JzD0G87zphoRRqBA_7_5"/>
      <w:bookmarkStart w:id="584" w:name="Tc_8tXTR1Z8WEmbzpZH_UKVWA_7_0"/>
      <w:bookmarkStart w:id="585" w:name="Tc_Nn0slewmfEODoGJsjsjNzg_6_16"/>
      <w:bookmarkStart w:id="586" w:name="Tc_sYQBN7rnIU2mtY7oo6FSwA_6_13"/>
      <w:bookmarkStart w:id="587" w:name="Tc_u6zvWWUS_U617lJTiZZiXw_6_10"/>
      <w:bookmarkStart w:id="588" w:name="Tc_rY-N1do5Ik-mDaZEq4AkXg_6_7"/>
      <w:bookmarkStart w:id="589" w:name="Tc_iOiSnraLckWLJISShiDC0Q_6_4"/>
      <w:bookmarkStart w:id="590" w:name="Tc_8x9TheXdJEWFQ-MwYiVFOw_6_0"/>
      <w:bookmarkStart w:id="591" w:name="Tc_PN0FUn7jZEmRur3BF5ANmw_5_2"/>
      <w:bookmarkStart w:id="592" w:name="Tc_V3z-K0n5fkaE5HsW5_4R_w_4_16"/>
      <w:bookmarkStart w:id="593" w:name="Tc_3AKX6yNVzUa2kvkW9JCt1Q_4_13"/>
      <w:bookmarkStart w:id="594" w:name="Tc_eipv7Qhypken0SJMBbEB9w_4_10"/>
      <w:bookmarkStart w:id="595" w:name="Tc_pkE9NUovlkmIwmiJxiHp5g_4_7"/>
      <w:bookmarkStart w:id="596" w:name="Tc_HAL8eeDJ4kqLtTX2th5NaA_4_4"/>
      <w:bookmarkStart w:id="597" w:name="Tc__LgH7lPIc02lpvpmdZuzIg_4_2"/>
      <w:bookmarkStart w:id="598" w:name="Tc_MA2V95WG9068YEPFsuaZSQ_3_16"/>
      <w:bookmarkStart w:id="599" w:name="Tc_nDg1mtz0P0iB6U2O_I_xwQ_3_13"/>
      <w:bookmarkStart w:id="600" w:name="Tc_c-YPtsBp7kmXgKqk8WQwAA_3_10"/>
      <w:bookmarkStart w:id="601" w:name="Tc_Wtjj2UFVMEGOvGesqoElIQ_3_7"/>
      <w:bookmarkStart w:id="602" w:name="Tc_ZZMh-k4QhkiGqO9fI74LHg_3_4"/>
      <w:bookmarkStart w:id="603" w:name="Tc_NS_mdWFgaE-O3LLfMZxA4g_3_2"/>
      <w:bookmarkStart w:id="604" w:name="Tc_-Gfc6vMScU-HU2T_Ls87QQ_2_16"/>
      <w:bookmarkStart w:id="605" w:name="Tc_rbog_fjU40O_xGOg5pmQSw_2_10"/>
      <w:bookmarkStart w:id="606" w:name="Tc_Lk6NFF7mv0ufcvCmUET73w_2_7"/>
      <w:bookmarkStart w:id="607" w:name="Tc_wXv7o8dAkkarZB5Y-0_few_2_4"/>
      <w:bookmarkStart w:id="608" w:name="Tc_quXGOLqe0Eymc4PvFFJWwQ_2_2"/>
      <w:bookmarkStart w:id="609" w:name="Tc_goBaZltbXkeM4jJVdO9UQA_1_10"/>
      <w:bookmarkStart w:id="610" w:name="_72c75577_e744_4a8c_9098_303a744f0c65"/>
      <w:bookmarkStart w:id="611" w:name="Tc_JozvvA5Cg0mRZKDdRgxVmQ_16_16"/>
      <w:bookmarkStart w:id="612" w:name="Tc_S7OvSF1PFUqRVcvOi7R-7Q_16_13"/>
      <w:bookmarkStart w:id="613" w:name="Tc_bjsQoZ9HzUiZ83MR9k7yaw_16_10"/>
      <w:bookmarkStart w:id="614" w:name="Tc_RiVpPNiQc0COfgZlbWIepw_16_7"/>
      <w:bookmarkStart w:id="615" w:name="Tc_JTKeXlct9EKxOV_MR8J1Ww_16_4"/>
      <w:bookmarkStart w:id="616" w:name="Tc_zVW9woy09USaU1V06DTDXw_16_0"/>
      <w:bookmarkStart w:id="617" w:name="Tc_RkJrqakxm0ewU8psOLnqrQ_15_11"/>
      <w:bookmarkStart w:id="618" w:name="Tc_mVdhqhGa-ESEYIs7_C74uA_15_8"/>
      <w:bookmarkStart w:id="619" w:name="Tc_CUSJMy2R5kK1h2ZWl-ps1g_15_5"/>
      <w:bookmarkStart w:id="620" w:name="Tc_U3sMcKUkV0CIVJnLmvsbUA_15_2"/>
      <w:bookmarkStart w:id="621" w:name="Tc_QRZui_y--UGoUv5syjg-jQ_15_0"/>
      <w:bookmarkStart w:id="622" w:name="Tc_28bF_JnzmEKkD18JEJNXBQ_14_14"/>
      <w:bookmarkStart w:id="623" w:name="Tc_5Ojevgcz6Ey9ms6jlEaWiA_14_8"/>
      <w:bookmarkStart w:id="624" w:name="Tc_SjlpVjn93kSk55YUmweqlg_14_5"/>
      <w:bookmarkStart w:id="625" w:name="Tc_EMsw5O_WyUiLB3hW__NYtw_14_2"/>
      <w:bookmarkStart w:id="626" w:name="Tc_eU0EZfLIwUOw_gCPia-XEw_14_0"/>
      <w:bookmarkStart w:id="627" w:name="Tc_Wq_6rCRQa0qmEBbqL_5H6g_13_14"/>
      <w:bookmarkStart w:id="628" w:name="Tc_nUYGmLVtRUOuebCP80upzA_13_11"/>
      <w:bookmarkStart w:id="629" w:name="Tc_j8GFJHzrC0uSDccNjVnYYw_13_5"/>
      <w:bookmarkStart w:id="630" w:name="Tc_APADIr_ikUSacS7nAvxjUA_13_2"/>
      <w:bookmarkStart w:id="631" w:name="Tc_fWQzSY1bLUubdumd8BwMdA_13_0"/>
      <w:bookmarkStart w:id="632" w:name="Tc_Ag0imPyUsEuR0JkYHX4V0Q_12_14"/>
      <w:bookmarkStart w:id="633" w:name="Tc_4eAj_UQhLUOOoAgD7b9plA_12_11"/>
      <w:bookmarkStart w:id="634" w:name="Tc_B54GAKZT5kSOib4hiDt0Lw_12_5"/>
      <w:bookmarkStart w:id="635" w:name="Tc_lyGAkDGEnkOPobSH5pIwJw_12_0"/>
      <w:bookmarkStart w:id="636" w:name="Tc_ab4BeWz0KUub1yp-FP0sIA_11_16"/>
      <w:bookmarkStart w:id="637" w:name="Tc_ARSCJyX5fUaSdQOt4LiA4Q_11_13"/>
      <w:bookmarkStart w:id="638" w:name="Tc_w45aA1RkTku7SCnEWIUsrg_11_10"/>
      <w:bookmarkStart w:id="639" w:name="Tc_urDdLGqGX0iDMNw3v3Ebxg_11_7"/>
      <w:bookmarkStart w:id="640" w:name="Tc_oRvnyM_I80enfdAZ_nRhUQ_11_4"/>
      <w:bookmarkStart w:id="641" w:name="Tc_j_deg9DzkUu86i9k-yZ5CA_11_0"/>
      <w:bookmarkStart w:id="642" w:name="Tc_8eoug6fOY0CVsIGp-v1SFg_10_11"/>
      <w:bookmarkStart w:id="643" w:name="Tc_V0lX2swJf0OQis8es5vAzg_10_8"/>
      <w:bookmarkStart w:id="644" w:name="Tc_3LwX1RzVZE-23MpqfybBTw_10_5"/>
      <w:bookmarkStart w:id="645" w:name="Tc_ghd9wJOvI0ywvuatJACIqQ_10_2"/>
      <w:bookmarkStart w:id="646" w:name="Tc_pd-OJJHRyU62ix9NZ8Rviw_10_0"/>
      <w:bookmarkStart w:id="647" w:name="Tc_EAQG5mEZFUWiwb1nCmIq9g_9_14"/>
      <w:bookmarkStart w:id="648" w:name="Tc_zIH1P9GY7EmaqoYDLeuBWg_9_8"/>
      <w:bookmarkStart w:id="649" w:name="Tc_vbbigH65W0iJPLxK7_zDIA_9_5"/>
      <w:bookmarkStart w:id="650" w:name="Tc_cDDYvXfHqUC62a16P12uqQ_9_2"/>
      <w:bookmarkStart w:id="651" w:name="Tc_oDR1imUvHUqbuFqSo7h4cQ_9_0"/>
      <w:bookmarkStart w:id="652" w:name="Tc_99SfAYFYSE2Zwc9tuL_3Ug_8_14"/>
      <w:bookmarkStart w:id="653" w:name="Tc_JIxJG3CgMUSUqTuG1RpGog_8_11"/>
      <w:bookmarkStart w:id="654" w:name="Tc_yWWwnQPuUkK-iylBXDAXPg_8_5"/>
      <w:bookmarkStart w:id="655" w:name="Tc_gK7q8DZ7D0mKn82zM1_SrQ_8_2"/>
      <w:bookmarkStart w:id="656" w:name="Tc_oDdX9LF9FkiMSbhP7Hsc7w_8_0"/>
      <w:bookmarkStart w:id="657" w:name="Tc_zYN9_xfA4kKpV5sUSv5oEQ_7_14"/>
      <w:bookmarkStart w:id="658" w:name="Tc_qn5aWiIifEyB5Gd1j7M76Q_7_11"/>
      <w:bookmarkStart w:id="659" w:name="Tc_0AJZa1JzD0G87zphoRRqBA_7_5"/>
      <w:bookmarkStart w:id="660" w:name="Tc_8tXTR1Z8WEmbzpZH_UKVWA_7_0"/>
      <w:bookmarkStart w:id="661" w:name="Tc_Nn0slewmfEODoGJsjsjNzg_6_16"/>
      <w:bookmarkStart w:id="662" w:name="Tc_sYQBN7rnIU2mtY7oo6FSwA_6_13"/>
      <w:bookmarkStart w:id="663" w:name="Tc_u6zvWWUS_U617lJTiZZiXw_6_10"/>
      <w:bookmarkStart w:id="664" w:name="Tc_rY-N1do5Ik-mDaZEq4AkXg_6_7"/>
      <w:bookmarkStart w:id="665" w:name="Tc_iOiSnraLckWLJISShiDC0Q_6_4"/>
      <w:bookmarkStart w:id="666" w:name="Tc_8x9TheXdJEWFQ-MwYiVFOw_6_0"/>
      <w:bookmarkStart w:id="667" w:name="Tc_PN0FUn7jZEmRur3BF5ANmw_5_2"/>
      <w:bookmarkStart w:id="668" w:name="Tc_V3z-K0n5fkaE5HsW5_4R_w_4_16"/>
      <w:bookmarkStart w:id="669" w:name="Tc_3AKX6yNVzUa2kvkW9JCt1Q_4_13"/>
      <w:bookmarkStart w:id="670" w:name="Tc_eipv7Qhypken0SJMBbEB9w_4_10"/>
      <w:bookmarkStart w:id="671" w:name="Tc_pkE9NUovlkmIwmiJxiHp5g_4_7"/>
      <w:bookmarkStart w:id="672" w:name="Tc_HAL8eeDJ4kqLtTX2th5NaA_4_4"/>
      <w:bookmarkStart w:id="673" w:name="Tc__LgH7lPIc02lpvpmdZuzIg_4_2"/>
      <w:bookmarkStart w:id="674" w:name="Tc_MA2V95WG9068YEPFsuaZSQ_3_16"/>
      <w:bookmarkStart w:id="675" w:name="Tc_nDg1mtz0P0iB6U2O_I_xwQ_3_13"/>
      <w:bookmarkStart w:id="676" w:name="Tc_c-YPtsBp7kmXgKqk8WQwAA_3_10"/>
      <w:bookmarkStart w:id="677" w:name="Tc_Wtjj2UFVMEGOvGesqoElIQ_3_7"/>
      <w:bookmarkStart w:id="678" w:name="Tc_ZZMh-k4QhkiGqO9fI74LHg_3_4"/>
      <w:bookmarkStart w:id="679" w:name="Tc_NS_mdWFgaE-O3LLfMZxA4g_3_2"/>
      <w:bookmarkStart w:id="680" w:name="Tc_-Gfc6vMScU-HU2T_Ls87QQ_2_16"/>
      <w:bookmarkStart w:id="681" w:name="Tc_rbog_fjU40O_xGOg5pmQSw_2_10"/>
      <w:bookmarkStart w:id="682" w:name="Tc_Lk6NFF7mv0ufcvCmUET73w_2_7"/>
      <w:bookmarkStart w:id="683" w:name="Tc_wXv7o8dAkkarZB5Y-0_few_2_4"/>
      <w:bookmarkStart w:id="684" w:name="Tc_quXGOLqe0Eymc4PvFFJWwQ_2_2"/>
      <w:bookmarkStart w:id="685" w:name="Tc_goBaZltbXkeM4jJVdO9UQA_1_10"/>
      <w:bookmarkStart w:id="686" w:name="_72c75577_e744_4a8c_9098_303a744f0c65"/>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tbl>
      <w:tblPr>
        <w:tblW w:w="10205" w:type="dxa"/>
        <w:jc w:val="left"/>
        <w:tblInd w:w="0" w:type="dxa"/>
        <w:tblLayout w:type="fixed"/>
        <w:tblCellMar>
          <w:top w:w="0" w:type="dxa"/>
          <w:left w:w="0" w:type="dxa"/>
          <w:bottom w:w="0" w:type="dxa"/>
          <w:right w:w="0" w:type="dxa"/>
        </w:tblCellMar>
      </w:tblPr>
      <w:tblGrid>
        <w:gridCol w:w="1602"/>
        <w:gridCol w:w="326"/>
        <w:gridCol w:w="1036"/>
        <w:gridCol w:w="326"/>
        <w:gridCol w:w="335"/>
        <w:gridCol w:w="551"/>
        <w:gridCol w:w="326"/>
        <w:gridCol w:w="211"/>
        <w:gridCol w:w="931"/>
        <w:gridCol w:w="326"/>
        <w:gridCol w:w="319"/>
        <w:gridCol w:w="957"/>
        <w:gridCol w:w="326"/>
        <w:gridCol w:w="211"/>
        <w:gridCol w:w="995"/>
        <w:gridCol w:w="326"/>
        <w:gridCol w:w="211"/>
        <w:gridCol w:w="890"/>
      </w:tblGrid>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2725" cy="175260"/>
                      <wp:effectExtent l="0" t="0" r="0" b="0"/>
                      <wp:wrapNone/>
                      <wp:docPr id="95" name="Frame95"/>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49885" cy="175260"/>
                      <wp:effectExtent l="0" t="0" r="0" b="0"/>
                      <wp:wrapNone/>
                      <wp:docPr id="96" name="Frame9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91185" cy="175260"/>
                      <wp:effectExtent l="0" t="0" r="0" b="0"/>
                      <wp:wrapNone/>
                      <wp:docPr id="99" name="Frame9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2565" cy="175260"/>
                      <wp:effectExtent l="0" t="0" r="0" b="0"/>
                      <wp:wrapNone/>
                      <wp:docPr id="101" name="Frame101"/>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07695" cy="175260"/>
                      <wp:effectExtent l="0" t="0" r="0" b="0"/>
                      <wp:wrapNone/>
                      <wp:docPr id="102" name="Frame102"/>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33985" cy="175260"/>
                      <wp:effectExtent l="0" t="0" r="0" b="0"/>
                      <wp:wrapNone/>
                      <wp:docPr id="104" name="Frame1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31825" cy="175260"/>
                      <wp:effectExtent l="0" t="0" r="0" b="0"/>
                      <wp:wrapNone/>
                      <wp:docPr id="105" name="Frame10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33985" cy="175260"/>
                      <wp:effectExtent l="0" t="0" r="0" b="0"/>
                      <wp:wrapNone/>
                      <wp:docPr id="107" name="Frame1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65150" cy="175260"/>
                      <wp:effectExtent l="0" t="0" r="0" b="0"/>
                      <wp:wrapNone/>
                      <wp:docPr id="108" name="Frame108"/>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335" w:type="dxa"/>
            <w:tcBorders/>
            <w:vAlign w:val="center"/>
          </w:tcPr>
          <w:p>
            <w:pPr>
              <w:pStyle w:val="TableContents"/>
              <w:bidi w:val="0"/>
              <w:spacing w:before="0" w:after="0"/>
              <w:ind w:left="0" w:right="0" w:hanging="0"/>
              <w:jc w:val="center"/>
              <w:rPr/>
            </w:pPr>
            <w:r>
              <w:rPr/>
              <w:t>​</w:t>
            </w:r>
          </w:p>
        </w:tc>
        <w:tc>
          <w:tcPr>
            <w:tcW w:w="5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7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890" w:type="dxa"/>
            <w:tcBorders/>
            <w:vAlign w:val="center"/>
          </w:tcPr>
          <w:p>
            <w:pPr>
              <w:pStyle w:val="TableContents"/>
              <w:bidi w:val="0"/>
              <w:spacing w:before="0" w:after="0"/>
              <w:ind w:left="0" w:right="0" w:hanging="0"/>
              <w:jc w:val="left"/>
              <w:rPr/>
            </w:pPr>
            <w:r>
              <w:rPr/>
              <w:t>​</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9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Stock Par</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left"/>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w:t>
            </w:r>
          </w:p>
        </w:tc>
        <w:tc>
          <w:tcPr>
            <w:tcW w:w="127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Income</w:t>
            </w:r>
          </w:p>
        </w:tc>
        <w:tc>
          <w:tcPr>
            <w:tcW w:w="326" w:type="dxa"/>
            <w:tcBorders/>
            <w:vAlign w:val="center"/>
          </w:tcPr>
          <w:p>
            <w:pPr>
              <w:pStyle w:val="TableContents"/>
              <w:bidi w:val="0"/>
              <w:spacing w:before="0" w:after="0"/>
              <w:ind w:left="0" w:right="0" w:hanging="0"/>
              <w:jc w:val="left"/>
              <w:rPr/>
            </w:pPr>
            <w:r>
              <w:rPr/>
              <w:t>​</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0205" w:type="dxa"/>
            <w:gridSpan w:val="18"/>
            <w:tcBorders/>
            <w:vAlign w:val="center"/>
          </w:tcPr>
          <w:p>
            <w:pPr>
              <w:pStyle w:val="TableContents"/>
              <w:bidi w:val="0"/>
              <w:spacing w:before="0" w:after="283"/>
              <w:ind w:left="0" w:right="0" w:hanging="0"/>
              <w:jc w:val="left"/>
              <w:rPr>
                <w:sz w:val="4"/>
                <w:szCs w:val="4"/>
              </w:rPr>
            </w:pPr>
            <w:r>
              <w:rPr>
                <w:sz w:val="4"/>
                <w:szCs w:val="4"/>
              </w:rPr>
            </w:r>
          </w:p>
        </w:tc>
      </w:tr>
      <w:tr>
        <w:trPr/>
        <w:tc>
          <w:tcPr>
            <w:tcW w:w="16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77" w:type="dxa"/>
            <w:gridSpan w:val="16"/>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 except share amounts)</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46,730,198</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1,561,142</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(1,143,607)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419,476</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24,150</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3,153</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(1,782)</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(23,050)</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March 31, 2022</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46,754,348</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1,564,599</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(1,166,657)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398,101</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stock option and employee stock purchase plans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pPr>
            <w:r>
              <w:rPr/>
              <w:t> </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9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9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 </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pPr>
            <w:r>
              <w:rPr/>
              <w:t> </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r>
      <w:tr>
        <w:trPr/>
        <w:tc>
          <w:tcPr>
            <w:tcW w:w="160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r>
      <w:tr>
        <w:trPr/>
        <w:tc>
          <w:tcPr>
            <w:tcW w:w="160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balance at June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46,764,703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1,568,124</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(1,202,661)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365,093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87" w:name="Tc_ROaGYta0tEGZT8HHreI7Uw_13_0"/>
      <w:bookmarkStart w:id="688" w:name="Tc_pHDo7oVgUkW9bEO59vPdtQ_12_4"/>
      <w:bookmarkStart w:id="689" w:name="Tc_j-YtBUGMrkekWnjKJ_l5Cg_12_0"/>
      <w:bookmarkStart w:id="690" w:name="Tc_IihbfLw-WEyfNRV_sitNtw_11_4"/>
      <w:bookmarkStart w:id="691" w:name="Tc_SO4ASIklFUakF2VGUmF2Ag_11_0"/>
      <w:bookmarkStart w:id="692" w:name="Tc_La_wLc5ugUSvK8wb4pNWCw_10_4"/>
      <w:bookmarkStart w:id="693" w:name="Tc_l-gdaLih8kuupWsldltLWA_10_0"/>
      <w:bookmarkStart w:id="694" w:name="Tc_cnVnqNcsSEGVR_iin4ObkA_9_4"/>
      <w:bookmarkStart w:id="695" w:name="Tc_daPTwCSrZECzSTH8qzqyfw_9_0"/>
      <w:bookmarkStart w:id="696" w:name="Tc_hLFpMps1bkGOIxtn8m-syw_8_4"/>
      <w:bookmarkStart w:id="697" w:name="Tc_23Q_EWujNkWnhQWI2WUKlQ_8_0"/>
      <w:bookmarkStart w:id="698" w:name="Tc_puYcSaB4FUuoLwkFHQff0w_7_4"/>
      <w:bookmarkStart w:id="699" w:name="Tc_hsVhz2W38kugF_vao_pPPw_7_0"/>
      <w:bookmarkStart w:id="700" w:name="Tc_7BeOMiHG2UWuNjQwya6Kiw_6_4"/>
      <w:bookmarkStart w:id="701" w:name="Tc_KGNoe9iqM0K6hIMQD0in1Q_6_0"/>
      <w:bookmarkStart w:id="702" w:name="Tc_aYD7brtkLkGuwpAfnAV4mw_5_7"/>
      <w:bookmarkStart w:id="703" w:name="Tc_AGelGQYGf0yC49VuMCxhqg_5_4"/>
      <w:bookmarkStart w:id="704" w:name="Tc_xlGSrORJIkuRbFiruUIGwg_5_2"/>
      <w:bookmarkStart w:id="705" w:name="Tc_A9YNXhnCAkqmzxUaHJCaLA_4_7"/>
      <w:bookmarkStart w:id="706" w:name="Tc_0ZJLNlOT6kyWrQCKka3KiA_4_4"/>
      <w:bookmarkStart w:id="707" w:name="Tc_CcudXAcOkEidHHaDjH0ytg_3_7"/>
      <w:bookmarkStart w:id="708" w:name="Tc_MOP9vSXC406QwlTBOG87sg_3_4"/>
      <w:bookmarkStart w:id="709" w:name="Tc_i0kPBWX2106tumzoRbYNsg_2_7"/>
      <w:bookmarkStart w:id="710" w:name="Tc_m3pR_xqUJ02YzedrGQ5wDQ_2_4"/>
      <w:bookmarkStart w:id="711" w:name="Tc_yTOBHxfUUU2EHH2g2aT-hg_1_7"/>
      <w:bookmarkStart w:id="712" w:name="Tc_xQKBarGK8EOF44b5BaSlLA_1_4"/>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r>
        <w:rPr>
          <w:rFonts w:ascii="Times New Roman;Times;serif" w:hAnsi="Times New Roman;Times;serif"/>
          <w:b/>
          <w:sz w:val="20"/>
        </w:rPr>
        <w:t>(8)  Stock-Based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 summary of stock option activity for the six months ended June 30, 2023 is as follows:</w:t>
      </w:r>
    </w:p>
    <w:p>
      <w:pPr>
        <w:pStyle w:val="TextBody"/>
        <w:bidi w:val="0"/>
        <w:spacing w:before="0" w:after="0"/>
        <w:ind w:left="0" w:right="0" w:hanging="0"/>
        <w:jc w:val="left"/>
        <w:rPr/>
      </w:pPr>
      <w:r>
        <w:rPr/>
        <w:t>​</w:t>
      </w:r>
    </w:p>
    <w:tbl>
      <w:tblPr>
        <w:tblW w:w="8482" w:type="dxa"/>
        <w:jc w:val="left"/>
        <w:tblInd w:w="0" w:type="dxa"/>
        <w:tblLayout w:type="fixed"/>
        <w:tblCellMar>
          <w:top w:w="0" w:type="dxa"/>
          <w:left w:w="0" w:type="dxa"/>
          <w:bottom w:w="0" w:type="dxa"/>
          <w:right w:w="0" w:type="dxa"/>
        </w:tblCellMar>
      </w:tblPr>
      <w:tblGrid>
        <w:gridCol w:w="4426"/>
        <w:gridCol w:w="326"/>
        <w:gridCol w:w="931"/>
        <w:gridCol w:w="326"/>
        <w:gridCol w:w="222"/>
        <w:gridCol w:w="604"/>
        <w:gridCol w:w="326"/>
        <w:gridCol w:w="132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810510" cy="175260"/>
                      <wp:effectExtent l="0" t="0" r="0" b="0"/>
                      <wp:wrapNone/>
                      <wp:docPr id="109" name="Frame109"/>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91185" cy="175260"/>
                      <wp:effectExtent l="0" t="0" r="0" b="0"/>
                      <wp:wrapNone/>
                      <wp:docPr id="111" name="Frame1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0970" cy="175260"/>
                      <wp:effectExtent l="0" t="0" r="0" b="0"/>
                      <wp:wrapNone/>
                      <wp:docPr id="113" name="Frame113"/>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83540" cy="175260"/>
                      <wp:effectExtent l="0" t="0" r="0" b="0"/>
                      <wp:wrapNone/>
                      <wp:docPr id="114" name="Frame114"/>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838835" cy="175260"/>
                      <wp:effectExtent l="0" t="0" r="0" b="0"/>
                      <wp:wrapNone/>
                      <wp:docPr id="116" name="Frame116"/>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r>
      <w:tr>
        <w:trPr/>
        <w:tc>
          <w:tcPr>
            <w:tcW w:w="4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Share</w:t>
            </w:r>
          </w:p>
        </w:tc>
        <w:tc>
          <w:tcPr>
            <w:tcW w:w="326" w:type="dxa"/>
            <w:tcBorders/>
            <w:vAlign w:val="center"/>
          </w:tcPr>
          <w:p>
            <w:pPr>
              <w:pStyle w:val="TableContents"/>
              <w:bidi w:val="0"/>
              <w:spacing w:before="0" w:after="0"/>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(In Years)</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5,085,662</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1,534,575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36.92</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Exercised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(46,624)</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Canceled </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(127,852)</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31.62</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outstanding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6,445,761</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vested and expected to vest at June 30, 2023</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6,284,352</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exercisable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2,896,986</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33.88</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available for grant under the 2021 Plan</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1,031,245</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weighted average grant-date fair value of stock options granted during the three and six months ended June 30, 2023 was $28.32 and $28.41, respectively.</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aggregate intrinsic value of stock options vested and expected to vest at June 30, 2023 was $68.6 million. The aggregate intrinsic value of stock options exercisable at June 30, 2023 was $46.6 million. As of June 30, 2023, total compensation cost related to non-vested employee, consultant and non-employee director stock options not yet recognized was approximately $73.8 million, net of estimated forfeitures, which is expected to be recognized as expense over a weighted average period of 2.9 years.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Stock-based compensation expense for the three and six months ended June 30, 2023 and 2022 was recorded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713" w:name="Tc_rI40GtuQOUOkuIXovfcNIQ_6_0"/>
      <w:bookmarkStart w:id="714" w:name="Tc_mj_EoBm97UmQoUAQVjhaOw_5_8"/>
      <w:bookmarkStart w:id="715" w:name="Tc_93YkLVqZmk2u7W4cDAtdpw_5_6"/>
      <w:bookmarkStart w:id="716" w:name="Tc_Xetj3zjFskK0ORSVVAzocg_5_4"/>
      <w:bookmarkStart w:id="717" w:name="Tc_12yhMkqQrU268IJ06Ozx_Q_5_2"/>
      <w:bookmarkStart w:id="718" w:name="Tc_Awn5lpVHZke6m8tMhYVsZA_5_0"/>
      <w:bookmarkStart w:id="719" w:name="Tc_y9fc73lCTUa80LgLwx035w_4_8"/>
      <w:bookmarkStart w:id="720" w:name="Tc_QmrPlkoUOkOgotL6vBrF0A_4_6"/>
      <w:bookmarkStart w:id="721" w:name="Tc_5XoHCY71tUOQf_eHS3tHtw_4_4"/>
      <w:bookmarkStart w:id="722" w:name="Tc_9JJ8wDORDECBaV6ccJLcCQ_4_2"/>
      <w:bookmarkStart w:id="723" w:name="Tc_kuQCjK2vQUKxG-o6b0JyIg_4_0"/>
      <w:bookmarkStart w:id="724" w:name="Tc_wes-3o2kAkGjTtRPSTC1KQ_3_8"/>
      <w:bookmarkStart w:id="725" w:name="Tc_XNTJ9QGWckmslB-fFrwscQ_3_4"/>
      <w:bookmarkStart w:id="726" w:name="Tc_24-MFuecD06_uF89YjMNsw_3_0"/>
      <w:bookmarkStart w:id="727" w:name="Tc_Ov8esKzaskqaSvip71JwWQ_2_8"/>
      <w:bookmarkStart w:id="728" w:name="Tc_fgP0qk7RSkawXNTh10HgAg_2_6"/>
      <w:bookmarkStart w:id="729" w:name="Tc_fxXdgOekDE-1BOiO9Q2K6Q_2_4"/>
      <w:bookmarkStart w:id="730" w:name="Tc_AH1b6Rk9JkKyvL5BXoR1Ig_2_2"/>
      <w:bookmarkStart w:id="731" w:name="Tc_9rnsMLksAkqHH0OOKO3GnA_1_6"/>
      <w:bookmarkStart w:id="732" w:name="Tc_6I2vjy72wkqcy5ZtVyUHQg_1_2"/>
      <w:bookmarkStart w:id="733" w:name="Tc_pv-tyO5kqkmgMOgURuevOg_6_11"/>
      <w:bookmarkStart w:id="734" w:name="Tc_mkC4vge_4E6hIYJrhiG_kA_6_8"/>
      <w:bookmarkStart w:id="735" w:name="Tc_XG9ZVLsuU064Rl-AHIZcEg_6_5"/>
      <w:bookmarkStart w:id="736" w:name="Tc_5OJ0P9kQDECKXrnU6gDhrQ_6_2"/>
      <w:bookmarkStart w:id="737" w:name="Tc_JJ0xFRSAS0yCXYMkK92iEA_6_0"/>
      <w:bookmarkStart w:id="738" w:name="Tc_TIdQj3LqjkyxcpgkQAEYAA_5_0"/>
      <w:bookmarkStart w:id="739" w:name="Tc_MtWE0jGmMEKy8PEQcAbd0A_4_11"/>
      <w:bookmarkStart w:id="740" w:name="Tc_2JY6NtMtAUmLvhq8TDvAhw_4_8"/>
      <w:bookmarkStart w:id="741" w:name="Tc_36851-zfrUSnNPfJHx3ehw_4_5"/>
      <w:bookmarkStart w:id="742" w:name="Tc_nUJIjxeEPkS4ZjaWpVkgpw_4_2"/>
      <w:bookmarkStart w:id="743" w:name="Tc_ovZFJgbiLkWPZQPGuOgHAg_4_0"/>
      <w:bookmarkStart w:id="744" w:name="Tc_lb8FUAFDkkGrn_WQvjKzqA_3_8"/>
      <w:bookmarkStart w:id="745" w:name="Tc_ZsNvH_i3mkOiiS1w_DqAKg_3_2"/>
      <w:bookmarkStart w:id="746" w:name="Tc_Dn2ygi_2wkuMP1HONdMjnA_2_11"/>
      <w:bookmarkStart w:id="747" w:name="Tc_l5nnVdbtfEySMnslvDuIYA_2_8"/>
      <w:bookmarkStart w:id="748" w:name="Tc_UOupyVFnqkWzILhtEEaWpg_2_5"/>
      <w:bookmarkStart w:id="749" w:name="Tc_gQ9ozqbwYEqX05YL4p43Sw_2_2"/>
      <w:bookmarkStart w:id="750" w:name="Tc_VvYRvSpE-kKAodPN9R2M3g_1_8"/>
      <w:bookmarkStart w:id="751" w:name="Tc_zeeZhirL9UmR5tMbD8s07A_1_2"/>
      <w:bookmarkStart w:id="752" w:name="_208d867e_68e7_470e_b6b2_7f922333a701"/>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t>​</w:t>
      </w:r>
    </w:p>
    <w:tbl>
      <w:tblPr>
        <w:tblW w:w="8523" w:type="dxa"/>
        <w:jc w:val="left"/>
        <w:tblInd w:w="0" w:type="dxa"/>
        <w:tblLayout w:type="fixed"/>
        <w:tblCellMar>
          <w:top w:w="0" w:type="dxa"/>
          <w:left w:w="0" w:type="dxa"/>
          <w:bottom w:w="0" w:type="dxa"/>
          <w:right w:w="0" w:type="dxa"/>
        </w:tblCellMar>
      </w:tblPr>
      <w:tblGrid>
        <w:gridCol w:w="3496"/>
        <w:gridCol w:w="326"/>
        <w:gridCol w:w="252"/>
        <w:gridCol w:w="684"/>
        <w:gridCol w:w="390"/>
        <w:gridCol w:w="252"/>
        <w:gridCol w:w="684"/>
        <w:gridCol w:w="326"/>
        <w:gridCol w:w="223"/>
        <w:gridCol w:w="605"/>
        <w:gridCol w:w="345"/>
        <w:gridCol w:w="223"/>
        <w:gridCol w:w="717"/>
      </w:tblGrid>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90"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0" w:type="dxa"/>
            <w:tcBorders/>
            <w:vAlign w:val="center"/>
          </w:tcPr>
          <w:p>
            <w:pPr>
              <w:pStyle w:val="TableContents"/>
              <w:bidi w:val="0"/>
              <w:spacing w:before="0" w:after="0"/>
              <w:ind w:left="0" w:right="0" w:hanging="0"/>
              <w:jc w:val="left"/>
              <w:rPr/>
            </w:pPr>
            <w:r>
              <w:rPr/>
              <w:t>    </w:t>
            </w:r>
          </w:p>
        </w:tc>
        <w:tc>
          <w:tcPr>
            <w:tcW w:w="9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5" w:type="dxa"/>
            <w:tcBorders/>
            <w:vAlign w:val="center"/>
          </w:tcPr>
          <w:p>
            <w:pPr>
              <w:pStyle w:val="TableContents"/>
              <w:bidi w:val="0"/>
              <w:spacing w:before="0" w:after="0"/>
              <w:ind w:left="0" w:right="0" w:hanging="0"/>
              <w:jc w:val="left"/>
              <w:rPr/>
            </w:pPr>
            <w:r>
              <w:rPr/>
              <w:t>    </w:t>
            </w:r>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852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2"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211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Research and development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2,489</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4,650</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3,412</w:t>
            </w:r>
          </w:p>
        </w:tc>
      </w:tr>
      <w:tr>
        <w:trPr/>
        <w:tc>
          <w:tcPr>
            <w:tcW w:w="34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General and administrative </w:t>
            </w:r>
          </w:p>
        </w:tc>
        <w:tc>
          <w:tcPr>
            <w:tcW w:w="32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2,728</w:t>
            </w:r>
          </w:p>
        </w:tc>
        <w:tc>
          <w:tcPr>
            <w:tcW w:w="390"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1,656</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3,195</w:t>
            </w:r>
          </w:p>
        </w:tc>
      </w:tr>
      <w:tr>
        <w:trPr/>
        <w:tc>
          <w:tcPr>
            <w:tcW w:w="34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stock-based compensation expense </w:t>
            </w:r>
          </w:p>
        </w:tc>
        <w:tc>
          <w:tcPr>
            <w:tcW w:w="32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5,217</w:t>
            </w:r>
          </w:p>
        </w:tc>
        <w:tc>
          <w:tcPr>
            <w:tcW w:w="390"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3,454</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9,557</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6,607</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values of employee, consultant and non-employee director stock options granted during the three and six months ended June 30, 2023 and 2022 were valued using the Black-Scholes option pricing model with the following assumptions:</w:t>
      </w:r>
    </w:p>
    <w:p>
      <w:pPr>
        <w:pStyle w:val="TextBody"/>
        <w:bidi w:val="0"/>
        <w:spacing w:before="0" w:after="0"/>
        <w:ind w:left="0" w:right="0" w:hanging="0"/>
        <w:jc w:val="left"/>
        <w:rPr/>
      </w:pPr>
      <w:r>
        <w:rPr/>
        <w:t>​</w:t>
      </w:r>
    </w:p>
    <w:tbl>
      <w:tblPr>
        <w:tblW w:w="7910" w:type="dxa"/>
        <w:jc w:val="left"/>
        <w:tblInd w:w="0" w:type="dxa"/>
        <w:tblLayout w:type="fixed"/>
        <w:tblCellMar>
          <w:top w:w="0" w:type="dxa"/>
          <w:left w:w="0" w:type="dxa"/>
          <w:bottom w:w="0" w:type="dxa"/>
          <w:right w:w="0" w:type="dxa"/>
        </w:tblCellMar>
      </w:tblPr>
      <w:tblGrid>
        <w:gridCol w:w="2671"/>
        <w:gridCol w:w="326"/>
        <w:gridCol w:w="990"/>
        <w:gridCol w:w="330"/>
        <w:gridCol w:w="944"/>
        <w:gridCol w:w="326"/>
        <w:gridCol w:w="976"/>
        <w:gridCol w:w="326"/>
        <w:gridCol w:w="102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96085" cy="175260"/>
                      <wp:effectExtent l="0" t="0" r="0" b="0"/>
                      <wp:wrapNone/>
                      <wp:docPr id="117" name="Frame117"/>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28650" cy="175260"/>
                      <wp:effectExtent l="0" t="0" r="0" b="0"/>
                      <wp:wrapNone/>
                      <wp:docPr id="119" name="Frame119"/>
                      <a:graphic xmlns:a="http://schemas.openxmlformats.org/drawingml/2006/main">
                        <a:graphicData uri="http://schemas.microsoft.com/office/word/2010/wordprocessingShape">
                          <wps:wsp>
                            <wps:cNvSpPr txBox="1"/>
                            <wps:spPr>
                              <a:xfrm>
                                <a:off x="0" y="0"/>
                                <a:ext cx="628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9550" cy="175260"/>
                      <wp:effectExtent l="0" t="0" r="0" b="0"/>
                      <wp:wrapNone/>
                      <wp:docPr id="120" name="Frame120"/>
                      <a:graphic xmlns:a="http://schemas.openxmlformats.org/drawingml/2006/main">
                        <a:graphicData uri="http://schemas.microsoft.com/office/word/2010/wordprocessingShape">
                          <wps:wsp>
                            <wps:cNvSpPr txBox="1"/>
                            <wps:spPr>
                              <a:xfrm>
                                <a:off x="0" y="0"/>
                                <a:ext cx="2095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599440" cy="175260"/>
                      <wp:effectExtent l="0" t="0" r="0" b="0"/>
                      <wp:wrapNone/>
                      <wp:docPr id="121" name="Frame121"/>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19760" cy="175260"/>
                      <wp:effectExtent l="0" t="0" r="0" b="0"/>
                      <wp:wrapNone/>
                      <wp:docPr id="123" name="Frame123"/>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335" cy="175260"/>
                      <wp:effectExtent l="0" t="0" r="0" b="0"/>
                      <wp:wrapNone/>
                      <wp:docPr id="125" name="Frame12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3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671" w:type="dxa"/>
            <w:tcBorders/>
            <w:vAlign w:val="center"/>
          </w:tcPr>
          <w:p>
            <w:pPr>
              <w:pStyle w:val="TableContents"/>
              <w:pBdr/>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30" w:type="dxa"/>
            <w:tcBorders/>
            <w:vAlign w:val="center"/>
          </w:tcPr>
          <w:p>
            <w:pPr>
              <w:pStyle w:val="TableContents"/>
              <w:bidi w:val="0"/>
              <w:spacing w:before="0" w:after="0"/>
              <w:ind w:left="0" w:right="0" w:hanging="0"/>
              <w:jc w:val="left"/>
              <w:rPr/>
            </w:pPr>
            <w:r>
              <w:rPr/>
              <w:t>    </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stock price volatility </w:t>
            </w:r>
          </w:p>
        </w:tc>
        <w:tc>
          <w:tcPr>
            <w:tcW w:w="32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330"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90 - 91%</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92%</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90 – 97%</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option term </w:t>
            </w:r>
          </w:p>
        </w:tc>
        <w:tc>
          <w:tcPr>
            <w:tcW w:w="32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30"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 Years</w:t>
            </w:r>
          </w:p>
        </w:tc>
      </w:tr>
      <w:tr>
        <w:trPr/>
        <w:tc>
          <w:tcPr>
            <w:tcW w:w="2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Risk-free interest rate </w:t>
            </w:r>
          </w:p>
        </w:tc>
        <w:tc>
          <w:tcPr>
            <w:tcW w:w="326" w:type="dxa"/>
            <w:tcBorders/>
            <w:shd w:fill="CCEEFF" w:val="clear"/>
            <w:vAlign w:val="center"/>
          </w:tcPr>
          <w:p>
            <w:pPr>
              <w:pStyle w:val="TableContents"/>
              <w:bidi w:val="0"/>
              <w:spacing w:before="0" w:after="0"/>
              <w:ind w:left="0" w:right="0" w:hanging="0"/>
              <w:jc w:val="left"/>
              <w:rPr/>
            </w:pPr>
            <w:r>
              <w:rPr/>
              <w:t> </w:t>
            </w:r>
          </w:p>
        </w:tc>
        <w:tc>
          <w:tcPr>
            <w:tcW w:w="99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3.9%</w:t>
            </w:r>
          </w:p>
        </w:tc>
        <w:tc>
          <w:tcPr>
            <w:tcW w:w="330"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2.7 - 3.6%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3.5 – 4.0%</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 – 3.6%</w:t>
            </w:r>
          </w:p>
        </w:tc>
      </w:tr>
      <w:tr>
        <w:trPr/>
        <w:tc>
          <w:tcPr>
            <w:tcW w:w="2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Expected dividend yield </w:t>
            </w:r>
          </w:p>
        </w:tc>
        <w:tc>
          <w:tcPr>
            <w:tcW w:w="326" w:type="dxa"/>
            <w:tcBorders/>
            <w:vAlign w:val="center"/>
          </w:tcPr>
          <w:p>
            <w:pPr>
              <w:pStyle w:val="TableContents"/>
              <w:bidi w:val="0"/>
              <w:spacing w:before="0" w:after="0"/>
              <w:ind w:left="0" w:right="0" w:hanging="0"/>
              <w:jc w:val="left"/>
              <w:rPr/>
            </w:pPr>
            <w:r>
              <w:rPr/>
              <w:t> </w:t>
            </w:r>
          </w:p>
        </w:tc>
        <w:tc>
          <w:tcPr>
            <w:tcW w:w="99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30" w:type="dxa"/>
            <w:tcBorders/>
            <w:vAlign w:val="center"/>
          </w:tcPr>
          <w:p>
            <w:pPr>
              <w:pStyle w:val="TableContents"/>
              <w:bidi w:val="0"/>
              <w:spacing w:before="0" w:after="0"/>
              <w:ind w:left="0" w:right="0" w:hanging="0"/>
              <w:jc w:val="left"/>
              <w:rPr/>
            </w:pPr>
            <w:r>
              <w:rPr/>
              <w:t>​</w:t>
            </w:r>
          </w:p>
        </w:tc>
        <w:tc>
          <w:tcPr>
            <w:tcW w:w="94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53" w:name="Tc_rqYDbLlEb0uEa8m6YFY14A_8_8"/>
      <w:bookmarkStart w:id="754" w:name="Tc_SBGDi6cOt0eQz5gikKoutw_8_5"/>
      <w:bookmarkStart w:id="755" w:name="Tc_f9NdNe3OnkqnEuMUEZ0rqw_8_2"/>
      <w:bookmarkStart w:id="756" w:name="Tc_drILifOXrEONpk5xKybnNw_8_0"/>
      <w:bookmarkStart w:id="757" w:name="Tc_1bSMvf4AN0yJn1oqc7qzgg_7_0"/>
      <w:bookmarkStart w:id="758" w:name="Tc_FbhXfAMpNUGmTnfm5aBCUQ_6_8"/>
      <w:bookmarkStart w:id="759" w:name="Tc_1PXOPYnof0Wc33RgJvsS4w_6_5"/>
      <w:bookmarkStart w:id="760" w:name="Tc_Fd23Bdkd9Ui7kUk34RU5UQ_6_2"/>
      <w:bookmarkStart w:id="761" w:name="Tc_kHs_aY6GZUGcU61lNmS5sg_6_0"/>
      <w:bookmarkStart w:id="762" w:name="Tc_BDdSNgIjRECGLThavgqfTg_5_2"/>
      <w:bookmarkStart w:id="763" w:name="Tc_uwi-4e27h0O-dvXMn1kzRw_4_8"/>
      <w:bookmarkStart w:id="764" w:name="Tc_dnL_kunZnkmP3T2nfbEfeg_4_5"/>
      <w:bookmarkStart w:id="765" w:name="Tc__42GXAz3fk2P8OTUx0d1kg_4_2"/>
      <w:bookmarkStart w:id="766" w:name="Tc_Q6-RcERnXEutPYSKsXt4Uw_3_5"/>
      <w:bookmarkStart w:id="767" w:name="Tc_uUmx9bR9ckqKfy0thX1lnA_3_2"/>
      <w:bookmarkStart w:id="768" w:name="Tc_wJJl6UWlvkS1IwqTZp3cZQ_2_2"/>
      <w:bookmarkStart w:id="769" w:name="Tc_sQZM5VNgyUKcpnyvMxSKTg_1_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r>
        <w:rPr>
          <w:rFonts w:ascii="Times New Roman;Times;serif" w:hAnsi="Times New Roman;Times;serif"/>
          <w:b/>
          <w:sz w:val="20"/>
        </w:rPr>
        <w:t>(9)  Accumulated Other Comprehensive Income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accumulated other comprehensive income, which is reported as a component of stockholders’ equity, for the six months ended June 30, 2023 are summarized below:</w:t>
      </w:r>
    </w:p>
    <w:p>
      <w:pPr>
        <w:pStyle w:val="TextBody"/>
        <w:bidi w:val="0"/>
        <w:spacing w:before="0" w:after="0"/>
        <w:ind w:left="0" w:right="0" w:hanging="0"/>
        <w:jc w:val="left"/>
        <w:rPr/>
      </w:pPr>
      <w:r>
        <w:rPr/>
        <w:t>​</w:t>
      </w:r>
    </w:p>
    <w:tbl>
      <w:tblPr>
        <w:tblW w:w="6638" w:type="dxa"/>
        <w:jc w:val="left"/>
        <w:tblInd w:w="0" w:type="dxa"/>
        <w:tblLayout w:type="fixed"/>
        <w:tblCellMar>
          <w:top w:w="0" w:type="dxa"/>
          <w:left w:w="0" w:type="dxa"/>
          <w:bottom w:w="0" w:type="dxa"/>
          <w:right w:w="0" w:type="dxa"/>
        </w:tblCellMar>
      </w:tblPr>
      <w:tblGrid>
        <w:gridCol w:w="2596"/>
        <w:gridCol w:w="326"/>
        <w:gridCol w:w="225"/>
        <w:gridCol w:w="721"/>
        <w:gridCol w:w="326"/>
        <w:gridCol w:w="332"/>
        <w:gridCol w:w="899"/>
        <w:gridCol w:w="326"/>
        <w:gridCol w:w="211"/>
        <w:gridCol w:w="67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648460" cy="175260"/>
                      <wp:effectExtent l="0" t="0" r="0" b="0"/>
                      <wp:wrapNone/>
                      <wp:docPr id="126" name="Frame126"/>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7" name="Frame1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42875" cy="175260"/>
                      <wp:effectExtent l="0" t="0" r="0" b="0"/>
                      <wp:wrapNone/>
                      <wp:docPr id="128" name="Frame128"/>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457835" cy="175260"/>
                      <wp:effectExtent l="0" t="0" r="0" b="0"/>
                      <wp:wrapNone/>
                      <wp:docPr id="129" name="Frame12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0820" cy="175260"/>
                      <wp:effectExtent l="0" t="0" r="0" b="0"/>
                      <wp:wrapNone/>
                      <wp:docPr id="131" name="Frame13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70865" cy="175260"/>
                      <wp:effectExtent l="0" t="0" r="0" b="0"/>
                      <wp:wrapNone/>
                      <wp:docPr id="132" name="Frame132"/>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260" cy="175260"/>
                      <wp:effectExtent l="0" t="0" r="0" b="0"/>
                      <wp:wrapNone/>
                      <wp:docPr id="135" name="Frame1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on</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Marketable</w:t>
            </w:r>
          </w:p>
        </w:tc>
        <w:tc>
          <w:tcPr>
            <w:tcW w:w="326" w:type="dxa"/>
            <w:tcBorders/>
            <w:vAlign w:val="center"/>
          </w:tcPr>
          <w:p>
            <w:pPr>
              <w:pStyle w:val="TableContents"/>
              <w:bidi w:val="0"/>
              <w:spacing w:before="0" w:after="0"/>
              <w:ind w:left="0" w:right="0" w:hanging="0"/>
              <w:jc w:val="left"/>
              <w:rPr/>
            </w:pPr>
            <w:r>
              <w:rPr/>
              <w:t>​</w:t>
            </w:r>
          </w:p>
        </w:tc>
        <w:tc>
          <w:tcPr>
            <w:tcW w:w="123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Foreign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26" w:type="dxa"/>
            <w:tcBorders/>
            <w:vAlign w:val="center"/>
          </w:tcPr>
          <w:p>
            <w:pPr>
              <w:pStyle w:val="TableContents"/>
              <w:bidi w:val="0"/>
              <w:spacing w:before="0" w:after="0"/>
              <w:ind w:left="0" w:right="0" w:hanging="0"/>
              <w:jc w:val="left"/>
              <w:rPr/>
            </w:pPr>
            <w:r>
              <w:rPr/>
              <w:t>    </w:t>
            </w:r>
          </w:p>
        </w:tc>
        <w:tc>
          <w:tcPr>
            <w:tcW w:w="12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Currency Items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638"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16"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gain</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2,072</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 amounts were reclassified out of accumulated other comprehensive income during the six months ended June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and Grants 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entered into agreements with Rockefeller University (“Rockefeller”) pursuant to which the Company performs manufacturing and research and development services on a time-and-materials basis or at a negotiated fixed-price. The Company recognized $0.2 million and $1.2 million in revenue under the agreements with Rockefeller during the three and six months ended June 30, 2023, respectively, and $0.1 million and $0.2 million during the three and six months ended June 30, 2022, respectively.</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Contract Assets and Liabilities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2023 and December 31, 2022, the Company’s right to consideration under all contracts was considered unconditional, and as such, there were no recorded contract assets. At June 30, 2023, the Company had less than $0.1 million in contract liabilities recorded. At December 31, 2022, the Company had $0.1 million in contract liabilities recorded. Revenue recognized from contract liabilities as of December 31, 2022 during the six months ended June 30, 2023 was less than $0.1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  Income Taxes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evaluated the positive and negative evidence bearing upon the realizability of its net deferred tax assets and considered its history of losses, ultimately concluding that it is “more likely than not” that the Company will not recognize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benefits of federal, state and foreign deferred tax assets and, as such, has maintained a full valuation allowance on its deferred tax assets as of June 30, 2023 and December 31,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net deferred tax liability of $1.6 million at June 30, 2023 and December 31, 2022 relates to the temporary differences associated with the IPR&amp;D intangible assets acquired in previous business combinations and is not deductible for tax purposes.</w:t>
      </w:r>
    </w:p>
    <w:p>
      <w:pPr>
        <w:pStyle w:val="TextBody"/>
        <w:bidi w:val="0"/>
        <w:spacing w:before="0" w:after="0"/>
        <w:ind w:left="0" w:right="0" w:firstLine="72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Massachusetts, New Jersey, New York and Connecticut are the jurisdictions in which the Company primarily operates or has operated and has income tax nexus. The Company is not currently under examination by these or any other jurisdictions for any tax year.</w:t>
      </w:r>
    </w:p>
    <w:p>
      <w:pPr>
        <w:pStyle w:val="TextBody"/>
        <w:bidi w:val="0"/>
        <w:spacing w:before="0" w:after="0"/>
        <w:ind w:left="0" w:right="0" w:hanging="0"/>
        <w:jc w:val="left"/>
        <w:rPr>
          <w:rFonts w:ascii="Times New Roman;Times;serif" w:hAnsi="Times New Roman;Times;serif"/>
          <w:b/>
          <w:sz w:val="20"/>
        </w:rPr>
      </w:pPr>
      <w:bookmarkStart w:id="770" w:name="Tc_z_lcFn8Kh0m8HFTaQRiMdw_4_4"/>
      <w:bookmarkStart w:id="771" w:name="Tc_fXu1349V_UuXhI-X0p2Zag_4_2"/>
      <w:bookmarkStart w:id="772" w:name="Tc_c9PAqnst2Eqa4aZPZSb1Rg_4_0"/>
      <w:bookmarkStart w:id="773" w:name="Tc_QNu-mQ28RU6sbQolaNB8Vw_3_0"/>
      <w:bookmarkStart w:id="774" w:name="Tc_QiwFZmkJAkiWDKfBhvduzg_2_4"/>
      <w:bookmarkStart w:id="775" w:name="Tc_UzOZxnhX4UK4PEHQ_shKYQ_2_2"/>
      <w:bookmarkStart w:id="776" w:name="Tc_61F5oEGgYUqy6l8ekhmxsQ_1_2"/>
      <w:bookmarkStart w:id="777" w:name="_a1b264bd_08a4_47c8_9283_98aa8e78affc"/>
      <w:bookmarkEnd w:id="770"/>
      <w:bookmarkEnd w:id="771"/>
      <w:bookmarkEnd w:id="772"/>
      <w:bookmarkEnd w:id="773"/>
      <w:bookmarkEnd w:id="774"/>
      <w:bookmarkEnd w:id="775"/>
      <w:bookmarkEnd w:id="776"/>
      <w:bookmarkEnd w:id="777"/>
      <w:r>
        <w:rPr>
          <w:rFonts w:ascii="Times New Roman;Times;serif" w:hAnsi="Times New Roman;Times;serif"/>
          <w:b/>
          <w:sz w:val="20"/>
        </w:rPr>
        <w:t>(12)  Net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pStyle w:val="TextBody"/>
        <w:bidi w:val="0"/>
        <w:spacing w:before="0" w:after="0"/>
        <w:ind w:left="0" w:right="0" w:hanging="0"/>
        <w:jc w:val="left"/>
        <w:rPr/>
      </w:pPr>
      <w:r>
        <w:rPr/>
        <w:t>​</w:t>
      </w:r>
    </w:p>
    <w:tbl>
      <w:tblPr>
        <w:tblW w:w="4075" w:type="dxa"/>
        <w:jc w:val="left"/>
        <w:tblInd w:w="0" w:type="dxa"/>
        <w:tblLayout w:type="fixed"/>
        <w:tblCellMar>
          <w:top w:w="0" w:type="dxa"/>
          <w:left w:w="0" w:type="dxa"/>
          <w:bottom w:w="0" w:type="dxa"/>
          <w:right w:w="0" w:type="dxa"/>
        </w:tblCellMar>
      </w:tblPr>
      <w:tblGrid>
        <w:gridCol w:w="1456"/>
        <w:gridCol w:w="326"/>
        <w:gridCol w:w="931"/>
        <w:gridCol w:w="326"/>
        <w:gridCol w:w="1036"/>
      </w:tblGrid>
      <w:tr>
        <w:trPr/>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924560" cy="175260"/>
                      <wp:effectExtent l="0" t="0" r="0" b="0"/>
                      <wp:wrapNone/>
                      <wp:docPr id="136" name="Frame136"/>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91185" cy="175260"/>
                      <wp:effectExtent l="0" t="0" r="0" b="0"/>
                      <wp:wrapNone/>
                      <wp:docPr id="138" name="Frame13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57860" cy="175260"/>
                      <wp:effectExtent l="0" t="0" r="0" b="0"/>
                      <wp:wrapNone/>
                      <wp:docPr id="140" name="Frame14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4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Stock Options </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6,445,761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5,590,213</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4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6,445,761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5,590,213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Kolltan Acquisition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20, 2022, the Company entered into a binding settlement term sheet (the “Term Sheet”) with SRS, related to the Litigation, which, upon execution of a definitive settlement agreement and the payment of the Initial Payment (as defined below), would result in the joint dismissal, with prejudice, of all claims and counterclaims in the Litigation. The definitive settlement agreement between the Company and SRS was executed on July 15, 2022 (the “Settlement Agreement”) and the Company and SRS jointly filed a Stipulation of Dismissal with prejudice relating to the Litigation on July 19,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terms of the Term Sheet and the Settlement Agreement, all milestone payments provided for by the Merger Agreement are replaced in their entirety with the following payments, each of which is payable only once:</w:t>
      </w:r>
    </w:p>
    <w:p>
      <w:pPr>
        <w:pStyle w:val="TextBody"/>
        <w:bidi w:val="0"/>
        <w:spacing w:before="0" w:after="0"/>
        <w:ind w:left="0" w:right="0" w:firstLine="720"/>
        <w:jc w:val="left"/>
        <w:rPr/>
      </w:pPr>
      <w:r>
        <w:rPr/>
        <w:t>​</w:t>
      </w:r>
    </w:p>
    <w:tbl>
      <w:tblPr>
        <w:tblW w:w="8901" w:type="dxa"/>
        <w:jc w:val="left"/>
        <w:tblInd w:w="0" w:type="dxa"/>
        <w:tblLayout w:type="fixed"/>
        <w:tblCellMar>
          <w:top w:w="28" w:type="dxa"/>
          <w:left w:w="28" w:type="dxa"/>
          <w:bottom w:w="28" w:type="dxa"/>
          <w:right w:w="28" w:type="dxa"/>
        </w:tblCellMar>
      </w:tblPr>
      <w:tblGrid>
        <w:gridCol w:w="124"/>
        <w:gridCol w:w="286"/>
        <w:gridCol w:w="8491"/>
      </w:tblGrid>
      <w:tr>
        <w:trPr/>
        <w:tc>
          <w:tcPr>
            <w:tcW w:w="124" w:type="dxa"/>
            <w:tcBorders/>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4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paid $15.0</w:t>
            </w:r>
            <w:r>
              <w:rPr>
                <w:caps w:val="false"/>
                <w:smallCaps w:val="false"/>
              </w:rPr>
              <w:t xml:space="preserve"> </w:t>
            </w:r>
            <w:r>
              <w:rPr>
                <w:rFonts w:ascii="Times New Roman;Times;serif" w:hAnsi="Times New Roman;Times;serif"/>
                <w:b w:val="false"/>
                <w:i w:val="false"/>
                <w:caps w:val="false"/>
                <w:smallCaps w:val="false"/>
                <w:sz w:val="20"/>
              </w:rPr>
              <w:t>million upon execution of the Settlement Agreement (the “Initial Payment”).</w:t>
            </w:r>
          </w:p>
        </w:tc>
      </w:tr>
    </w:tbl>
    <w:p>
      <w:pPr>
        <w:pStyle w:val="TextBody"/>
        <w:bidi w:val="0"/>
        <w:spacing w:before="0" w:after="0"/>
        <w:ind w:left="72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7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$15.0</w:t>
            </w:r>
            <w:r>
              <w:rPr>
                <w:caps w:val="false"/>
                <w:smallCaps w:val="false"/>
              </w:rPr>
              <w:t xml:space="preserve"> </w:t>
            </w:r>
            <w:r>
              <w:rPr>
                <w:rFonts w:ascii="Times New Roman;Times;serif" w:hAnsi="Times New Roman;Times;serif"/>
                <w:b w:val="false"/>
                <w:i w:val="false"/>
                <w:caps w:val="false"/>
                <w:smallCaps w:val="false"/>
                <w:sz w:val="20"/>
              </w:rPr>
              <w:t>million upon the Successful Completion (as defined in the Term Sheet) of a Phase 2 Clinical Trial (as defined in the Merger Agreement) of CDX-0159, subject to the $2.5</w:t>
            </w:r>
            <w:r>
              <w:rPr>
                <w:caps w:val="false"/>
                <w:smallCaps w:val="false"/>
              </w:rPr>
              <w:t xml:space="preserve"> </w:t>
            </w:r>
            <w:r>
              <w:rPr>
                <w:rFonts w:ascii="Times New Roman;Times;serif" w:hAnsi="Times New Roman;Times;serif"/>
                <w:b w:val="false"/>
                <w:i w:val="false"/>
                <w:caps w:val="false"/>
                <w:smallCaps w:val="false"/>
                <w:sz w:val="20"/>
              </w:rPr>
              <w:t>million contractual credit as set forth in the Merger Agreement.</w:t>
            </w:r>
          </w:p>
        </w:tc>
      </w:tr>
    </w:tbl>
    <w:tbl>
      <w:tblPr>
        <w:tblW w:w="10205" w:type="dxa"/>
        <w:jc w:val="left"/>
        <w:tblInd w:w="0" w:type="dxa"/>
        <w:tblLayout w:type="fixed"/>
        <w:tblCellMar>
          <w:top w:w="28" w:type="dxa"/>
          <w:left w:w="28" w:type="dxa"/>
          <w:bottom w:w="28" w:type="dxa"/>
          <w:right w:w="28" w:type="dxa"/>
        </w:tblCellMar>
      </w:tblPr>
      <w:tblGrid>
        <w:gridCol w:w="124"/>
        <w:gridCol w:w="371"/>
        <w:gridCol w:w="9710"/>
      </w:tblGrid>
      <w:tr>
        <w:trPr/>
        <w:tc>
          <w:tcPr>
            <w:tcW w:w="124" w:type="dxa"/>
            <w:tcBorders/>
            <w:vAlign w:val="center"/>
          </w:tcPr>
          <w:p>
            <w:pPr>
              <w:pStyle w:val="TableContents"/>
              <w:bidi w:val="0"/>
              <w:spacing w:before="0" w:after="283"/>
              <w:jc w:val="left"/>
              <w:rPr>
                <w:sz w:val="4"/>
                <w:szCs w:val="4"/>
              </w:rPr>
            </w:pPr>
            <w:r>
              <w:rPr>
                <w:sz w:val="4"/>
                <w:szCs w:val="4"/>
              </w:rPr>
            </w:r>
          </w:p>
        </w:tc>
        <w:tc>
          <w:tcPr>
            <w:tcW w:w="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1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shall pay $52.5</w:t>
            </w:r>
            <w:r>
              <w:rPr>
                <w:caps w:val="false"/>
                <w:smallCaps w:val="false"/>
              </w:rPr>
              <w:t xml:space="preserve"> </w:t>
            </w:r>
            <w:r>
              <w:rPr>
                <w:rFonts w:ascii="Times New Roman;Times;serif" w:hAnsi="Times New Roman;Times;serif"/>
                <w:b w:val="false"/>
                <w:i w:val="false"/>
                <w:caps w:val="false"/>
                <w:smallCaps w:val="false"/>
                <w:sz w:val="20"/>
              </w:rPr>
              <w:t>million upon the first United States Food and Drug Administration or European Medicines Agency, or, in each case, any successor organization, regulatory approval of a Surviving Company Product (as defined the Term Sheet).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above payment obligations replace, in their entirety, the contingent consideration in the form of development, regulatory approval and sales-based milestones of up to $172.5 million contained in the Merger Agreement.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paid the Initial Payment in cash during the three months ended September 30, 2022. Any future milestone payments related to the CDX-0159 program, which was subject to the Litigation, will be recorded when and if payment becomes probable and reasonably estimable in accordance with the loss contingency model under ASC 450. Milestones related to the remaining Surviving Company Products are measured at fair value (refer to Note 3). When and if any of the remaining payments described above become due, they shall be payable, at the Company’s sole election, in either cash or stock (as set forth in the Merger Agreement) or a combination thereof.</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78" w:name="Item2ManagementsDiscussionandAnalysisofF"/>
      <w:bookmarkStart w:id="779" w:name="_6e076503_b690_4eeb_952e_e586e2cb798d"/>
      <w:bookmarkEnd w:id="778"/>
      <w:bookmarkEnd w:id="779"/>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b/>
          <w:i/>
          <w:sz w:val="20"/>
        </w:rPr>
        <w:t>Safe Harbor Statement under the Private Securities Litigation Reform Act of 1995:</w:t>
      </w:r>
      <w:r>
        <w:rPr>
          <w:rFonts w:ascii="Times New Roman;Times;serif" w:hAnsi="Times New Roman;Times;serif"/>
          <w:sz w:val="20"/>
        </w:rPr>
        <w:t xml:space="preserve"> This Quarterly Report on Form 10-Q 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There are a number of important factors that could cause the actual results to differ materially from those expressed in any forward-looking statement made by us. These factors include, but are not limited to:</w:t>
      </w:r>
    </w:p>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product candidates that are still in an early development stage;</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complete research and further development, including preclinical and clinical studies;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timing for preclinical development, regulatory submissions, commencement and completion of clinical trials and product approvals;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negotiate strategic partnerships, where appropriate, for our drug candidates;</w:t>
            </w:r>
          </w:p>
        </w:tc>
      </w:tr>
    </w:tbl>
    <w:tbl>
      <w:tblPr>
        <w:tblW w:w="9531" w:type="dxa"/>
        <w:jc w:val="left"/>
        <w:tblInd w:w="0" w:type="dxa"/>
        <w:tblLayout w:type="fixed"/>
        <w:tblCellMar>
          <w:top w:w="28" w:type="dxa"/>
          <w:left w:w="28" w:type="dxa"/>
          <w:bottom w:w="28" w:type="dxa"/>
          <w:right w:w="28" w:type="dxa"/>
        </w:tblCellMar>
      </w:tblPr>
      <w:tblGrid>
        <w:gridCol w:w="124"/>
        <w:gridCol w:w="256"/>
        <w:gridCol w:w="9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multiple clinical trials for a variety of drug candidates at different stages of development;</w:t>
            </w:r>
          </w:p>
        </w:tc>
      </w:tr>
    </w:tbl>
    <w:tbl>
      <w:tblPr>
        <w:tblW w:w="6786" w:type="dxa"/>
        <w:jc w:val="left"/>
        <w:tblInd w:w="0" w:type="dxa"/>
        <w:tblLayout w:type="fixed"/>
        <w:tblCellMar>
          <w:top w:w="28" w:type="dxa"/>
          <w:left w:w="28" w:type="dxa"/>
          <w:bottom w:w="28" w:type="dxa"/>
          <w:right w:w="28" w:type="dxa"/>
        </w:tblCellMar>
      </w:tblPr>
      <w:tblGrid>
        <w:gridCol w:w="124"/>
        <w:gridCol w:w="256"/>
        <w:gridCol w:w="6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scope and results of ongoing preclinical and clinical testing;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of the attributes of our product and development candidates, including pharmaceutical properties, efficacy, safety and dosing regimens;</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timing and uncertainty of obtaining regulatory approvals for our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management services provided by our clinical research organization partners;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cost, delivery and quality of clinical and commercial-grade materials produced by our own manufacturing facility or supplied by contract manufacturers, suppliers and partners;</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commercialize our drug candidates and the growth of the markets for those drug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before competitors that are superior to the alternatives developed by such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paying development, regulatory approval and sales-based milestones under the merger agreement by which we acquired Kolltan Pharmaceuticals, Inc. (“Kolltan”) and our related settlement agreement with Kolltan;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rights and our ability to avoid intellectual property litigation, which can be costly and divert management time and attention;</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commercialize products without infringing the intellectual property rights of third parties;</w:t>
            </w:r>
          </w:p>
        </w:tc>
      </w:tr>
    </w:tbl>
    <w:tbl>
      <w:tblPr>
        <w:tblW w:w="7731" w:type="dxa"/>
        <w:jc w:val="left"/>
        <w:tblInd w:w="0" w:type="dxa"/>
        <w:tblLayout w:type="fixed"/>
        <w:tblCellMar>
          <w:top w:w="28" w:type="dxa"/>
          <w:left w:w="28" w:type="dxa"/>
          <w:bottom w:w="28" w:type="dxa"/>
          <w:right w:w="28" w:type="dxa"/>
        </w:tblCellMar>
      </w:tblPr>
      <w:tblGrid>
        <w:gridCol w:w="124"/>
        <w:gridCol w:w="25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on our business or on the economy generally;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2022 and other reports that we file with the SEC</w:t>
            </w:r>
            <w:r>
              <w:rPr>
                <w:rFonts w:ascii="Times New Roman;Times;serif" w:hAnsi="Times New Roman;Times;serif"/>
                <w:b w:val="false"/>
                <w:i/>
                <w:sz w:val="20"/>
              </w:rPr>
              <w:t>.</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focusing our efforts and resources on the continued research and development of</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(also referred to as CDX-0159), a monoclonal antibody that specifically binds the KIT receptor and potently inhibits its activity, which is currently being studied across multiple mast cell driven diseases including</w:t>
            </w:r>
          </w:p>
        </w:tc>
      </w:tr>
    </w:tbl>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Urticarias: In June and July 2022 respectively, we announced that enrollment had opened and the first patients had been dosed in Phase 2 studies in chronic spontaneous urticaria (CSU) and chronic inducible urticaria (CIndU); completion of enrollment to the Phase 2 CSU study was announced in July 2023 and we anticipate reporting topline data from this study in late 2023. Data from the Phase 1b study in CSU were reported in February and June 2023. Positive interim data from the Phase 1b study in CIndU were reported in July and September 2021 and in December 2022 in patients with cold urticaria and symptomatic dermographism. Data from the cholinergic cohort included in the CIndU study were presented in June 2023;</w:t>
            </w:r>
          </w:p>
        </w:tc>
      </w:tr>
    </w:tbl>
    <w:p>
      <w:pPr>
        <w:pStyle w:val="TextBody"/>
        <w:bidi w:val="0"/>
        <w:spacing w:lineRule="auto" w:line="304" w:before="0" w:after="0"/>
        <w:ind w:left="180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Prurigo Nodularis (PN): In December 2021 we announced that the first patient had been dosed in a Phase 1b study in PN; enrollment was closed in February 2023 and we plan to present data from the study in the fourth quarter of 2023;</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66"/>
        <w:gridCol w:w="9915"/>
      </w:tblGrid>
      <w:tr>
        <w:trPr/>
        <w:tc>
          <w:tcPr>
            <w:tcW w:w="124" w:type="dxa"/>
            <w:tcBorders/>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Eosinophilic Esophagitis (EoE): A Phase 2 study in EoE was initiated in June 2023 and the first patient was dosed late that month.</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pStyle w:val="TextBody"/>
        <w:bidi w:val="0"/>
        <w:spacing w:before="0" w:after="0"/>
        <w:ind w:left="0" w:right="0" w:hanging="0"/>
        <w:jc w:val="left"/>
        <w:rPr/>
      </w:pPr>
      <w:r>
        <w:rPr/>
        <w:t>​</w:t>
      </w:r>
    </w:p>
    <w:tbl>
      <w:tblPr>
        <w:tblW w:w="2533" w:type="dxa"/>
        <w:jc w:val="left"/>
        <w:tblInd w:w="0" w:type="dxa"/>
        <w:tblLayout w:type="fixed"/>
        <w:tblCellMar>
          <w:top w:w="0" w:type="dxa"/>
          <w:left w:w="0" w:type="dxa"/>
          <w:bottom w:w="0" w:type="dxa"/>
          <w:right w:w="0" w:type="dxa"/>
        </w:tblCellMar>
      </w:tblPr>
      <w:tblGrid>
        <w:gridCol w:w="1141"/>
        <w:gridCol w:w="326"/>
        <w:gridCol w:w="1066"/>
      </w:tblGrid>
      <w:tr>
        <w:trPr/>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24535" cy="175260"/>
                      <wp:effectExtent l="0" t="0" r="0" b="0"/>
                      <wp:wrapNone/>
                      <wp:docPr id="141" name="Frame14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07010" cy="175260"/>
                      <wp:effectExtent l="0" t="0" r="0" b="0"/>
                      <wp:wrapNone/>
                      <wp:docPr id="142" name="Frame1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76910" cy="175260"/>
                      <wp:effectExtent l="0" t="0" r="0" b="0"/>
                      <wp:wrapNone/>
                      <wp:docPr id="143" name="Frame14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Completion</w:t>
            </w:r>
          </w:p>
        </w:tc>
      </w:tr>
      <w:tr>
        <w:trPr/>
        <w:tc>
          <w:tcPr>
            <w:tcW w:w="1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Clinical Phase</w:t>
            </w:r>
          </w:p>
        </w:tc>
        <w:tc>
          <w:tcPr>
            <w:tcW w:w="32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1</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1 - 2 Years</w:t>
            </w:r>
          </w:p>
        </w:tc>
      </w:tr>
      <w:tr>
        <w:trPr/>
        <w:tc>
          <w:tcPr>
            <w:tcW w:w="1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2</w:t>
            </w:r>
          </w:p>
        </w:tc>
        <w:tc>
          <w:tcPr>
            <w:tcW w:w="32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1 - 5 Years</w:t>
            </w:r>
          </w:p>
        </w:tc>
      </w:tr>
      <w:tr>
        <w:trPr/>
        <w:tc>
          <w:tcPr>
            <w:tcW w:w="1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Phase 3</w:t>
            </w:r>
          </w:p>
        </w:tc>
        <w:tc>
          <w:tcPr>
            <w:tcW w:w="32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1 - 5 Years</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duration and the cost of clinical trials may vary significantly over the life of a project as a result of differences arising during the clinical trial protocol, including, among others, the following:</w:t>
      </w:r>
    </w:p>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patients that ultimately participate in the trial;</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duration of patient follow-up that seems appropriate in view of results;</w:t>
            </w:r>
          </w:p>
        </w:tc>
      </w:tr>
    </w:tbl>
    <w:tbl>
      <w:tblPr>
        <w:tblW w:w="4506" w:type="dxa"/>
        <w:jc w:val="left"/>
        <w:tblInd w:w="0" w:type="dxa"/>
        <w:tblLayout w:type="fixed"/>
        <w:tblCellMar>
          <w:top w:w="28" w:type="dxa"/>
          <w:left w:w="28" w:type="dxa"/>
          <w:bottom w:w="28" w:type="dxa"/>
          <w:right w:w="28" w:type="dxa"/>
        </w:tblCellMar>
      </w:tblPr>
      <w:tblGrid>
        <w:gridCol w:w="124"/>
        <w:gridCol w:w="256"/>
        <w:gridCol w:w="41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clinical sites included in the trials;</w:t>
            </w:r>
          </w:p>
        </w:tc>
      </w:tr>
    </w:tbl>
    <w:tbl>
      <w:tblPr>
        <w:tblW w:w="5841" w:type="dxa"/>
        <w:jc w:val="left"/>
        <w:tblInd w:w="0" w:type="dxa"/>
        <w:tblLayout w:type="fixed"/>
        <w:tblCellMar>
          <w:top w:w="28" w:type="dxa"/>
          <w:left w:w="28" w:type="dxa"/>
          <w:bottom w:w="28" w:type="dxa"/>
          <w:right w:w="28" w:type="dxa"/>
        </w:tblCellMar>
      </w:tblPr>
      <w:tblGrid>
        <w:gridCol w:w="124"/>
        <w:gridCol w:w="256"/>
        <w:gridCol w:w="5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length of time required to enroll suitable patient subjects; and</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efficacy and safety profile of the drug candidate.</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past five years through December 31, 2022, we incurred an aggregate of $287.2 million in research and development expenses. The following table indicates the amount incurred for each of our significant research programs and for other identified research and development activities during the six months ended June 30, 2023 and 2022. The amounts disclosed in the following table reflect direct research and development costs, license fees associated with the underlying technology and an allocation of indirect research and development costs to each program.</w:t>
      </w:r>
    </w:p>
    <w:p>
      <w:pPr>
        <w:pStyle w:val="TextBody"/>
        <w:bidi w:val="0"/>
        <w:spacing w:before="0" w:after="0"/>
        <w:ind w:left="0" w:right="0" w:hanging="0"/>
        <w:jc w:val="left"/>
        <w:rPr/>
      </w:pPr>
      <w:r>
        <w:rPr/>
        <w:t>​</w:t>
      </w:r>
    </w:p>
    <w:tbl>
      <w:tblPr>
        <w:tblW w:w="5800" w:type="dxa"/>
        <w:jc w:val="left"/>
        <w:tblInd w:w="0" w:type="dxa"/>
        <w:tblLayout w:type="fixed"/>
        <w:tblCellMar>
          <w:top w:w="0" w:type="dxa"/>
          <w:left w:w="0" w:type="dxa"/>
          <w:bottom w:w="0" w:type="dxa"/>
          <w:right w:w="0" w:type="dxa"/>
        </w:tblCellMar>
      </w:tblPr>
      <w:tblGrid>
        <w:gridCol w:w="2851"/>
        <w:gridCol w:w="326"/>
        <w:gridCol w:w="267"/>
        <w:gridCol w:w="859"/>
        <w:gridCol w:w="326"/>
        <w:gridCol w:w="249"/>
        <w:gridCol w:w="922"/>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810385" cy="175260"/>
                      <wp:effectExtent l="0" t="0" r="0" b="0"/>
                      <wp:wrapNone/>
                      <wp:docPr id="144" name="Frame144"/>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69545" cy="175260"/>
                      <wp:effectExtent l="0" t="0" r="0" b="0"/>
                      <wp:wrapNone/>
                      <wp:docPr id="146" name="Frame14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545465" cy="175260"/>
                      <wp:effectExtent l="0" t="0" r="0" b="0"/>
                      <wp:wrapNone/>
                      <wp:docPr id="147" name="Frame14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58115" cy="175260"/>
                      <wp:effectExtent l="0" t="0" r="0" b="0"/>
                      <wp:wrapNone/>
                      <wp:docPr id="149" name="Frame14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585470" cy="175260"/>
                      <wp:effectExtent l="0" t="0" r="0" b="0"/>
                      <wp:wrapNone/>
                      <wp:docPr id="150" name="Frame150"/>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c>
          <w:tcPr>
            <w:tcW w:w="326" w:type="dxa"/>
            <w:tcBorders/>
            <w:vAlign w:val="center"/>
          </w:tcPr>
          <w:p>
            <w:pPr>
              <w:pStyle w:val="TableContents"/>
              <w:bidi w:val="0"/>
              <w:spacing w:before="0" w:after="0"/>
              <w:ind w:left="0" w:right="0" w:hanging="0"/>
              <w:jc w:val="center"/>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w:t>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center"/>
              <w:rPr/>
            </w:pPr>
            <w:r>
              <w:rPr/>
              <w:t>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2022</w:t>
            </w:r>
          </w:p>
        </w:tc>
      </w:tr>
      <w:tr>
        <w:trPr/>
        <w:tc>
          <w:tcPr>
            <w:tcW w:w="58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8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Barzolvolimab/Anti-KIT Program</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34,841</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21,918</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CDX</w:t>
              <w:noBreakHyphen/>
              <w:t>585</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 </w:t>
            </w:r>
          </w:p>
        </w:tc>
        <w:tc>
          <w:tcPr>
            <w:tcW w:w="8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4,569</w:t>
            </w:r>
          </w:p>
        </w:tc>
        <w:tc>
          <w:tcPr>
            <w:tcW w:w="32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9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5,705</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13,639</w:t>
            </w:r>
          </w:p>
        </w:tc>
        <w:tc>
          <w:tcPr>
            <w:tcW w:w="326" w:type="dxa"/>
            <w:tcBorders/>
            <w:shd w:fill="CCEEFF" w:val="clear"/>
            <w:vAlign w:val="center"/>
          </w:tcPr>
          <w:p>
            <w:pPr>
              <w:pStyle w:val="TableContents"/>
              <w:bidi w:val="0"/>
              <w:spacing w:before="0" w:after="0"/>
              <w:ind w:left="0" w:right="0" w:hanging="0"/>
              <w:jc w:val="left"/>
              <w:rPr/>
            </w:pPr>
            <w:r>
              <w:rPr/>
              <w:t>​</w:t>
            </w:r>
          </w:p>
        </w:tc>
        <w:tc>
          <w:tcPr>
            <w:tcW w:w="2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10,163</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R&amp;D Expense</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53,049</w:t>
            </w:r>
          </w:p>
        </w:tc>
        <w:tc>
          <w:tcPr>
            <w:tcW w:w="326" w:type="dxa"/>
            <w:tcBorders/>
            <w:vAlign w:val="center"/>
          </w:tcPr>
          <w:p>
            <w:pPr>
              <w:pStyle w:val="TableContents"/>
              <w:bidi w:val="0"/>
              <w:spacing w:before="0" w:after="0"/>
              <w:ind w:left="0" w:right="0" w:hanging="0"/>
              <w:jc w:val="left"/>
              <w:rPr/>
            </w:pPr>
            <w:r>
              <w:rPr/>
              <w:t>​</w:t>
            </w:r>
          </w:p>
        </w:tc>
        <w:tc>
          <w:tcPr>
            <w:tcW w:w="24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37,786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Clinical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Barzolvolimab (also referred to as CDX-0159)</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 = 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data supported expansion of the barzolvolimab program into mast cell driven diseases, including initially in CSU and CIndU, diseases where mast cell degranulation plays a central role in the onset and progression of the disease. Phase 1 studies in CSU and CIndU are complete and Phase 2 studies are ongoing. We continue to assess potential opportunities for barzolvolimab in other diseases where mast cells play an important role, such as dermatologic, respiratory, allergic, gastrointestinal and ophthalmic conditions and, to this end, are currently conducting an ongoing Phase 2 study in eosinophilic esophagitis, an ongoing Phase 1 study in prurigo nodularis and are planning for the initiation of a Phase 2 subcutaneous study in PN in early 2024. Phase 1 studies of barzolvolimab have been conducted with an intravenous formulation; a subcutaneous formulation has been successfully developed and is being used in Phase 2 studies.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Chronic Spontaneous Urticaria (CSU)</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CSU presents as itchy hives, angioedema or both for at least six weeks without a specific trigger; multiple episodes can play out over years or even decades. CSU is one of the most frequent dermatologic diseases with a prevalence of 0.5-1.0% of the total population or up to approximately 1 to 3 million patients in the United States (Weller et al. 2010. Hautarzt. 61(8), Bartlett et al. 2018. DermNet. Org). Approximately 50% of patients with CSU achieve symptomatic control with antihistamines. Omalizumab, an IgE inhibitor, provides relief for roughly half of the remaining antihistamine refractory patients. Consequently, there is a need for additional therapies.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2023 at the American Academy of Allergy, Asthma &amp; Immunology (AAAAI) Annual Meeting and in June 2023 at the European Academy of Allergy and Clinical Immunology (EAACI) Annual Congress, we reported positive data from the CSU study at 12- and 24-weeks, respectively. The study is now complete with 45 patients with moderate to severe CSU refractory to antihistamines enrolled and treated [35 barzolvolimab (n=9 in 0.5 mg/kg; n=8 in 1.5 mg/kg; n=9 in 3.0 mg/kg; n=9 in 4.5 mg/kg) and 10 placebo]. Activity data for the saturating doses (1.5 mg/kg and higher) are outlined below. Two patients did not receive all doses of study treatment [4.5 mg/kg (1), placebo (1)].</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resulted in rapid, marked and durable responses in patients with moderate to severe CSU refractory to antihistamines. Patients with prior omalizumab therapy also had similar symptom improvement as all patients. The 1.5 mg/kg, 3.0 mg/kg and 4.5 mg/kg dose groups showed similar markedly improved urticaria symptoms, including rapid onset of responses (as early as 1 week after the first dose) and prolonged disease control with sustained durability up to 24 weeks.</w:t>
            </w:r>
          </w:p>
        </w:tc>
      </w:tr>
    </w:tbl>
    <w:p>
      <w:pPr>
        <w:pStyle w:val="TextBody"/>
        <w:bidi w:val="0"/>
        <w:spacing w:before="0" w:after="0"/>
        <w:ind w:left="108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reduction from baseline in urticaria activity (UAS7) at week 12 was 67% in the 1.5 mg/kg dose group (n=8), 67% in the 3.0 mg/kg dose group (n=9) and 82% in the 4.5 mg/kg dose group (n=9). Mean reduction from baseline in urticaria activity (UAS7) at week 24 was 80% in the 1.5 mg/kg dose group (n=7), 70% in the 3.0 mg/kg dose group (n=6) and 77% in the 4.5 mg/kg dose group (n=7).</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Complete response (UAS7=0) at week 12 was 57% in the 1.5 mg/kg dose group, 44% in the 3.0 mg/kg dose group and 67% in the 4.5 mg/kg dose group. Complete response (UAS7=0) at week 24 was 57% in the 1.5 mg/kg dose group, 67% in the 3.0 mg/kg dose group and 43% in the 4.5 mg/kg dose group.</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post-treatment follow up, 71% (10 of 14) of patients who had been treated with doses greater than or equal to 1.5 mg/kg and had a complete response (UAS7=0) at week 12, remained urticaria free at week 24 (patients received last dose of barzolvolimab at week 8).</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Profound and durable improvement in angioedema symptoms as measured through the angioedema activity score over 7 days (AAS7) was achieved across all dose levels evaluated with sustained activity observed with the 1.5 mg/kg and greater dose levels.</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26"/>
        <w:gridCol w:w="9855"/>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patients on study (n=26 barzolvolimab; 5=placebo) reported angioedema activity at baseline when enrolling in the study. 86% of the barzolvolimab treated patients at 1.5 mg/kg or greater were angioedema free at week 12 and 83% were angioedema free at week 24.</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suppression, indicative of mast cell depletion, paralleled symptom improvement, demonstrating the impact of mast cell depletion on CSU disease activity.</w:t>
            </w:r>
          </w:p>
        </w:tc>
      </w:tr>
    </w:tbl>
    <w:p>
      <w:pPr>
        <w:pStyle w:val="TextBody"/>
        <w:bidi w:val="0"/>
        <w:spacing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with a favorable safety profile; effects of multiple dose administration were consistent with observations in single dose studies. Most AEs were mild or moderate in severity and resolved while on study. The most common treatment emergent adverse events were hair color changes, COVID-19, headache, neutropenia and urinary tract infections (UTIs). UTIs and COVID-19 were reported as unrelated to treatment. There was one serious adverse event of salmonella gastroenteritis which was also not related to study therapy. Changes in hematologic parameters were consistent with observations in single dose studies, with no pattern of further decreases with multiple doses; hematologic values generally remained within the normal range and returned to baseline levels during the follow up period. Five patients had decreases in neutrophil counts reported as AEs. The pattern observed in the neutrophil changes for these patients was similar to the pattern seen in patients across the barzolvolimab program to date— generally transient, asymptomatic, and mild and typically occurring in patients with screening and baseline neutrophil counts at the lower end of the normal range on study initiation.</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June 2022, we announced that the first patient had been dosed in a Phase 2 study in patients with CSU who remained symptomatic despite antihistamine therapy; in July 2023, we announced that enrollment had been completed to the study.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 We plan to report topline data from this study late this year.</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Chronic Inducible Urticaria (CIndU)</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exploring cold-induced, dermographism (scratch-induced) and cholinergic (exercise-induced) urticarias.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(ColdU) or symptomatic dermographism (SD). In March and June 2021, respectively, we added a third cohort (single dose, 3 mg/kg) in patients with cholinergic urticaria (“CholU”) and a fourth cohort at a lower dose (single dose, 1.5 mg/kg) in ColdU.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November 2022, data from the ColdU and SD cohorts treated with a single intravenous infusion of barzolvolimab at 3 mg/kg were published in </w:t>
      </w:r>
      <w:r>
        <w:rPr>
          <w:rFonts w:ascii="Times New Roman;Times;serif" w:hAnsi="Times New Roman;Times;serif"/>
          <w:i/>
          <w:sz w:val="20"/>
        </w:rPr>
        <w:t>Allergy</w:t>
      </w:r>
      <w:r>
        <w:rPr>
          <w:rFonts w:ascii="Times New Roman;Times;serif" w:hAnsi="Times New Roman;Times;serif"/>
          <w:sz w:val="20"/>
        </w:rPr>
        <w:t xml:space="preserve"> (Terhorst-Molawi et al Allergy. 2022 Nov 16. doi: 10.1111/all.15585). Safety results were reported for 21 patients; activity results were reported for the 20 patients who received a full dose of barzolvolimab. Patients had high disease activity. At baseline, patients’ mean scores (range) for Dermatology Life Quality Index (DLQI) [10.8 (2–21)] and Urticaria Control Test (UCT) [6.0 (0–13)] indicated marked impairment of quality of life (QoL) and poorly controlled disease, respectively. Three patients (1 with ColdU and 2 with SD) were previously treated with omalizumab and chose to discontinue that treatment because they remained symptomatic. At baseline, provocation thresholds, on average (range), were 18.9°C or 66°F (5–27°C or 41–80.6°F) for patients with ColdU and 3.5 (2–4) pins for patients with SD.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(as early as 1 week) and durable responses were observed in all patients as assessed by provocation testing. A complete response was achieved in 95% (n = 19/20) of patients (n = 10/10 ColdU; n = 9/10 SD). The median duration (range) of complete response through the 12-week observation period was 77+ days (29–86; n = 10) for patients with ColdU and 57+ days (16–70; n= 9) for patients with SD. All three patients who experienced insufficient response to omalizumab treatment had a complete response after treatment with barzolvolimab.</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single dose of barzolvolimab rapid improvements in urticaria control was observed. A UCT score of ≥12 (well controlled) was achieved by 80% (n = 16/20) of the patients within week 4 post-treatment. By week 8, all patients (100%; n = 20/20) achieved well-controlled urticaria, which was sustained to week 12 post-dose by 80% (n = 16/20) of patients. Complete urticaria control (UCT = 16) was achieved by 35% (n = 7/20), 65% (n = 13/20), and 40% (n = 8/20) at weeks 4, 8, and 12, respectively.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baseline, patients in both treatment groups reported disease impact on their QoL. Disease impact significantly decreased after dosing; a score of 0–1 (minimal/none) was achieved by 80% (n = 16/20) for all patients who completed the DLQI during the study. Additionally, clinically meaningful improvements in QoL were attained and sustained to week 12.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well tolerated. Most adverse events were mild, and the most common (≥3 patients) were hair color changes (76%; n = 16/21), infusion reactions (43%; n = 9/21), taste changes (38%; n = 8/21), nasopharyngitis (24%; n = 5/21), malaise (24%; n = 5/21), and headache (19%; n = 4/21). Hair color changes (generally small areas of hair color lightening) and taste disorders (generally partial changes of ability to taste salt or umami) are consistent with inhibiting KIT signaling in other cell types and completely resolved over time during follow-up. Infusion reactions, which manifested as localized hives and itching as well as erythema and feeling hot, resolved spontaneously. One patient with a history of fainting experienced loss of consciousness during infusion. The patient rapidly recovered. Importantly, no evidence of mast cell activation as measured by serum tryptase monitoring was observed in this patient. Overall, mean hematology parameters remained within the normal ranges—an important finding for a KIT inhibitor. Mild, transient, and asymptomatic decreases in hemoglobin and white blood cell parameters occurred for some patients.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we presented long term follow up data from the 3.0 mg/kg cohorts in cold urticaria and symptomatic dermographism at the GA²LEN Global Urticaria Forum (GUF) 2022. 14 patients consented to the optional long term follow up evaluation (6 cold, 8 symptomatic dermographism); 10 of the 14 still had complete control of their disease as assessed by provocation testing at week 12. Data were collected at one or more timepoints beyond week 12 through week 36.</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patients had return of symptoms and/or loss of urticaria control between 12 and 36 weeks. Remarkably, two patients remained provocation negative at 36 weeks, and four had well controlled disease (UCT ≥12) 36 weeks post dosing.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Serum tryptase exhibits a similar rate of recovery as clinical symptoms, while skin mast cells return at a slower rate. Tissue KIT signaling, as approximated by SCF levels, was rapidly inhibited after dose administration and fully reactivated approximately 18 weeks after dosing.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Tryptase levels return to pretreatment levels during follow up, while mast cells continue to recover. Drug related adverse events noted during the study all resolved.</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we also presented 12 week treatment results for the 1.5 mg/kg cohort in cold urticaria at the GA²LEN Global Urticaria Forum (GUF) 2022. 10 patients received a single intravenous infusion of barzolvolimab at 1.5 mg/kg. Patients had high disease activity as assessed by provocation threshold testing with a mean baseline critical temperature threshold of 18.4°C or 65°F with a range from 6 to 27°C or 43 to 81°F. All patients had disease refractory to antihistamines and five patients had disease refractory to omalizumab. Safety results were reported for all 10 patients; activity results were reported for the 9 patients who received a full dose of barzolvolimab, including four patients with omalizumab refractory disease.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9 of 9 (100%) patients evaluable for activity treated at 1.5 mg/kg experienced a complete response as assessed by provocation threshold testing, including 4 patients with disease refractory to omalizumab. Rapid onset of responses after dosing and sustained durability were observed in the 1.5 mg/kg cohort. 6 of 9 patients treated achieved a complete response within a week of dosing. The median duration of response was 51+ days (7+ weeks).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disease activity as reported by Urticaria Control Test (UCT) were consistent with the complete responses as measured by provocation testing. All patients entered the study with poorly controlled disease (mean UCT score at baseline of 5.9 and a range of 1-11). Following barzolvolimab administration, all patients achieved well controlled disease (UCT&gt;12) with 7 of 9 achieving complete control (UCT=16).</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single 1.5 mg/kg dose of barzolvolimab resulted in rapid, marked and durable suppression of serum tryptase; the kinetics of tryptase depletion mirrored changes in provocation threshold and UCT. Barzolvolimab was generally well tolerated and the safety profile at 1.5mg/kg was similar to the profile observed with 3.0 mg/kg.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new treatment emergent AEs of concern were noted. While mild, transient and asymptomatic decreases in hemoglobin and white blood cell (WBC) parameters were noted, consistent with prior studies, the hematology parameters generally remained within the normal range.</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 date, 19 of 19 (100%) patients with cold urticaria treated with either a single dose of barzolvolimab at 1.5 or 3.0 mg/kg in this Phase 1b study have experienced a complete response by provocation testing, including 5 patients with omalizumab refractory disease.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Data from the cholinergic cohort in the Phase 1b CIndU study were presented in June at the EAACI Hybrid Congress 2023. In this open-label, Phase 1 trial, a cohort of patients with antihistamine refractory cholinergic urticaria (n=9) received a single intravenous 3.0 mg/kg barzolvolimab dose with a 12-week follow-up. Assessments included provocation testing using pulse-controlled ergometry (PCE; complete response, CR=no whealing within 40 minutes of test initiation), urticaria control test (UCT), quality of life assessments, and measurement of circulating tryptase and stem cell factor and skin mast cell numbers. Safety assessments included adverse events and clinical laboratory monitoring. Data reported at EAACI included treatment and safety data through 12 weeks.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(5/9) patients achieved a complete response (negative test) with PCE provocation testing with just one dose of barzolvolimab and most responses remained durable through to week 12. PCE testing included controlled exercise on a stationary bicycle with monitoring for development of itch and wheals.</w:t>
            </w:r>
          </w:p>
        </w:tc>
      </w:tr>
    </w:tbl>
    <w:p>
      <w:pPr>
        <w:pStyle w:val="TextBody"/>
        <w:bidi w:val="0"/>
        <w:spacing w:before="0" w:after="0"/>
        <w:ind w:left="1440" w:right="0" w:hanging="0"/>
        <w:jc w:val="left"/>
        <w:rPr/>
      </w:pPr>
      <w:r>
        <w:rPr/>
        <w:t>​</w:t>
      </w:r>
    </w:p>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(5/8) patients reported well controlled disease (UCT ≥12) at week 8 and 50% (4/8) at week 12, respectively.</w:t>
            </w:r>
          </w:p>
        </w:tc>
      </w:tr>
    </w:tbl>
    <w:p>
      <w:pPr>
        <w:pStyle w:val="TextBody"/>
        <w:bidi w:val="0"/>
        <w:spacing w:before="0" w:after="0"/>
        <w:ind w:left="144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(6/6) patients who reported on quality of life (QoL) measurements at week 8 had clinically significant improvements in QoL. These improvements in QoL were sustained through week 12 for the majority (5/7, 71%) of patients.</w:t>
            </w:r>
          </w:p>
        </w:tc>
      </w:tr>
    </w:tbl>
    <w:p>
      <w:pPr>
        <w:pStyle w:val="TextBody"/>
        <w:bidi w:val="0"/>
        <w:spacing w:before="0" w:after="0"/>
        <w:ind w:left="1440" w:right="0" w:hanging="0"/>
        <w:jc w:val="left"/>
        <w:rPr/>
      </w:pPr>
      <w:r>
        <w:rPr/>
        <w:t>​</w:t>
      </w:r>
    </w:p>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kinetics of tryptase and mast cell reduction mirrored clinical activity.</w:t>
            </w:r>
          </w:p>
        </w:tc>
      </w:tr>
    </w:tbl>
    <w:p>
      <w:pPr>
        <w:pStyle w:val="TextBody"/>
        <w:bidi w:val="0"/>
        <w:spacing w:before="0" w:after="0"/>
        <w:ind w:left="144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Barzolvolimab was generally well tolerated in patients with CholU, with a similar safety profile to that reported previously. The most common AEs were mainly mild; hair color changes (78%), nasopharyngitis (67%), taste disorders (44%), and infusion related reactions (33%). Hematology parameters were consistent with previous observation and generally remained within the normal ranges. Mild, transient, and asymptomatic decreases in hemoglobin and white blood cell parameters were noted.</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July 2022, we announced that the first patient has been dosed in a Phase 2 study in patients with CIndU who remain symptomatic despite antihistamine therapy.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Prurigo Nodularis (PN)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intravenous study designed to assess the safety and treatment effects across multiple dosing cohorts of barzolvolimab in up to 30 patients with PN. Enrolling an intravenous, early stage study in the dermatology setting has been a challenge and the study has taken longer than expected to complete. In February 2023, we closed enrollment at 24 patients, which we believe will provide sufficient data for analysis to inform future development decisions in PN. We plan to present data from the ongoing study, including 24 weeks of follow-up, in the fourth quarter at a medical meeting and are planning for the initiation of a Phase 2 subcutaneous study in PN in early 2024.</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Eosinophilic Esophagitis (EoE)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randomized, double-blind, placebo-controlled, parallel group Phase 2 study is evaluating the efficacy and safety profile of subcutaneous barzolvolimab in patients with active EoE. Approximately 60 patients will be randomly assigned on a 1:1 ratio to receive subcutaneous injections of barzolvolimab at 300 mg every 8 weeks or placebo during a 16-week placebo-controlled treatment phase. Patients then enter a 12-week active treatment phase, in which all patients will receive barzolvolimab 300 mg every 8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When all clinical trial sites are open, the study will include approximately 60 clinical trial centers across 8 countries, including the United States.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Barzolvolimab Development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Manufacturing activities to support the introduction of the barzolvolimab subcutaneous formulation into the clinical program have been completed and, in February 2022, we reported that subcutaneous administration of barzolvolimab administered to healthy volunteers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and CSU intravenous studies. The Phase 2 multi-dose studies in urticaria are designed to evaluate 75 mg and 150 mg administered every 4 weeks and 300 mg administered every 8 weeks. These doses support a 0.5 to 2 ml injection volume, allowing for a single injection as barzolvolimab advances towards potential commercialization. In 2022, we transferred our barzolvolimab manufacturing process to a contract manufacturing organization to support late-stage trials and to prepare for potential commercialization.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our Phase 2 studies in urticaria and in future indications.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Bispecific Platform</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CDX-585</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CDX-585 combines our proprietary highly active PD-1 blockade and anti-ILT4 blockade to overcome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Times;serif" w:hAnsi="Times New Roman;Times;serif"/>
          <w:i/>
          <w:sz w:val="20"/>
        </w:rPr>
        <w:t>in vivo</w:t>
      </w:r>
      <w:r>
        <w:rPr>
          <w:rFonts w:ascii="Times New Roman;Times;serif" w:hAnsi="Times New Roman;Times;serif"/>
          <w:sz w:val="20"/>
        </w:rPr>
        <w:t xml:space="preserve"> efficacy of CDX-585 was also demonstrated in a melanoma humanized mouse model. CDX-585 has successfully completed GMP manufacturing and IND-enabling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studies to support clinical development. CDX-585 will initially be developed for the treatment of solid tumors either as monotherapy or in combination with other oncologic treatments.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late May 2023, we announced that the first patient had been dosed in the Phase 1 study of CDX-585. This open-label, multi-center, intravenous study of CDX-585 is being evaluated in patients with advanced or metastatic solid tumors that have progressed during or after standard of care therapy. The dose-escalation phase of the study (n=~30 patients) is designed to determine a maximum tolerated dose (MTD) and to select CDX-585 dose(s) for future evaluation in tumor specific expansion cohorts. In the first phase, increasing doses of CDX-585 will be administered intravenously (0.03 mg/kg up to 10.0 mg/kg) every 2 weeks until confirmed disease progression, intolerance, or for a maximum of 2 years. In the second phase, potential expansion cohorts will evaluate the safety, tolerability and biologic effects, including anti-tumor activity, of selected dose level(s) of CDX-585 in specific tumor types.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2022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2023 Compared with Three Months Ended June 30, 2022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19"/>
        <w:gridCol w:w="326"/>
        <w:gridCol w:w="211"/>
        <w:gridCol w:w="789"/>
        <w:gridCol w:w="326"/>
        <w:gridCol w:w="211"/>
        <w:gridCol w:w="789"/>
        <w:gridCol w:w="326"/>
        <w:gridCol w:w="211"/>
        <w:gridCol w:w="789"/>
        <w:gridCol w:w="326"/>
        <w:gridCol w:w="864"/>
        <w:gridCol w:w="318"/>
      </w:tblGrid>
      <w:tr>
        <w:trPr/>
        <w:tc>
          <w:tcPr>
            <w:tcW w:w="4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996565" cy="175260"/>
                      <wp:effectExtent l="0" t="0" r="0" b="0"/>
                      <wp:wrapNone/>
                      <wp:docPr id="151" name="Frame151"/>
                      <a:graphic xmlns:a="http://schemas.openxmlformats.org/drawingml/2006/main">
                        <a:graphicData uri="http://schemas.microsoft.com/office/word/2010/wordprocessingShape">
                          <wps:wsp>
                            <wps:cNvSpPr txBox="1"/>
                            <wps:spPr>
                              <a:xfrm>
                                <a:off x="0" y="0"/>
                                <a:ext cx="299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01015" cy="175260"/>
                      <wp:effectExtent l="0" t="0" r="0" b="0"/>
                      <wp:wrapNone/>
                      <wp:docPr id="154" name="Frame15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01015" cy="175260"/>
                      <wp:effectExtent l="0" t="0" r="0" b="0"/>
                      <wp:wrapNone/>
                      <wp:docPr id="157" name="Frame157"/>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01015" cy="175260"/>
                      <wp:effectExtent l="0" t="0" r="0" b="0"/>
                      <wp:wrapNone/>
                      <wp:docPr id="160" name="Frame160"/>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48640" cy="175260"/>
                      <wp:effectExtent l="0" t="0" r="0" b="0"/>
                      <wp:wrapNone/>
                      <wp:docPr id="162" name="Frame162"/>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1930" cy="175260"/>
                      <wp:effectExtent l="0" t="0" r="0" b="0"/>
                      <wp:wrapNone/>
                      <wp:docPr id="163" name="Frame163"/>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8" w:type="dxa"/>
            <w:tcBorders/>
            <w:vAlign w:val="center"/>
          </w:tcPr>
          <w:p>
            <w:pPr>
              <w:pStyle w:val="TableContents"/>
              <w:bidi w:val="0"/>
              <w:spacing w:before="0" w:after="0"/>
              <w:ind w:left="0" w:right="0" w:hanging="0"/>
              <w:jc w:val="left"/>
              <w:rPr/>
            </w:pPr>
            <w:r>
              <w:rPr/>
              <w:t> </w:t>
            </w:r>
          </w:p>
        </w:tc>
      </w:tr>
      <w:tr>
        <w:trPr/>
        <w:tc>
          <w:tcPr>
            <w:tcW w:w="4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8" w:type="dxa"/>
            <w:tcBorders/>
            <w:vAlign w:val="center"/>
          </w:tcPr>
          <w:p>
            <w:pPr>
              <w:pStyle w:val="TableContents"/>
              <w:bidi w:val="0"/>
              <w:spacing w:before="0" w:after="0"/>
              <w:ind w:left="0" w:right="0" w:hanging="0"/>
              <w:jc w:val="left"/>
              <w:rPr/>
            </w:pPr>
            <w:r>
              <w:rPr/>
              <w:t> </w:t>
            </w:r>
          </w:p>
        </w:tc>
      </w:tr>
      <w:tr>
        <w:trPr/>
        <w:tc>
          <w:tcPr>
            <w:tcW w:w="4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8" w:type="dxa"/>
            <w:tcBorders/>
            <w:vAlign w:val="center"/>
          </w:tcPr>
          <w:p>
            <w:pPr>
              <w:pStyle w:val="TableContents"/>
              <w:bidi w:val="0"/>
              <w:spacing w:before="0" w:after="0"/>
              <w:ind w:left="0" w:right="0" w:hanging="0"/>
              <w:jc w:val="left"/>
              <w:rPr/>
            </w:pPr>
            <w:r>
              <w:rPr/>
              <w:t> </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7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42"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8" w:type="dxa"/>
            <w:tcBorders/>
            <w:vAlign w:val="center"/>
          </w:tcPr>
          <w:p>
            <w:pPr>
              <w:pStyle w:val="TableContents"/>
              <w:bidi w:val="0"/>
              <w:spacing w:before="0" w:after="0"/>
              <w:ind w:left="0" w:right="0" w:hanging="0"/>
              <w:jc w:val="left"/>
              <w:rPr/>
            </w:pPr>
            <w:r>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4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18" w:type="dxa"/>
            <w:tcBorders/>
            <w:vAlign w:val="center"/>
          </w:tcPr>
          <w:p>
            <w:pPr>
              <w:pStyle w:val="TableContents"/>
              <w:bidi w:val="0"/>
              <w:spacing w:before="0" w:after="0"/>
              <w:ind w:left="0" w:right="0" w:hanging="0"/>
              <w:jc w:val="left"/>
              <w:rPr/>
            </w:pPr>
            <w:r>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18" w:type="dxa"/>
            <w:tcBorders/>
            <w:shd w:fill="CCEEFF" w:val="clear"/>
            <w:vAlign w:val="center"/>
          </w:tcPr>
          <w:p>
            <w:pPr>
              <w:pStyle w:val="TableContents"/>
              <w:bidi w:val="0"/>
              <w:spacing w:before="0" w:after="0"/>
              <w:ind w:left="0" w:right="0" w:hanging="0"/>
              <w:jc w:val="left"/>
              <w:rPr/>
            </w:pPr>
            <w:r>
              <w:rPr/>
              <w:t>​</w:t>
            </w:r>
          </w:p>
        </w:tc>
      </w:tr>
      <w:tr>
        <w:trPr/>
        <w:tc>
          <w:tcPr>
            <w:tcW w:w="4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5,521</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(3,086)</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(33,205)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2,311</w:t>
            </w:r>
          </w:p>
        </w:tc>
        <w:tc>
          <w:tcPr>
            <w:tcW w:w="326"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(5,502)</w:t>
            </w:r>
          </w:p>
        </w:tc>
        <w:tc>
          <w:tcPr>
            <w:tcW w:w="326"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$5.5 million decrease in net loss for the three months ended June 30, 2023, as compared to the three months ended June 30, 2022, was primarily due to the $15.0 million litigation settlement related loss recorded in the second quarter of 2022, partially offset by a decrease in the gain on fair value remeasurement of contingent consideration and an increase in research and development expenses.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 from product development and licensing agreements for the three months ended June 30, 2023 was relatively consistent with the three months ended June 30, 2022. The $0.1 million increase in contracts and grants revenue for the three months ended June 30, 2023, as compared to the three months ended June 30, 2022, was primarily due to an increase in revenue from our contract manufacturing and research and development agreements with Rockefeller University. We expect revenue to increase over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next twelve months primarily due to an increase in services expected to be performed under our contract manufacturing and research and development agreements with Rockefeller University.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hanging="0"/>
        <w:jc w:val="left"/>
        <w:rPr/>
      </w:pPr>
      <w:r>
        <w:rPr/>
        <w:t>​</w:t>
      </w:r>
    </w:p>
    <w:tbl>
      <w:tblPr>
        <w:tblW w:w="6368"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571"/>
        <w:gridCol w:w="326"/>
        <w:gridCol w:w="211"/>
        <w:gridCol w:w="571"/>
        <w:gridCol w:w="326"/>
        <w:gridCol w:w="436"/>
        <w:gridCol w:w="31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181735" cy="175260"/>
                      <wp:effectExtent l="0" t="0" r="0" b="0"/>
                      <wp:wrapNone/>
                      <wp:docPr id="164" name="Frame16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29260" cy="175260"/>
                      <wp:effectExtent l="0" t="0" r="0" b="0"/>
                      <wp:wrapNone/>
                      <wp:docPr id="167" name="Frame1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362585" cy="175260"/>
                      <wp:effectExtent l="0" t="0" r="0" b="0"/>
                      <wp:wrapNone/>
                      <wp:docPr id="170" name="Frame17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62585" cy="175260"/>
                      <wp:effectExtent l="0" t="0" r="0" b="0"/>
                      <wp:wrapNone/>
                      <wp:docPr id="173" name="Frame17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07010" cy="175260"/>
                      <wp:effectExtent l="0" t="0" r="0" b="0"/>
                      <wp:wrapNone/>
                      <wp:docPr id="174" name="Frame1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76860" cy="175260"/>
                      <wp:effectExtent l="0" t="0" r="0" b="0"/>
                      <wp:wrapNone/>
                      <wp:docPr id="175" name="Frame175"/>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0660" cy="175260"/>
                      <wp:effectExtent l="0" t="0" r="0" b="0"/>
                      <wp:wrapNone/>
                      <wp:docPr id="176" name="Frame1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0"/>
              <w:ind w:left="0" w:right="0" w:hanging="0"/>
              <w:jc w:val="center"/>
              <w:rPr/>
            </w:pPr>
            <w:r>
              <w:rPr/>
              <w:t>​</w:t>
            </w:r>
          </w:p>
        </w:tc>
        <w:tc>
          <w:tcPr>
            <w:tcW w:w="154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center"/>
              <w:rPr/>
            </w:pPr>
            <w:r>
              <w:rPr/>
              <w:t> </w:t>
            </w:r>
          </w:p>
        </w:tc>
      </w:tr>
      <w:tr>
        <w:trPr/>
        <w:tc>
          <w:tcPr>
            <w:tcW w:w="6368"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center"/>
              <w:rPr/>
            </w:pPr>
            <w:r>
              <w:rPr/>
              <w:t>​</w:t>
            </w:r>
          </w:p>
        </w:tc>
        <w:tc>
          <w:tcPr>
            <w:tcW w:w="3654" w:type="dxa"/>
            <w:gridSpan w:val="9"/>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16" w:type="dxa"/>
            <w:tcBorders/>
            <w:vAlign w:val="center"/>
          </w:tcPr>
          <w:p>
            <w:pPr>
              <w:pStyle w:val="TableContents"/>
              <w:bidi w:val="0"/>
              <w:spacing w:before="0" w:after="0"/>
              <w:ind w:left="0" w:right="0" w:hanging="0"/>
              <w:jc w:val="left"/>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$1.0 million increase in personnel expenses for the three months ended June 30, 2023, as compared to the three months ended June 30, 2022, was primarily due to higher stock-based compensation expense and an increase in employee headcount. We expect personnel expenses to increase over the next twelve months as a result of additional headcount to support the expanded development of barzolvolimab.</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$0.6 million decrease in laboratory supply expenses for the three months ended June 30, 2023, as compared to the three months ended June 30, 2022, was primarily due to lower laboratory materials and supplies purchases. We expect laboratory supplies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three months ended June 30, 2023 were relatively consistent with the three months ended June 30, 2022. We expect facility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$4.7 million increase in product development expenses for the three months ended June 30, 2023, as compared to the three months ended June 30, 2022, was primarily due to an increase in barzolvolimab clinical trial and contract manufacturing expenses. We expect product development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$0.1 million increase in general and administrative expenses for the three months ended June 30, 2023, as compared to the three months ended June 30, 2022, was primarily due to higher stock-based compensation and recruiting expenses, partially offset by a decrease in legal expenses. We expect general and administrative expenses to remain relatively consistent over the next twelve months, although there may be fluctuations on a quarterly basis.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Gain on Fair Value Remeasurement of Contingent Consideration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$6.3 million gain on fair value remeasurement of contingent consideration for the three months ended June 30, 2022 was primarily due to our decision to deprioritize the CDX-1140 program.</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 Settlement Related Loss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recorded a loss of $15.0 million in the second quarter of 2022 related to the Initial Payment due under the binding settlement Term Sheet entered with SRS.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$2.3 million increase in investment and other income, net for the three months ended June 30, 2023, as compared to the three months ended June 30, 2022, was primarily due to higher interest rates on fixed income investments. We expect investment and other income to remain relatively consistent over the next twelve months, although there may be fluctuations on a quarterly basis.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2023 Compared with Six Months Ended June 30, 2022</w:t>
      </w:r>
    </w:p>
    <w:p>
      <w:pPr>
        <w:pStyle w:val="TextBody"/>
        <w:bidi w:val="0"/>
        <w:spacing w:before="0" w:after="0"/>
        <w:ind w:left="0" w:right="0" w:firstLine="72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4667"/>
        <w:gridCol w:w="326"/>
        <w:gridCol w:w="211"/>
        <w:gridCol w:w="788"/>
        <w:gridCol w:w="326"/>
        <w:gridCol w:w="211"/>
        <w:gridCol w:w="788"/>
        <w:gridCol w:w="326"/>
        <w:gridCol w:w="211"/>
        <w:gridCol w:w="788"/>
        <w:gridCol w:w="326"/>
        <w:gridCol w:w="863"/>
        <w:gridCol w:w="374"/>
      </w:tblGrid>
      <w:tr>
        <w:trPr/>
        <w:tc>
          <w:tcPr>
            <w:tcW w:w="46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left"/>
              <w:rPr/>
            </w:pPr>
            <w:r>
              <w:rPr/>
              <w:t>​</w:t>
            </w:r>
          </w:p>
        </w:tc>
        <w:tc>
          <w:tcPr>
            <w:tcW w:w="374" w:type="dxa"/>
            <w:tcBorders/>
            <w:vAlign w:val="center"/>
          </w:tcPr>
          <w:p>
            <w:pPr>
              <w:pStyle w:val="TableContents"/>
              <w:bidi w:val="0"/>
              <w:spacing w:before="0" w:after="0"/>
              <w:ind w:left="0" w:right="0" w:hanging="0"/>
              <w:jc w:val="left"/>
              <w:rPr/>
            </w:pPr>
            <w:r>
              <w:rPr/>
              <w:t>​</w:t>
            </w:r>
          </w:p>
        </w:tc>
      </w:tr>
      <w:tr>
        <w:trPr/>
        <w:tc>
          <w:tcPr>
            <w:tcW w:w="46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center"/>
              <w:rPr/>
            </w:pPr>
            <w:r>
              <w:rPr/>
              <w:t>    </w:t>
            </w:r>
          </w:p>
        </w:tc>
        <w:tc>
          <w:tcPr>
            <w:tcW w:w="99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26" w:type="dxa"/>
            <w:tcBorders/>
            <w:vAlign w:val="center"/>
          </w:tcPr>
          <w:p>
            <w:pPr>
              <w:pStyle w:val="TableContents"/>
              <w:bidi w:val="0"/>
              <w:spacing w:before="0" w:after="0"/>
              <w:ind w:left="0" w:right="0" w:hanging="0"/>
              <w:jc w:val="center"/>
              <w:rPr/>
            </w:pPr>
            <w:r>
              <w:rPr/>
              <w:t>​</w:t>
            </w:r>
          </w:p>
        </w:tc>
        <w:tc>
          <w:tcPr>
            <w:tcW w:w="8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74" w:type="dxa"/>
            <w:tcBorders/>
            <w:vAlign w:val="center"/>
          </w:tcPr>
          <w:p>
            <w:pPr>
              <w:pStyle w:val="TableContents"/>
              <w:bidi w:val="0"/>
              <w:spacing w:before="0" w:after="0"/>
              <w:ind w:left="0" w:right="0" w:hanging="0"/>
              <w:jc w:val="center"/>
              <w:rPr/>
            </w:pPr>
            <w:r>
              <w:rPr/>
              <w:t>    </w:t>
            </w:r>
          </w:p>
        </w:tc>
      </w:tr>
      <w:tr>
        <w:trPr/>
        <w:tc>
          <w:tcPr>
            <w:tcW w:w="46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vAlign w:val="center"/>
          </w:tcPr>
          <w:p>
            <w:pPr>
              <w:pStyle w:val="TableContents"/>
              <w:bidi w:val="0"/>
              <w:spacing w:before="0" w:after="0"/>
              <w:ind w:left="0" w:right="0" w:hanging="0"/>
              <w:jc w:val="center"/>
              <w:rPr/>
            </w:pPr>
            <w:r>
              <w:rPr/>
              <w:t>​</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74" w:type="dxa"/>
            <w:tcBorders/>
            <w:vAlign w:val="center"/>
          </w:tcPr>
          <w:p>
            <w:pPr>
              <w:pStyle w:val="TableContents"/>
              <w:bidi w:val="0"/>
              <w:spacing w:before="0" w:after="0"/>
              <w:ind w:left="0" w:right="0" w:hanging="0"/>
              <w:jc w:val="center"/>
              <w:rPr/>
            </w:pPr>
            <w:r>
              <w:rPr/>
              <w:t>​</w:t>
            </w:r>
          </w:p>
        </w:tc>
      </w:tr>
      <w:tr>
        <w:trPr/>
        <w:tc>
          <w:tcPr>
            <w:tcW w:w="46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86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74" w:type="dxa"/>
            <w:tcBorders/>
            <w:vAlign w:val="center"/>
          </w:tcPr>
          <w:p>
            <w:pPr>
              <w:pStyle w:val="TableContents"/>
              <w:bidi w:val="0"/>
              <w:spacing w:before="0" w:after="0"/>
              <w:ind w:left="0" w:right="0" w:hanging="0"/>
              <w:jc w:val="center"/>
              <w:rPr/>
            </w:pPr>
            <w:r>
              <w:rPr/>
              <w:t>​</w:t>
            </w:r>
          </w:p>
        </w:tc>
      </w:tr>
      <w:tr>
        <w:trPr/>
        <w:tc>
          <w:tcPr>
            <w:tcW w:w="10205"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466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838"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4" w:type="dxa"/>
            <w:tcBorders/>
            <w:vAlign w:val="center"/>
          </w:tcPr>
          <w:p>
            <w:pPr>
              <w:pStyle w:val="TableContents"/>
              <w:bidi w:val="0"/>
              <w:spacing w:before="0" w:after="0"/>
              <w:ind w:left="0" w:right="0" w:hanging="0"/>
              <w:jc w:val="center"/>
              <w:rPr/>
            </w:pPr>
            <w:r>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63" w:type="dxa"/>
            <w:tcBorders/>
            <w:shd w:fill="CCEEFF" w:val="clear"/>
            <w:vAlign w:val="center"/>
          </w:tcPr>
          <w:p>
            <w:pPr>
              <w:pStyle w:val="TableContents"/>
              <w:bidi w:val="0"/>
              <w:spacing w:before="0" w:after="0"/>
              <w:ind w:left="0" w:right="0" w:hanging="0"/>
              <w:jc w:val="righ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r>
      <w:tr>
        <w:trPr/>
        <w:tc>
          <w:tcPr>
            <w:tcW w:w="46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 and licensing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Contracts and grants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r>
      <w:tr>
        <w:trPr/>
        <w:tc>
          <w:tcPr>
            <w:tcW w:w="46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15,263</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fair value remeasurement of contingent consideration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(6,862)</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 settlement related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6,920</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6,023</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w:t>
            </w:r>
          </w:p>
        </w:tc>
        <w:tc>
          <w:tcPr>
            <w:tcW w:w="326" w:type="dxa"/>
            <w:tcBorders/>
            <w:vAlign w:val="center"/>
          </w:tcPr>
          <w:p>
            <w:pPr>
              <w:pStyle w:val="TableContents"/>
              <w:bidi w:val="0"/>
              <w:spacing w:before="0" w:after="0"/>
              <w:ind w:left="0" w:right="0" w:hanging="0"/>
              <w:jc w:val="left"/>
              <w:rPr/>
            </w:pPr>
            <w:r>
              <w:rPr/>
              <w:t>​</w:t>
            </w:r>
          </w:p>
        </w:tc>
        <w:tc>
          <w:tcPr>
            <w:tcW w:w="8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870</w:t>
            </w:r>
          </w:p>
        </w:tc>
        <w:tc>
          <w:tcPr>
            <w:tcW w:w="3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6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(59,054)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26" w:type="dxa"/>
            <w:tcBorders/>
            <w:shd w:fill="CCEEFF" w:val="clear"/>
            <w:vAlign w:val="center"/>
          </w:tcPr>
          <w:p>
            <w:pPr>
              <w:pStyle w:val="TableContents"/>
              <w:bidi w:val="0"/>
              <w:spacing w:before="0" w:after="0"/>
              <w:ind w:left="0" w:right="0" w:hanging="0"/>
              <w:jc w:val="left"/>
              <w:rPr/>
            </w:pPr>
            <w:r>
              <w:rPr/>
              <w:t>​</w:t>
            </w:r>
          </w:p>
        </w:tc>
        <w:tc>
          <w:tcPr>
            <w:tcW w:w="8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$0.1 million increase in net loss for the six months ended June 30, 2023, as compared to the six months ended June 30, 2022, was primarily due to an increase in research and development expenses and a decrease in the gain on fair value remeasurement of contingent consideration, partially offset by the $15.0 million litigation settlement related loss recorded in the second quarter of 2022 and an increase in investment and other income.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Revenue from product development and licensing agreements for the six months ended June 30, 2023, was relatively consistent with the six months ended June 30, 2022. The $0.9 million increase in contracts and grants revenue for the six months ended June 30, 2023, as compared to the six months ended June 30, 2022, was primarily related to an increase in services performed under our manufacturing and research and development agreements with Rockefeller University.</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pStyle w:val="TextBody"/>
        <w:bidi w:val="0"/>
        <w:spacing w:before="0" w:after="0"/>
        <w:ind w:left="0" w:right="0" w:firstLine="720"/>
        <w:jc w:val="left"/>
        <w:rPr/>
      </w:pPr>
      <w:r>
        <w:rPr/>
        <w:t>​</w:t>
      </w:r>
    </w:p>
    <w:tbl>
      <w:tblPr>
        <w:tblW w:w="6633" w:type="dxa"/>
        <w:jc w:val="left"/>
        <w:tblInd w:w="0" w:type="dxa"/>
        <w:tblLayout w:type="fixed"/>
        <w:tblCellMar>
          <w:top w:w="0" w:type="dxa"/>
          <w:left w:w="0" w:type="dxa"/>
          <w:bottom w:w="0" w:type="dxa"/>
          <w:right w:w="0" w:type="dxa"/>
        </w:tblCellMar>
      </w:tblPr>
      <w:tblGrid>
        <w:gridCol w:w="1861"/>
        <w:gridCol w:w="326"/>
        <w:gridCol w:w="211"/>
        <w:gridCol w:w="676"/>
        <w:gridCol w:w="326"/>
        <w:gridCol w:w="211"/>
        <w:gridCol w:w="676"/>
        <w:gridCol w:w="326"/>
        <w:gridCol w:w="211"/>
        <w:gridCol w:w="676"/>
        <w:gridCol w:w="326"/>
        <w:gridCol w:w="436"/>
        <w:gridCol w:w="371"/>
      </w:tblGrid>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326" w:type="dxa"/>
            <w:tcBorders/>
            <w:vAlign w:val="center"/>
          </w:tcPr>
          <w:p>
            <w:pPr>
              <w:pStyle w:val="TableContents"/>
              <w:bidi w:val="0"/>
              <w:spacing w:before="0" w:after="0"/>
              <w:ind w:left="0" w:right="0" w:hanging="0"/>
              <w:jc w:val="center"/>
              <w:rPr/>
            </w:pPr>
            <w:r>
              <w:rPr/>
              <w:t>    </w:t>
            </w:r>
          </w:p>
        </w:tc>
        <w:tc>
          <w:tcPr>
            <w:tcW w:w="16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71" w:type="dxa"/>
            <w:tcBorders/>
            <w:vAlign w:val="center"/>
          </w:tcPr>
          <w:p>
            <w:pPr>
              <w:pStyle w:val="TableContents"/>
              <w:bidi w:val="0"/>
              <w:spacing w:before="0" w:after="0"/>
              <w:ind w:left="0" w:right="0" w:hanging="0"/>
              <w:jc w:val="center"/>
              <w:rPr/>
            </w:pPr>
            <w:r>
              <w:rPr/>
              <w:t>    </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0"/>
              <w:ind w:left="0" w:right="0" w:hanging="0"/>
              <w:jc w:val="center"/>
              <w:rPr/>
            </w:pPr>
            <w:r>
              <w:rPr/>
              <w:t>​</w:t>
            </w:r>
          </w:p>
        </w:tc>
        <w:tc>
          <w:tcPr>
            <w:tcW w:w="16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71" w:type="dxa"/>
            <w:tcBorders/>
            <w:vAlign w:val="center"/>
          </w:tcPr>
          <w:p>
            <w:pPr>
              <w:pStyle w:val="TableContents"/>
              <w:bidi w:val="0"/>
              <w:spacing w:before="0" w:after="0"/>
              <w:ind w:left="0" w:right="0" w:hanging="0"/>
              <w:jc w:val="center"/>
              <w:rPr/>
            </w:pPr>
            <w:r>
              <w:rPr/>
              <w:t>​</w:t>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71" w:type="dxa"/>
            <w:tcBorders/>
            <w:vAlign w:val="center"/>
          </w:tcPr>
          <w:p>
            <w:pPr>
              <w:pStyle w:val="TableContents"/>
              <w:bidi w:val="0"/>
              <w:spacing w:before="0" w:after="0"/>
              <w:ind w:left="0" w:right="0" w:hanging="0"/>
              <w:jc w:val="center"/>
              <w:rPr/>
            </w:pPr>
            <w:r>
              <w:rPr/>
              <w:t>​</w:t>
            </w:r>
          </w:p>
        </w:tc>
      </w:tr>
      <w:tr>
        <w:trPr/>
        <w:tc>
          <w:tcPr>
            <w:tcW w:w="6633" w:type="dxa"/>
            <w:gridSpan w:val="13"/>
            <w:tcBorders/>
            <w:vAlign w:val="center"/>
          </w:tcPr>
          <w:p>
            <w:pPr>
              <w:pStyle w:val="TableContents"/>
              <w:bidi w:val="0"/>
              <w:spacing w:before="0" w:after="283"/>
              <w:ind w:left="0" w:right="0" w:hanging="0"/>
              <w:jc w:val="left"/>
              <w:rPr>
                <w:sz w:val="4"/>
                <w:szCs w:val="4"/>
              </w:rPr>
            </w:pPr>
            <w:r>
              <w:rPr>
                <w:sz w:val="4"/>
                <w:szCs w:val="4"/>
              </w:rPr>
            </w:r>
          </w:p>
        </w:tc>
      </w:tr>
      <w:tr>
        <w:trPr/>
        <w:tc>
          <w:tcPr>
            <w:tcW w:w="18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75" w:type="dxa"/>
            <w:gridSpan w:val="1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71" w:type="dxa"/>
            <w:tcBorders/>
            <w:vAlign w:val="center"/>
          </w:tcPr>
          <w:p>
            <w:pPr>
              <w:pStyle w:val="TableContents"/>
              <w:bidi w:val="0"/>
              <w:spacing w:before="0" w:after="0"/>
              <w:ind w:left="0" w:right="0" w:hanging="0"/>
              <w:jc w:val="center"/>
              <w:rPr/>
            </w:pPr>
            <w:r>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Personnel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2,521</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Laboratory supplies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12,788</w:t>
            </w:r>
          </w:p>
        </w:tc>
        <w:tc>
          <w:tcPr>
            <w:tcW w:w="326"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Personnel expenses primarily include salary, benefits, stock-based compensation and payroll taxes. The $2.5 million increase in personnel expenses for the six months ended June 30, 2023, as compared to the six months ended June 30, 2022, was primarily due to higher stock-based compensation expense and an increase in employee headcount.</w:t>
      </w:r>
    </w:p>
    <w:p>
      <w:pPr>
        <w:pStyle w:val="TextBody"/>
        <w:bidi w:val="0"/>
        <w:spacing w:before="0" w:after="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Laboratory supplies expenses include laboratory materials and supplies, services, and other related expenses incurred in the development of our technology. The $0.8 million decrease in laboratory supply expenses for the six months ended June 30, 2023, as compared to the six months ended June 30, 2022, was primarily due to lower laboratory materials and supplies purchases.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Facility expenses include depreciation, amortization, utilities, rent, maintenance and other related expenses incurred at our facilities. Facility expenses for the six months ended June 30, 2023 was relatively consistent with the six months ended June 30, 2022.</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Product development expenses include clinical investigator site fees, external trial monitoring costs, data accumulation costs, contracted research and outside clinical drug product manufacturing. The $12.8 million increase in product development expenses for the six months ended June 30, 2023, as compared to the six months ended June 30, 2022, was primarily due to an increase in barzolvolimab clinical trial and contract manufacturing expenses.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$0.2 million decrease in general and administrative expenses for the six months ended June 30, 2023, as compared to the six months ended June 30, 2022, was primarily due to a decrease in legal expenses, partially offset by an increase in stock-based compensation expense.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Gain on Fair Value Remeasurement of Contingent Consideration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$6.9 million gain on fair value remeasurement of contingent consideration for the six months ended June 30, 2022 was primarily due to our decision to deprioritize the CDX-1140 program.</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Litigation Settlement Related Loss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recorded a loss of $15.0 million in the second quarter of 2022 related to the Initial Payment due under the Term Sheet entered with SRS.</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Investment and Other Income,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$5.2 million increase in investment and other income, net for the six months ended June 30, 2023, as compared to the six months ended June 30, 2022, was primarily due to higher interest rates on fixed income investments and higher other income related to our sale of New Jersey tax benefits.</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At June 30, 2023, our principal sources of liquidity consisted of cash, cash equivalents and marketable securities of $252.7 million. We have had recurring losses and incurred a loss of $59.9 million for the six months ended June 30, 2023. Net cash used in operations for the six months ended June 30, 2023 was $55.8 million. We believe that the cash, cash equivalents and marketable securities at June 30, 2023 are sufficient to meet estimated working capital requirements and fund planned operations through 2025, which include our ongoing and planned Phase 2 studies in CSU, CIndU, EoE, and PN. This could be impacted if we elect to pay the future milestones under the Settlement Agreement with SRS, if any, in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milestones under the Settlement Agreement with SRS, in the event that we achieve the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used in operating activities was $55.8 million for the six months ended June 30, 2023 as compared to $46.8 million for the six months ended June 30, 2022. The increase in net cash used in operating activities was primarily due to an increase in research and development expenses, partially offset by an increase in investment income as a result of higher interest rates on fixed income investments. We expect that cash used in operating activities will remain relatively consistent over the next twelve months, although there may be fluctuations on a quarterly basis.</w:t>
      </w:r>
    </w:p>
    <w:p>
      <w:pPr>
        <w:pStyle w:val="TextBody"/>
        <w:bidi w:val="0"/>
        <w:spacing w:before="0" w:after="0"/>
        <w:ind w:left="0" w:right="0" w:hanging="0"/>
        <w:jc w:val="left"/>
        <w:rPr/>
      </w:pPr>
      <w:r>
        <w:rPr/>
        <w:t>​</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investing activities was $53.7 million for the six months ended June 30, 2023 as compared to $35.7 million for the six months ended June 30, 2022. The increase in net cash provided by investing activities was primarily due to net sales and maturities of marketable securities of $54.7 million for the six months ended June 30, 2023 as compared to $36.9 million for the six months ended June 30, 2022.</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Net cash provided by financing activities was $0.8 million for the six months ended June 30, 2023 as compared to $0.4 million for the six months ended June 30, 2022. The increase in net cash provided by financing activities was primarily due to an increase in net proceeds from stock issuances under employee benefit plans.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780" w:name="Item3QuantitativeandQualitativeDisclosur"/>
      <w:bookmarkStart w:id="781" w:name="_0a75144f_599f_4e13_9d9a_de86a56c9877"/>
      <w:bookmarkEnd w:id="780"/>
      <w:bookmarkEnd w:id="781"/>
      <w:r>
        <w:rPr>
          <w:rFonts w:ascii="Times New Roman;Times;serif" w:hAnsi="Times New Roman;Times;serif"/>
          <w:b/>
          <w:sz w:val="20"/>
        </w:rPr>
        <w:t>Item 3.</w:t>
      </w:r>
      <w:r>
        <w:rPr>
          <w:rFonts w:ascii="Times New Roman;Times;serif" w:hAnsi="Times New Roman;Times;serif"/>
          <w:sz w:val="20"/>
        </w:rPr>
        <w:t xml:space="preserve">  </w:t>
      </w:r>
      <w:r>
        <w:rPr>
          <w:rFonts w:ascii="Times New Roman;Times;serif" w:hAnsi="Times New Roman;Times;serif"/>
          <w:b/>
          <w:sz w:val="20"/>
        </w:rPr>
        <w:t>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do not utilize derivative financial instruments. The carrying amounts reflected in the consolidated balance sheet of cash and cash equivalents, accounts receivables and accounts payable approximate fair value at June 30, 2023 due to the short-term maturities of these instruments.</w:t>
      </w:r>
    </w:p>
    <w:p>
      <w:pPr>
        <w:pStyle w:val="TextBody"/>
        <w:bidi w:val="0"/>
        <w:spacing w:before="0" w:after="0"/>
        <w:ind w:left="0" w:right="0" w:hanging="0"/>
        <w:jc w:val="left"/>
        <w:rPr/>
      </w:pPr>
      <w:r>
        <w:rPr/>
        <w:t>​</w:t>
      </w:r>
    </w:p>
    <w:p>
      <w:pPr>
        <w:pStyle w:val="TextBody"/>
        <w:pBdr/>
        <w:bidi w:val="0"/>
        <w:spacing w:before="0" w:after="0"/>
        <w:ind w:left="0" w:right="0" w:hanging="1152"/>
        <w:jc w:val="left"/>
        <w:rPr>
          <w:rFonts w:ascii="Times New Roman;Times;serif" w:hAnsi="Times New Roman;Times;serif"/>
          <w:sz w:val="20"/>
        </w:rPr>
      </w:pPr>
      <w:bookmarkStart w:id="782" w:name="Item4ControlsandProcedures_940929"/>
      <w:bookmarkStart w:id="783" w:name="_2f10aff2_f0c0_4e0a_ac29_2d6e8813a066"/>
      <w:bookmarkEnd w:id="782"/>
      <w:bookmarkEnd w:id="783"/>
      <w:r>
        <w:rPr>
          <w:rFonts w:ascii="Times New Roman;Times;serif" w:hAnsi="Times New Roman;Times;serif"/>
          <w:b/>
          <w:sz w:val="20"/>
        </w:rPr>
        <w:t>Item 4.</w:t>
      </w:r>
      <w:r>
        <w:rPr>
          <w:rFonts w:ascii="Times New Roman;Times;serif" w:hAnsi="Times New Roman;Times;serif"/>
          <w:sz w:val="20"/>
        </w:rPr>
        <w:t>  </w:t>
      </w:r>
      <w:r>
        <w:rPr>
          <w:rFonts w:ascii="Times New Roman;Times;serif" w:hAnsi="Times New Roman;Times;serif"/>
          <w:b/>
          <w:sz w:val="20"/>
        </w:rPr>
        <w:t>Controls and Procedures</w:t>
      </w:r>
    </w:p>
    <w:p>
      <w:pPr>
        <w:pStyle w:val="TextBody"/>
        <w:pBdr/>
        <w:bidi w:val="0"/>
        <w:spacing w:before="0" w:after="0"/>
        <w:ind w:left="0" w:right="0" w:hanging="1152"/>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quarter ended June 30, 2023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84" w:name="Item5OtherInformation_222271"/>
      <w:bookmarkStart w:id="785" w:name="_abe7bafb_882d_4e84_9157_104deff9424e"/>
      <w:bookmarkEnd w:id="784"/>
      <w:bookmarkEnd w:id="785"/>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During the period covered by this Quarterly Report on Form 10-Q,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6" w:name="PARTIIOTHERINFORMATION_770534"/>
      <w:bookmarkStart w:id="787" w:name="_47634e10_bb6e_48b6_82aa_7a83e2343502"/>
      <w:bookmarkEnd w:id="786"/>
      <w:bookmarkEnd w:id="787"/>
      <w:r>
        <w:rPr>
          <w:rFonts w:ascii="Times New Roman;Times;serif" w:hAnsi="Times New Roman;Times;serif"/>
          <w:b/>
          <w:sz w:val="20"/>
        </w:rPr>
        <w:t>PART II — OTHER INFORMATION</w:t>
      </w:r>
    </w:p>
    <w:p>
      <w:pPr>
        <w:pStyle w:val="TextBody"/>
        <w:pBdr/>
        <w:bidi w:val="0"/>
        <w:spacing w:before="0" w:after="240"/>
        <w:ind w:left="0" w:right="0" w:hanging="1152"/>
        <w:jc w:val="left"/>
        <w:rPr>
          <w:rFonts w:ascii="Times New Roman;Times;serif" w:hAnsi="Times New Roman;Times;serif"/>
          <w:sz w:val="20"/>
        </w:rPr>
      </w:pPr>
      <w:bookmarkStart w:id="788" w:name="Item1ARiskFactors_750939"/>
      <w:bookmarkEnd w:id="788"/>
      <w:r>
        <w:rPr>
          <w:rFonts w:ascii="Times New Roman;Times;serif" w:hAnsi="Times New Roman;Times;serif"/>
          <w:b/>
          <w:sz w:val="20"/>
        </w:rPr>
        <w:t>Item 1A.</w:t>
      </w:r>
      <w:r>
        <w:rPr>
          <w:rFonts w:ascii="Times New Roman;Times;serif" w:hAnsi="Times New Roman;Times;serif"/>
          <w:sz w:val="20"/>
        </w:rPr>
        <w:t>  </w:t>
      </w:r>
      <w:r>
        <w:rPr>
          <w:rFonts w:ascii="Times New Roman;Times;serif" w:hAnsi="Times New Roman;Times;serif"/>
          <w:b/>
          <w:sz w:val="20"/>
        </w:rPr>
        <w:t>Risk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report, you should carefully consider the factors discussed in Part I, “Item 1A. Risk Factors” in our Annual Report on Form 10-K for the year ended December 31, 2022,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material changes to the risk factors previously disclosed in our Annual Report on Form 10-K filed with the SEC on February 28,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40"/>
        <w:ind w:left="0" w:right="0" w:hanging="0"/>
        <w:jc w:val="left"/>
        <w:rPr>
          <w:rFonts w:ascii="Times New Roman;Times;serif" w:hAnsi="Times New Roman;Times;serif"/>
          <w:b/>
          <w:sz w:val="20"/>
        </w:rPr>
      </w:pPr>
      <w:bookmarkStart w:id="789" w:name="Item6Exhibits_142075"/>
      <w:bookmarkStart w:id="790" w:name="_a319c8ce_69d9_498c_b549_55f80d7dc17e"/>
      <w:bookmarkEnd w:id="789"/>
      <w:bookmarkEnd w:id="790"/>
      <w:r>
        <w:rPr>
          <w:rFonts w:ascii="Times New Roman;Times;serif" w:hAnsi="Times New Roman;Times;serif"/>
          <w:b/>
          <w:sz w:val="20"/>
        </w:rPr>
        <w:t>Item 6.  Exhibits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exhibits filed as part of this Quarterly Report on Form 10-Q are listed in the exhibit index included herewith and are incorporated by reference herein.</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791" w:name="Exhibitindex"/>
      <w:bookmarkEnd w:id="791"/>
      <w:r>
        <w:rPr>
          <w:rFonts w:ascii="Times New Roman;Times;serif" w:hAnsi="Times New Roman;Times;serif"/>
          <w:b/>
          <w:sz w:val="20"/>
        </w:rPr>
        <w:t>EXHIBIT 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27"/>
        <w:gridCol w:w="326"/>
        <w:gridCol w:w="9052"/>
      </w:tblGrid>
      <w:tr>
        <w:trPr/>
        <w:tc>
          <w:tcPr>
            <w:tcW w:w="8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748020" cy="175260"/>
                      <wp:effectExtent l="0" t="0" r="0" b="0"/>
                      <wp:wrapNone/>
                      <wp:docPr id="177" name="Frame177"/>
                      <a:graphic xmlns:a="http://schemas.openxmlformats.org/drawingml/2006/main">
                        <a:graphicData uri="http://schemas.microsoft.com/office/word/2010/wordprocessingShape">
                          <wps:wsp>
                            <wps:cNvSpPr txBox="1"/>
                            <wps:spPr>
                              <a:xfrm>
                                <a:off x="0" y="0"/>
                                <a:ext cx="5748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7" w:type="dxa"/>
            <w:tcBorders>
              <w:bottom w:val="single" w:sz="2" w:space="0" w:color="000000"/>
            </w:tcBorders>
            <w:tcMar>
              <w:bottom w:w="28" w:type="dxa"/>
            </w:tcMar>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b/>
                <w:sz w:val="20"/>
              </w:rPr>
              <w:t>Exhibit</w:t>
            </w:r>
            <w:r>
              <w:rPr>
                <w:rFonts w:ascii="Calibri;Helvetica;sans-serif" w:hAnsi="Calibri;Helvetica;sans-serif"/>
                <w:sz w:val="22"/>
              </w:rPr>
              <w:t xml:space="preserve"> </w:t>
            </w:r>
            <w:r>
              <w:rPr>
                <w:rFonts w:ascii="Times New Roman;Times;serif" w:hAnsi="Times New Roman;Times;serif"/>
                <w:sz w:val="20"/>
              </w:rPr>
              <w:br/>
            </w:r>
            <w:r>
              <w:rPr>
                <w:rFonts w:ascii="Times New Roman;Times;serif" w:hAnsi="Times New Roman;Times;serif"/>
                <w:b/>
                <w:sz w:val="20"/>
              </w:rPr>
              <w:t>No.</w:t>
            </w:r>
          </w:p>
        </w:tc>
        <w:tc>
          <w:tcPr>
            <w:tcW w:w="326" w:type="dxa"/>
            <w:tcBorders/>
            <w:vAlign w:val="center"/>
          </w:tcPr>
          <w:p>
            <w:pPr>
              <w:pStyle w:val="TableContents"/>
              <w:bidi w:val="0"/>
              <w:spacing w:before="0" w:after="0"/>
              <w:ind w:left="0" w:right="0" w:hanging="0"/>
              <w:jc w:val="left"/>
              <w:rPr/>
            </w:pPr>
            <w:r>
              <w:rPr/>
              <w:t>    </w:t>
            </w:r>
          </w:p>
        </w:tc>
        <w:tc>
          <w:tcPr>
            <w:tcW w:w="90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27" w:type="dxa"/>
            <w:tcBorders>
              <w:top w:val="single" w:sz="2" w:space="0" w:color="000000"/>
            </w:tcBorders>
            <w:tcMar>
              <w:top w:w="28" w:type="dxa"/>
            </w:tcMar>
            <w:vAlign w:val="center"/>
          </w:tcPr>
          <w:p>
            <w:pPr>
              <w:pStyle w:val="TableContents"/>
              <w:bidi w:val="0"/>
              <w:spacing w:before="0" w:after="0"/>
              <w:ind w:left="0" w:right="0" w:hanging="0"/>
              <w:jc w:val="left"/>
              <w:rPr/>
            </w:pPr>
            <w:r>
              <w:rPr/>
              <w:t>†</w:t>
            </w: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9052"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2"/>
                </w:rPr>
                <w:t>Celldex Therapeutics, Inc. 2021 Omnibus Equity Incentive Plan (as amended June 15, 2023), incorporated by reference to Exhibit 10.1 to the Company’s current report on Form 8-K, filed on June 15, 2023 with the Securities and Exchange Commission.</w:t>
              </w:r>
            </w:hyperlink>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pPr>
            <w:hyperlink w:anchor="cldx-20230630xex31d1.htm">
              <w:r>
                <w:rPr>
                  <w:rStyle w:val="InternetLink"/>
                  <w:rFonts w:ascii="Times New Roman;Times;serif" w:hAnsi="Times New Roman;Times;serif"/>
                  <w:b w:val="false"/>
                  <w:i w:val="false"/>
                  <w:caps w:val="false"/>
                  <w:smallCaps w:val="false"/>
                  <w:sz w:val="22"/>
                </w:rPr>
                <w:t>Certification of President and Chief Executive Officer</w:t>
              </w:r>
            </w:hyperlink>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pPr>
            <w:hyperlink w:anchor="cldx-20230630xex31d2.htm">
              <w:r>
                <w:rPr>
                  <w:rStyle w:val="InternetLink"/>
                  <w:rFonts w:ascii="Times New Roman;Times;serif" w:hAnsi="Times New Roman;Times;serif"/>
                  <w:b w:val="false"/>
                  <w:i w:val="false"/>
                  <w:caps w:val="false"/>
                  <w:smallCaps w:val="false"/>
                  <w:sz w:val="22"/>
                </w:rPr>
                <w:t>Certification of Senior Vice President and Chief Financial Officer</w:t>
              </w:r>
            </w:hyperlink>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pPr>
            <w:hyperlink w:anchor="cldx-20230630xex32d1.htm">
              <w:r>
                <w:rPr>
                  <w:rStyle w:val="InternetLink"/>
                  <w:rFonts w:ascii="Times New Roman;Times;serif" w:hAnsi="Times New Roman;Times;serif"/>
                  <w:b w:val="false"/>
                  <w:i w:val="false"/>
                  <w:caps w:val="false"/>
                  <w:smallCaps w:val="false"/>
                  <w:sz w:val="22"/>
                </w:rPr>
                <w:t>Section 1350 Certifications</w:t>
              </w:r>
            </w:hyperlink>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Schema Document.</w:t>
            </w:r>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Calculation Linkbase Document.</w:t>
            </w:r>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Definition Linkbase Document.</w:t>
            </w:r>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Label Linkbase Document.</w:t>
            </w:r>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Calibri;Helvetica;sans-serif" w:hAnsi="Calibri;Helvetica;sans-serif"/>
                <w:sz w:val="22"/>
              </w:rPr>
            </w:pPr>
            <w:r>
              <w:rPr>
                <w:rFonts w:ascii="Times New Roman;Times;serif" w:hAnsi="Times New Roman;Times;serif"/>
                <w:sz w:val="20"/>
              </w:rPr>
              <w:t>Inline</w:t>
            </w:r>
            <w:r>
              <w:rPr>
                <w:rFonts w:ascii="Calibri;Helvetica;sans-serif" w:hAnsi="Calibri;Helvetica;sans-serif"/>
                <w:sz w:val="22"/>
              </w:rPr>
              <w:t xml:space="preserve"> </w:t>
            </w:r>
            <w:r>
              <w:rPr>
                <w:rFonts w:ascii="Times New Roman;Times;serif" w:hAnsi="Times New Roman;Times;serif"/>
                <w:sz w:val="20"/>
              </w:rPr>
              <w:t>XBRL Taxonomy Extension Presentation Linkbase Document.</w:t>
            </w:r>
          </w:p>
        </w:tc>
      </w:tr>
      <w:tr>
        <w:trPr/>
        <w:tc>
          <w:tcPr>
            <w:tcW w:w="8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Exhibits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tbl>
      <w:tblPr>
        <w:tblW w:w="6902" w:type="dxa"/>
        <w:jc w:val="left"/>
        <w:tblInd w:w="0" w:type="dxa"/>
        <w:tblLayout w:type="fixed"/>
        <w:tblCellMar>
          <w:top w:w="0" w:type="dxa"/>
          <w:left w:w="0" w:type="dxa"/>
          <w:bottom w:w="0" w:type="dxa"/>
          <w:right w:w="0" w:type="dxa"/>
        </w:tblCellMar>
      </w:tblPr>
      <w:tblGrid>
        <w:gridCol w:w="241"/>
        <w:gridCol w:w="6661"/>
      </w:tblGrid>
      <w:tr>
        <w:trPr/>
        <w:tc>
          <w:tcPr>
            <w:tcW w:w="241" w:type="dxa"/>
            <w:tcBorders/>
            <w:vAlign w:val="center"/>
          </w:tcPr>
          <w:p>
            <w:pPr>
              <w:pStyle w:val="TableContents"/>
              <w:bidi w:val="0"/>
              <w:spacing w:before="0" w:after="0"/>
              <w:jc w:val="left"/>
              <w:rPr/>
            </w:pPr>
            <w:r>
              <w:rPr/>
              <w:t>†</w:t>
            </w:r>
          </w:p>
        </w:tc>
        <w:tc>
          <w:tcPr>
            <w:tcW w:w="66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a management contract or compensation plan, contract or arrangement.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92" w:name="SIGNATURES_933986"/>
      <w:bookmarkStart w:id="793" w:name="_390c9f85_84c5_4f06_9a97_c76a582069c5"/>
      <w:bookmarkEnd w:id="792"/>
      <w:bookmarkEnd w:id="793"/>
      <w:r>
        <w:rPr>
          <w:rFonts w:ascii="Times New Roman;Times;serif" w:hAnsi="Times New Roman;Times;serif"/>
          <w:b/>
          <w:sz w:val="20"/>
        </w:rPr>
        <w:t>SIGNATURES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pPr>
      <w:r>
        <w:rPr/>
        <w:t>​</w:t>
      </w:r>
    </w:p>
    <w:tbl>
      <w:tblPr>
        <w:tblW w:w="6092" w:type="dxa"/>
        <w:jc w:val="left"/>
        <w:tblInd w:w="0" w:type="dxa"/>
        <w:tblLayout w:type="fixed"/>
        <w:tblCellMar>
          <w:top w:w="0" w:type="dxa"/>
          <w:left w:w="0" w:type="dxa"/>
          <w:bottom w:w="0" w:type="dxa"/>
          <w:right w:w="0" w:type="dxa"/>
        </w:tblCellMar>
      </w:tblPr>
      <w:tblGrid>
        <w:gridCol w:w="1951"/>
        <w:gridCol w:w="414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629535" cy="29210"/>
                      <wp:effectExtent l="0" t="0" r="0" b="0"/>
                      <wp:wrapNone/>
                      <wp:docPr id="178" name="Frame178"/>
                      <a:graphic xmlns:a="http://schemas.openxmlformats.org/drawingml/2006/main">
                        <a:graphicData uri="http://schemas.microsoft.com/office/word/2010/wordprocessingShape">
                          <wps:wsp>
                            <wps:cNvSpPr txBox="1"/>
                            <wps:spPr>
                              <a:xfrm>
                                <a:off x="0" y="0"/>
                                <a:ext cx="26295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CELLDEX THERAPEUTICS, INC.</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2023</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8, 2023</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200"/>
        <w:ind w:left="0" w:right="0" w:hanging="0"/>
        <w:jc w:val="right"/>
        <w:rPr>
          <w:rFonts w:ascii="Times New Roman;Times;serif" w:hAnsi="Times New Roman;Times;serif"/>
          <w:b/>
          <w:sz w:val="20"/>
        </w:rPr>
      </w:pPr>
      <w:bookmarkStart w:id="794" w:name="cldx-20230630xex31d1.htm"/>
      <w:bookmarkStart w:id="795" w:name="kscldx20230630xex31d1"/>
      <w:bookmarkEnd w:id="794"/>
      <w:bookmarkEnd w:id="795"/>
      <w:r>
        <w:rPr>
          <w:rFonts w:ascii="Times New Roman;Times;serif" w:hAnsi="Times New Roman;Times;serif"/>
          <w:b/>
          <w:sz w:val="20"/>
        </w:rPr>
        <w:t>Exhibit 31.1</w:t>
      </w:r>
      <w:r>
        <w:br w:type="page"/>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Anthony S. Marucci,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0"/>
        <w:ind w:left="0" w:right="0" w:hanging="360"/>
        <w:jc w:val="center"/>
        <w:rPr/>
      </w:pPr>
      <w:r>
        <w:rPr/>
        <w:t>​</w:t>
      </w:r>
    </w:p>
    <w:tbl>
      <w:tblPr>
        <w:tblW w:w="5688" w:type="dxa"/>
        <w:jc w:val="left"/>
        <w:tblInd w:w="0" w:type="dxa"/>
        <w:tblLayout w:type="fixed"/>
        <w:tblCellMar>
          <w:top w:w="0" w:type="dxa"/>
          <w:left w:w="0" w:type="dxa"/>
          <w:bottom w:w="0" w:type="dxa"/>
          <w:right w:w="0" w:type="dxa"/>
        </w:tblCellMar>
      </w:tblPr>
      <w:tblGrid>
        <w:gridCol w:w="1846"/>
        <w:gridCol w:w="631"/>
        <w:gridCol w:w="3211"/>
      </w:tblGrid>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96" w:name="cldx-20230630xex31d2.htm"/>
      <w:bookmarkStart w:id="797" w:name="kscldx20230630xex31d2"/>
      <w:bookmarkEnd w:id="796"/>
      <w:bookmarkEnd w:id="797"/>
      <w:r>
        <w:rPr>
          <w:rFonts w:ascii="Times New Roman;Times;serif" w:hAnsi="Times New Roman;Times;serif"/>
          <w:b/>
          <w:sz w:val="20"/>
        </w:rPr>
        <w:t>Exhibit 31.2</w:t>
      </w:r>
      <w:r>
        <w:br w:type="page"/>
      </w:r>
    </w:p>
    <w:p>
      <w:pPr>
        <w:pStyle w:val="TextBody"/>
        <w:bidi w:val="0"/>
        <w:spacing w:before="0" w:after="9"/>
        <w:ind w:left="0" w:right="0" w:hanging="0"/>
        <w:jc w:val="center"/>
        <w:rPr>
          <w:rFonts w:ascii="Times New Roman;Times;serif" w:hAnsi="Times New Roman;Times;serif"/>
          <w:sz w:val="20"/>
          <w:u w:val="single"/>
        </w:rPr>
      </w:pPr>
      <w:r>
        <w:rPr>
          <w:rFonts w:ascii="Times New Roman;Times;serif" w:hAnsi="Times New Roman;Times;serif"/>
          <w:sz w:val="20"/>
          <w:u w:val="single"/>
        </w:rPr>
        <w:t>CERTIFICATION</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Sam Martin, certify that:</w:t>
      </w:r>
    </w:p>
    <w:tbl>
      <w:tblPr>
        <w:tblW w:w="5973" w:type="dxa"/>
        <w:jc w:val="left"/>
        <w:tblInd w:w="0" w:type="dxa"/>
        <w:tblLayout w:type="fixed"/>
        <w:tblCellMar>
          <w:top w:w="0" w:type="dxa"/>
          <w:left w:w="0" w:type="dxa"/>
          <w:bottom w:w="0" w:type="dxa"/>
          <w:right w:w="0" w:type="dxa"/>
        </w:tblCellMar>
      </w:tblPr>
      <w:tblGrid>
        <w:gridCol w:w="23"/>
        <w:gridCol w:w="17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578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I have reviewed this report on Form 10-Q of Celldex Therapeutics,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bidi w:val="0"/>
        <w:spacing w:before="0" w:after="1"/>
        <w:ind w:left="0" w:right="0" w:hanging="619"/>
        <w:jc w:val="left"/>
        <w:rPr/>
      </w:pPr>
      <w:r>
        <w:rPr/>
        <w:t>​</w:t>
      </w:r>
    </w:p>
    <w:tbl>
      <w:tblPr>
        <w:tblW w:w="6618" w:type="dxa"/>
        <w:jc w:val="left"/>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798" w:name="cldx-20230630xex32d1.htm"/>
      <w:bookmarkStart w:id="799" w:name="kscldx20230630xex32d1"/>
      <w:bookmarkEnd w:id="798"/>
      <w:bookmarkEnd w:id="799"/>
      <w:r>
        <w:rPr>
          <w:rFonts w:ascii="Times New Roman;Times;serif" w:hAnsi="Times New Roman;Times;serif"/>
          <w:b/>
          <w:sz w:val="20"/>
        </w:rPr>
        <w:t>Exhibit 32.1</w:t>
      </w:r>
      <w:r>
        <w:br w:type="page"/>
      </w:r>
    </w:p>
    <w:p>
      <w:pPr>
        <w:pStyle w:val="TextBody"/>
        <w:bidi w:val="0"/>
        <w:spacing w:before="0" w:after="200"/>
        <w:ind w:left="0" w:right="0" w:hanging="0"/>
        <w:jc w:val="center"/>
        <w:rPr>
          <w:rFonts w:ascii="Times New Roman;Times;serif" w:hAnsi="Times New Roman;Times;serif"/>
          <w:sz w:val="20"/>
          <w:u w:val="single"/>
        </w:rPr>
      </w:pPr>
      <w:r>
        <w:rPr>
          <w:rFonts w:ascii="Times New Roman;Times;serif" w:hAnsi="Times New Roman;Times;serif"/>
          <w:sz w:val="20"/>
          <w:u w:val="single"/>
        </w:rPr>
        <w:t>SECTION 1350 CERTIFICATIONS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pStyle w:val="TextBody"/>
        <w:bidi w:val="0"/>
        <w:spacing w:before="0" w:after="0"/>
        <w:ind w:left="0" w:right="0" w:hanging="0"/>
        <w:jc w:val="center"/>
        <w:rPr/>
      </w:pPr>
      <w:r>
        <w:rPr/>
        <w:t>​</w:t>
      </w:r>
    </w:p>
    <w:tbl>
      <w:tblPr>
        <w:tblW w:w="6618" w:type="dxa"/>
        <w:jc w:val="left"/>
        <w:tblInd w:w="0" w:type="dxa"/>
        <w:tblLayout w:type="fixed"/>
        <w:tblCellMar>
          <w:top w:w="0" w:type="dxa"/>
          <w:left w:w="0" w:type="dxa"/>
          <w:bottom w:w="0" w:type="dxa"/>
          <w:right w:w="0" w:type="dxa"/>
        </w:tblCellMar>
      </w:tblPr>
      <w:tblGrid>
        <w:gridCol w:w="1846"/>
        <w:gridCol w:w="631"/>
        <w:gridCol w:w="4141"/>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172210" cy="175260"/>
                      <wp:effectExtent l="0" t="0" r="0" b="0"/>
                      <wp:wrapNone/>
                      <wp:docPr id="179" name="Frame179"/>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00685" cy="175260"/>
                      <wp:effectExtent l="0" t="0" r="0" b="0"/>
                      <wp:wrapNone/>
                      <wp:docPr id="180" name="Frame180"/>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29535" cy="175260"/>
                      <wp:effectExtent l="0" t="0" r="0" b="0"/>
                      <wp:wrapNone/>
                      <wp:docPr id="181" name="Frame181"/>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S. Marucci</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4772" w:type="dxa"/>
            <w:gridSpan w:val="2"/>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8, 2023</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Martin</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 w:name="Symbol">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44218/000110465923071597/tm2318812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17153</Words>
  <Characters>94905</Characters>
  <CharactersWithSpaces>112959</CharactersWithSpaces>
  <Paragraphs>3889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