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437515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56" w:lineRule="exact"/>
        <w:rPr>
          <w:sz w:val="24"/>
          <w:szCs w:val="24"/>
          <w:color w:val="auto"/>
        </w:rPr>
      </w:pPr>
    </w:p>
    <w:p>
      <w:pPr>
        <w:ind w:left="3160" w:right="140" w:hanging="2828"/>
        <w:spacing w:after="0" w:line="427" w:lineRule="auto"/>
        <w:tabs>
          <w:tab w:leader="none" w:pos="651"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276" w:lineRule="exact"/>
        <w:rPr>
          <w:sz w:val="24"/>
          <w:szCs w:val="24"/>
          <w:color w:val="auto"/>
        </w:rPr>
      </w:pPr>
    </w:p>
    <w:p>
      <w:pPr>
        <w:ind w:left="3540" w:right="140" w:hanging="3208"/>
        <w:spacing w:after="0" w:line="376" w:lineRule="auto"/>
        <w:tabs>
          <w:tab w:leader="none" w:pos="629"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000-15006</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CELLDEX THERAPEUTICS,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9920"/>
          </w:cols>
          <w:pgMar w:left="980" w:top="661" w:right="999" w:bottom="1440" w:gutter="0" w:footer="0" w:header="0"/>
        </w:sectPr>
      </w:pPr>
    </w:p>
    <w:p>
      <w:pPr>
        <w:spacing w:after="0" w:line="107" w:lineRule="exact"/>
        <w:rPr>
          <w:sz w:val="24"/>
          <w:szCs w:val="24"/>
          <w:color w:val="auto"/>
        </w:rPr>
      </w:pPr>
    </w:p>
    <w:p>
      <w:pPr>
        <w:jc w:val="center"/>
        <w:ind w:lef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left="30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 13-3191702</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108" w:lineRule="exact"/>
        <w:rPr>
          <w:sz w:val="24"/>
          <w:szCs w:val="24"/>
          <w:color w:val="auto"/>
        </w:rPr>
      </w:pPr>
    </w:p>
    <w:p>
      <w:pPr>
        <w:sectPr>
          <w:pgSz w:w="11900" w:h="16838" w:orient="portrait"/>
          <w:cols w:equalWidth="0" w:num="3">
            <w:col w:w="4580" w:space="380"/>
            <w:col w:w="500" w:space="720"/>
            <w:col w:w="3740"/>
          </w:cols>
          <w:pgMar w:left="980" w:top="661" w:right="99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Perryville III Building, 53 Frontage Road, Suite 220, Hampton, New Jersey 08827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(908) 200-7500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3"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3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700" w:type="dxa"/>
            <w:vAlign w:val="bottom"/>
          </w:tcPr>
          <w:p>
            <w:pPr>
              <w:jc w:val="center"/>
              <w:ind w:right="415"/>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3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 Name of each exchange on which registered</w:t>
            </w:r>
          </w:p>
        </w:tc>
      </w:tr>
      <w:tr>
        <w:trPr>
          <w:trHeight w:val="231"/>
        </w:trPr>
        <w:tc>
          <w:tcPr>
            <w:tcW w:w="3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1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2700" w:type="dxa"/>
            <w:vAlign w:val="bottom"/>
            <w:tcBorders>
              <w:top w:val="single" w:sz="8" w:color="auto"/>
            </w:tcBorders>
          </w:tcPr>
          <w:p>
            <w:pPr>
              <w:jc w:val="center"/>
              <w:ind w:right="415"/>
              <w:spacing w:after="0"/>
              <w:rPr>
                <w:sz w:val="20"/>
                <w:szCs w:val="20"/>
                <w:color w:val="auto"/>
              </w:rPr>
            </w:pPr>
            <w:r>
              <w:rPr>
                <w:rFonts w:ascii="Times New Roman" w:cs="Times New Roman" w:eastAsia="Times New Roman" w:hAnsi="Times New Roman"/>
                <w:sz w:val="18"/>
                <w:szCs w:val="18"/>
                <w:color w:val="auto"/>
                <w:w w:val="97"/>
              </w:rPr>
              <w:t>CLDX</w:t>
            </w:r>
          </w:p>
        </w:tc>
        <w:tc>
          <w:tcPr>
            <w:tcW w:w="180" w:type="dxa"/>
            <w:vAlign w:val="bottom"/>
          </w:tcPr>
          <w:p>
            <w:pPr>
              <w:spacing w:after="0"/>
              <w:rPr>
                <w:sz w:val="20"/>
                <w:szCs w:val="20"/>
                <w:color w:val="auto"/>
              </w:rPr>
            </w:pPr>
          </w:p>
        </w:tc>
        <w:tc>
          <w:tcPr>
            <w:tcW w:w="318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85" w:lineRule="exact"/>
        <w:rPr>
          <w:sz w:val="24"/>
          <w:szCs w:val="24"/>
          <w:color w:val="auto"/>
        </w:rPr>
      </w:pPr>
    </w:p>
    <w:p>
      <w:pPr>
        <w:jc w:val="both"/>
        <w:ind w:right="26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30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right="64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9920"/>
          </w:cols>
          <w:pgMar w:left="980" w:top="661" w:right="999" w:bottom="1440" w:gutter="0" w:footer="0" w:header="0"/>
          <w:type w:val="continuous"/>
        </w:sectPr>
      </w:pPr>
    </w:p>
    <w:p>
      <w:pPr>
        <w:spacing w:after="0" w:line="41" w:lineRule="exact"/>
        <w:rPr>
          <w:sz w:val="24"/>
          <w:szCs w:val="24"/>
          <w:color w:val="auto"/>
        </w:rPr>
      </w:pPr>
    </w:p>
    <w:p>
      <w:pPr>
        <w:ind w:left="152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ind w:left="158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jc w:val="center"/>
        <w:ind w:right="134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jc w:val="center"/>
        <w:ind w:right="1340"/>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jc w:val="center"/>
        <w:ind w:right="13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22" w:lineRule="exact"/>
        <w:rPr>
          <w:sz w:val="24"/>
          <w:szCs w:val="24"/>
          <w:color w:val="auto"/>
        </w:rPr>
      </w:pPr>
    </w:p>
    <w:p>
      <w:pPr>
        <w:sectPr>
          <w:pgSz w:w="11900" w:h="16838" w:orient="portrait"/>
          <w:cols w:equalWidth="0" w:num="3">
            <w:col w:w="4240" w:space="720"/>
            <w:col w:w="720" w:space="720"/>
            <w:col w:w="3520"/>
          </w:cols>
          <w:pgMar w:left="980" w:top="661" w:right="999" w:bottom="1440" w:gutter="0" w:footer="0" w:header="0"/>
          <w:type w:val="continuous"/>
        </w:sectPr>
      </w:pPr>
    </w:p>
    <w:p>
      <w:pPr>
        <w:ind w:right="34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5" w:lineRule="exact"/>
        <w:rPr>
          <w:sz w:val="24"/>
          <w:szCs w:val="24"/>
          <w:color w:val="auto"/>
        </w:rPr>
      </w:pPr>
    </w:p>
    <w:p>
      <w:pPr>
        <w:ind w:left="340" w:right="420"/>
        <w:spacing w:after="0" w:line="3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April 29, 2026, 78,492,072 shares of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488950</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60325</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111760</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20" w:type="dxa"/>
            <w:vAlign w:val="bottom"/>
            <w:tcBorders>
              <w:top w:val="single" w:sz="8" w:color="CCEEFF"/>
              <w:bottom w:val="single" w:sz="8" w:color="0000EE"/>
            </w:tcBorders>
            <w:gridSpan w:val="12"/>
            <w:shd w:val="clear" w:color="auto" w:fill="CCEEFF"/>
          </w:tcPr>
          <w:p>
            <w:pPr>
              <w:spacing w:after="0" w:line="136" w:lineRule="exact"/>
              <w:rPr>
                <w:sz w:val="20"/>
                <w:szCs w:val="20"/>
                <w:color w:val="auto"/>
              </w:rPr>
            </w:pPr>
            <w:r>
              <w:rPr>
                <w:rFonts w:ascii="Times New Roman" w:cs="Times New Roman" w:eastAsia="Times New Roman" w:hAnsi="Times New Roman"/>
                <w:sz w:val="15"/>
                <w:szCs w:val="15"/>
                <w:b w:val="1"/>
                <w:bCs w:val="1"/>
                <w:color w:val="0000EE"/>
              </w:rPr>
              <w:t>Part I — Financial Information</w:t>
            </w:r>
          </w:p>
        </w:tc>
        <w:tc>
          <w:tcPr>
            <w:tcW w:w="6940" w:type="dxa"/>
            <w:vAlign w:val="bottom"/>
            <w:tcBorders>
              <w:top w:val="single" w:sz="8" w:color="CCEEFF"/>
              <w:bottom w:val="single" w:sz="8" w:color="CCEEFF"/>
            </w:tcBorders>
            <w:gridSpan w:val="9"/>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440" w:type="dxa"/>
            <w:vAlign w:val="bottom"/>
            <w:gridSpan w:val="22"/>
          </w:tcPr>
          <w:p>
            <w:pPr>
              <w:ind w:left="160"/>
              <w:spacing w:after="0" w:line="176" w:lineRule="exact"/>
              <w:rPr>
                <w:sz w:val="20"/>
                <w:szCs w:val="20"/>
                <w:color w:val="auto"/>
              </w:rPr>
            </w:pPr>
            <w:r>
              <w:rPr>
                <w:rFonts w:ascii="Times New Roman" w:cs="Times New Roman" w:eastAsia="Times New Roman" w:hAnsi="Times New Roman"/>
                <w:sz w:val="18"/>
                <w:szCs w:val="18"/>
                <w:color w:val="0000EE"/>
              </w:rPr>
              <w:t>Item 1. Unaudited Financial Statements</w:t>
            </w:r>
          </w:p>
        </w:tc>
        <w:tc>
          <w:tcPr>
            <w:tcW w:w="4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80" w:type="dxa"/>
            <w:vAlign w:val="bottom"/>
            <w:gridSpan w:val="21"/>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at March 31, 2026 and December 31, 2025</w:t>
            </w:r>
          </w:p>
        </w:tc>
        <w:tc>
          <w:tcPr>
            <w:tcW w:w="4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80" w:type="dxa"/>
            <w:vAlign w:val="bottom"/>
            <w:gridSpan w:val="21"/>
          </w:tcPr>
          <w:p>
            <w:pPr>
              <w:ind w:left="16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and Comprehensive Loss for the Three Months Ended March 31, 2026</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80" w:type="dxa"/>
            <w:vAlign w:val="bottom"/>
            <w:tcBorders>
              <w:top w:val="single" w:sz="8" w:color="0000EE"/>
            </w:tcBorders>
            <w:gridSpan w:val="18"/>
          </w:tcPr>
          <w:p>
            <w:pPr>
              <w:ind w:left="120"/>
              <w:spacing w:after="0" w:line="196" w:lineRule="exact"/>
              <w:rPr>
                <w:sz w:val="20"/>
                <w:szCs w:val="20"/>
                <w:color w:val="auto"/>
              </w:rPr>
            </w:pPr>
            <w:r>
              <w:rPr>
                <w:rFonts w:ascii="Times New Roman" w:cs="Times New Roman" w:eastAsia="Times New Roman" w:hAnsi="Times New Roman"/>
                <w:sz w:val="18"/>
                <w:szCs w:val="18"/>
                <w:color w:val="0000EE"/>
              </w:rPr>
              <w:t>and 2025</w:t>
            </w:r>
          </w:p>
        </w:tc>
        <w:tc>
          <w:tcPr>
            <w:tcW w:w="340" w:type="dxa"/>
            <w:vAlign w:val="bottom"/>
            <w:gridSpan w:val="2"/>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80" w:type="dxa"/>
            <w:vAlign w:val="bottom"/>
            <w:gridSpan w:val="21"/>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2026 and 2025</w:t>
            </w:r>
          </w:p>
        </w:tc>
        <w:tc>
          <w:tcPr>
            <w:tcW w:w="4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80" w:type="dxa"/>
            <w:vAlign w:val="bottom"/>
            <w:gridSpan w:val="21"/>
          </w:tcPr>
          <w:p>
            <w:pPr>
              <w:ind w:left="160"/>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4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440" w:type="dxa"/>
            <w:vAlign w:val="bottom"/>
            <w:gridSpan w:val="2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4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4"/>
          </w:tcPr>
          <w:p>
            <w:pPr>
              <w:ind w:left="160"/>
              <w:spacing w:after="0" w:line="176" w:lineRule="exact"/>
              <w:rPr>
                <w:sz w:val="20"/>
                <w:szCs w:val="20"/>
                <w:color w:val="auto"/>
              </w:rPr>
            </w:pPr>
            <w:r>
              <w:rPr>
                <w:rFonts w:ascii="Times New Roman" w:cs="Times New Roman" w:eastAsia="Times New Roman" w:hAnsi="Times New Roman"/>
                <w:sz w:val="18"/>
                <w:szCs w:val="18"/>
                <w:color w:val="0000EE"/>
                <w:w w:val="97"/>
              </w:rPr>
              <w:t>Item 3.</w:t>
            </w:r>
          </w:p>
        </w:tc>
        <w:tc>
          <w:tcPr>
            <w:tcW w:w="8760" w:type="dxa"/>
            <w:vAlign w:val="bottom"/>
            <w:gridSpan w:val="18"/>
          </w:tcPr>
          <w:p>
            <w:pPr>
              <w:ind w:left="2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4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4"/>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w w:val="97"/>
              </w:rPr>
              <w:t>Item 4.</w:t>
            </w:r>
          </w:p>
        </w:tc>
        <w:tc>
          <w:tcPr>
            <w:tcW w:w="8760" w:type="dxa"/>
            <w:vAlign w:val="bottom"/>
            <w:gridSpan w:val="1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4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4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4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440" w:type="dxa"/>
            <w:vAlign w:val="bottom"/>
            <w:gridSpan w:val="2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Item 1A. Risk Factors</w:t>
            </w:r>
          </w:p>
        </w:tc>
        <w:tc>
          <w:tcPr>
            <w:tcW w:w="4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80" w:type="dxa"/>
            <w:vAlign w:val="bottom"/>
            <w:gridSpan w:val="4"/>
          </w:tcPr>
          <w:p>
            <w:pPr>
              <w:ind w:left="160"/>
              <w:spacing w:after="0" w:line="176" w:lineRule="exact"/>
              <w:rPr>
                <w:sz w:val="20"/>
                <w:szCs w:val="20"/>
                <w:color w:val="auto"/>
              </w:rPr>
            </w:pPr>
            <w:r>
              <w:rPr>
                <w:rFonts w:ascii="Times New Roman" w:cs="Times New Roman" w:eastAsia="Times New Roman" w:hAnsi="Times New Roman"/>
                <w:sz w:val="18"/>
                <w:szCs w:val="18"/>
                <w:color w:val="0000EE"/>
                <w:w w:val="97"/>
              </w:rPr>
              <w:t>Item 5.</w:t>
            </w:r>
          </w:p>
        </w:tc>
        <w:tc>
          <w:tcPr>
            <w:tcW w:w="8760" w:type="dxa"/>
            <w:vAlign w:val="bottom"/>
            <w:gridSpan w:val="18"/>
          </w:tcPr>
          <w:p>
            <w:pPr>
              <w:ind w:left="2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4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4"/>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w w:val="97"/>
              </w:rPr>
              <w:t>Item 6.</w:t>
            </w:r>
          </w:p>
        </w:tc>
        <w:tc>
          <w:tcPr>
            <w:tcW w:w="8760" w:type="dxa"/>
            <w:vAlign w:val="bottom"/>
            <w:gridSpan w:val="1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4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Exhibit Index</w:t>
            </w:r>
          </w:p>
        </w:tc>
        <w:tc>
          <w:tcPr>
            <w:tcW w:w="4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4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Unaudited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vMerge w:val="restart"/>
          </w:tcPr>
          <w:p>
            <w:pPr>
              <w:ind w:left="69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1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1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7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35,729</w:t>
            </w: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28,871</w:t>
            </w:r>
          </w:p>
        </w:tc>
        <w:tc>
          <w:tcPr>
            <w:tcW w:w="0" w:type="dxa"/>
            <w:vAlign w:val="bottom"/>
          </w:tcPr>
          <w:p>
            <w:pPr>
              <w:spacing w:after="0"/>
              <w:rPr>
                <w:sz w:val="1"/>
                <w:szCs w:val="1"/>
                <w:color w:val="auto"/>
              </w:rPr>
            </w:pPr>
          </w:p>
        </w:tc>
      </w:tr>
      <w:tr>
        <w:trPr>
          <w:trHeight w:val="216"/>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415,729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489,702</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216"/>
        </w:trPr>
        <w:tc>
          <w:tcPr>
            <w:tcW w:w="7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7,534</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14,076</w:t>
            </w:r>
          </w:p>
        </w:tc>
        <w:tc>
          <w:tcPr>
            <w:tcW w:w="0" w:type="dxa"/>
            <w:vAlign w:val="bottom"/>
          </w:tcPr>
          <w:p>
            <w:pPr>
              <w:spacing w:after="0"/>
              <w:rPr>
                <w:sz w:val="1"/>
                <w:szCs w:val="1"/>
                <w:color w:val="auto"/>
              </w:rPr>
            </w:pPr>
          </w:p>
        </w:tc>
      </w:tr>
      <w:tr>
        <w:trPr>
          <w:trHeight w:val="209"/>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459,222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534,664</w:t>
            </w:r>
          </w:p>
        </w:tc>
        <w:tc>
          <w:tcPr>
            <w:tcW w:w="0" w:type="dxa"/>
            <w:vAlign w:val="bottom"/>
          </w:tcPr>
          <w:p>
            <w:pPr>
              <w:spacing w:after="0"/>
              <w:rPr>
                <w:sz w:val="1"/>
                <w:szCs w:val="1"/>
                <w:color w:val="auto"/>
              </w:rPr>
            </w:pPr>
          </w:p>
        </w:tc>
      </w:tr>
      <w:tr>
        <w:trPr>
          <w:trHeight w:val="21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27,190</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13,358</w:t>
            </w: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511,254</w:t>
            </w: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582,983</w:t>
            </w:r>
          </w:p>
        </w:tc>
        <w:tc>
          <w:tcPr>
            <w:tcW w:w="0" w:type="dxa"/>
            <w:vAlign w:val="bottom"/>
          </w:tcPr>
          <w:p>
            <w:pPr>
              <w:spacing w:after="0"/>
              <w:rPr>
                <w:sz w:val="1"/>
                <w:szCs w:val="1"/>
                <w:color w:val="auto"/>
              </w:rPr>
            </w:pPr>
          </w:p>
        </w:tc>
      </w:tr>
      <w:tr>
        <w:trPr>
          <w:trHeight w:val="196"/>
        </w:trPr>
        <w:tc>
          <w:tcPr>
            <w:tcW w:w="7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10,359</w:t>
            </w: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0" w:type="dxa"/>
            <w:vAlign w:val="bottom"/>
          </w:tcPr>
          <w:p>
            <w:pPr>
              <w:spacing w:after="0"/>
              <w:rPr>
                <w:sz w:val="1"/>
                <w:szCs w:val="1"/>
                <w:color w:val="auto"/>
              </w:rPr>
            </w:pPr>
          </w:p>
        </w:tc>
      </w:tr>
      <w:tr>
        <w:trPr>
          <w:trHeight w:val="216"/>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47,029</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0" w:type="dxa"/>
            <w:vAlign w:val="bottom"/>
          </w:tcPr>
          <w:p>
            <w:pPr>
              <w:spacing w:after="0"/>
              <w:rPr>
                <w:sz w:val="1"/>
                <w:szCs w:val="1"/>
                <w:color w:val="auto"/>
              </w:rPr>
            </w:pPr>
          </w:p>
        </w:tc>
      </w:tr>
      <w:tr>
        <w:trPr>
          <w:trHeight w:val="216"/>
        </w:trPr>
        <w:tc>
          <w:tcPr>
            <w:tcW w:w="7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Current portion of other long-term liabilities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09"/>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50,991</w:t>
            </w:r>
          </w:p>
        </w:tc>
        <w:tc>
          <w:tcPr>
            <w:tcW w:w="0" w:type="dxa"/>
            <w:vAlign w:val="bottom"/>
          </w:tcPr>
          <w:p>
            <w:pPr>
              <w:spacing w:after="0"/>
              <w:rPr>
                <w:sz w:val="1"/>
                <w:szCs w:val="1"/>
                <w:color w:val="auto"/>
              </w:rPr>
            </w:pPr>
          </w:p>
        </w:tc>
      </w:tr>
      <w:tr>
        <w:trPr>
          <w:trHeight w:val="21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Long-term portion of operating lease liabilities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0" w:type="dxa"/>
            <w:vAlign w:val="bottom"/>
          </w:tcPr>
          <w:p>
            <w:pPr>
              <w:spacing w:after="0"/>
              <w:rPr>
                <w:sz w:val="1"/>
                <w:szCs w:val="1"/>
                <w:color w:val="auto"/>
              </w:rPr>
            </w:pPr>
          </w:p>
        </w:tc>
      </w:tr>
      <w:tr>
        <w:trPr>
          <w:trHeight w:val="209"/>
        </w:trPr>
        <w:tc>
          <w:tcPr>
            <w:tcW w:w="7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55,028</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55,818</w:t>
            </w: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1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Convertible preferred stock, $.01 par value; 3,000,000 shares authorized; no shares issued</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and outstanding at March 31, 2026 and December 31, 2025</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1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$.001 par value; 297,000,000 shares authorized; 66,568,971 and 66,549,442</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shares issued and outstanding at March 31, 2026 and December 31, 2025, respectively</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2,346,303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2,337,453</w:t>
            </w:r>
          </w:p>
        </w:tc>
        <w:tc>
          <w:tcPr>
            <w:tcW w:w="0" w:type="dxa"/>
            <w:vAlign w:val="bottom"/>
          </w:tcPr>
          <w:p>
            <w:pPr>
              <w:spacing w:after="0"/>
              <w:rPr>
                <w:sz w:val="1"/>
                <w:szCs w:val="1"/>
                <w:color w:val="auto"/>
              </w:rPr>
            </w:pPr>
          </w:p>
        </w:tc>
      </w:tr>
      <w:tr>
        <w:trPr>
          <w:trHeight w:val="216"/>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(1,892,666)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(1,813,981)</w:t>
            </w:r>
          </w:p>
        </w:tc>
        <w:tc>
          <w:tcPr>
            <w:tcW w:w="0" w:type="dxa"/>
            <w:vAlign w:val="bottom"/>
          </w:tcPr>
          <w:p>
            <w:pPr>
              <w:spacing w:after="0"/>
              <w:rPr>
                <w:sz w:val="1"/>
                <w:szCs w:val="1"/>
                <w:color w:val="auto"/>
              </w:rPr>
            </w:pPr>
          </w:p>
        </w:tc>
      </w:tr>
      <w:tr>
        <w:trPr>
          <w:trHeight w:val="210"/>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456,226</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527,165</w:t>
            </w:r>
          </w:p>
        </w:tc>
        <w:tc>
          <w:tcPr>
            <w:tcW w:w="0" w:type="dxa"/>
            <w:vAlign w:val="bottom"/>
          </w:tcPr>
          <w:p>
            <w:pPr>
              <w:spacing w:after="0"/>
              <w:rPr>
                <w:sz w:val="1"/>
                <w:szCs w:val="1"/>
                <w:color w:val="auto"/>
              </w:rPr>
            </w:pPr>
          </w:p>
        </w:tc>
      </w:tr>
      <w:tr>
        <w:trPr>
          <w:trHeight w:val="209"/>
        </w:trPr>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511,254</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582,983</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40" w:type="dxa"/>
            <w:vAlign w:val="bottom"/>
            <w:vMerge w:val="restart"/>
          </w:tcPr>
          <w:p>
            <w:pPr>
              <w:ind w:left="550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gridSpan w:val="2"/>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20" w:type="dxa"/>
            <w:vAlign w:val="bottom"/>
            <w:gridSpan w:val="2"/>
            <w:vMerge w:val="continue"/>
          </w:tcPr>
          <w:p>
            <w:pPr>
              <w:spacing w:after="0"/>
              <w:rPr>
                <w:sz w:val="15"/>
                <w:szCs w:val="15"/>
                <w:color w:val="auto"/>
              </w:rPr>
            </w:pP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 and licensing agreements</w:t>
            </w:r>
          </w:p>
        </w:tc>
        <w:tc>
          <w:tcPr>
            <w:tcW w:w="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Contracts and grants</w:t>
            </w:r>
          </w:p>
        </w:tc>
        <w:tc>
          <w:tcPr>
            <w:tcW w:w="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11,449</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84,450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(84,435)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Investment and other income, net</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(78,685)</w:t>
            </w:r>
          </w:p>
        </w:tc>
        <w:tc>
          <w:tcPr>
            <w:tcW w:w="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w:t>
            </w:r>
          </w:p>
        </w:tc>
        <w:tc>
          <w:tcPr>
            <w:tcW w:w="4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calculating basic and diluted net loss per share</w:t>
            </w:r>
          </w:p>
        </w:tc>
        <w:tc>
          <w:tcPr>
            <w:tcW w:w="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66,566</w:t>
            </w:r>
          </w:p>
        </w:tc>
        <w:tc>
          <w:tcPr>
            <w:tcW w:w="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(78,685)</w:t>
            </w: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Unrealized (loss) gain on marketable securities</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(79,789)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CELLDEX THERAPEUTICS, INC. CONDENSED CONSOLIDATED STATEMENTS OF CASH FLOWS (Unaudited)</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20" w:type="dxa"/>
            <w:vAlign w:val="bottom"/>
            <w:vMerge w:val="restart"/>
          </w:tcPr>
          <w:p>
            <w:pPr>
              <w:ind w:left="62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40" w:type="dxa"/>
            <w:vAlign w:val="bottom"/>
            <w:gridSpan w:val="2"/>
            <w:vMerge w:val="continue"/>
          </w:tcPr>
          <w:p>
            <w:pPr>
              <w:spacing w:after="0"/>
              <w:rPr>
                <w:sz w:val="15"/>
                <w:szCs w:val="15"/>
                <w:color w:val="auto"/>
              </w:rPr>
            </w:pP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(78,685)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and premium of marketable securities, net</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sale or disposal of assets</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8,523</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(65,588)</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133,366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(59,608)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72,119</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proceeds from stock issuances</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Proceeds from issuance of stock from employee benefit plans</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6,858</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28,871</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35,729</w:t>
            </w:r>
          </w:p>
        </w:tc>
        <w:tc>
          <w:tcPr>
            <w:tcW w:w="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activities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construction in progress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4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400"/>
        <w:spacing w:after="0" w:line="278" w:lineRule="auto"/>
        <w:rPr>
          <w:sz w:val="20"/>
          <w:szCs w:val="20"/>
          <w:color w:val="auto"/>
        </w:rPr>
      </w:pPr>
      <w:r>
        <w:rPr>
          <w:rFonts w:ascii="Times New Roman" w:cs="Times New Roman" w:eastAsia="Times New Roman" w:hAnsi="Times New Roman"/>
          <w:sz w:val="18"/>
          <w:szCs w:val="18"/>
          <w:b w:val="1"/>
          <w:bCs w:val="1"/>
          <w:color w:val="auto"/>
        </w:rPr>
        <w:t>CELLDEX THERAPEUTICS, INC. Notes to Unaudited Condensed Consolidated Financial Statements March 31, 2026</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subsidiary. All intercompany balances and transactions have been eliminated in consolidation.</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These interim financial statements do not include all the information and footnotes required by U.S. GAAP for annual financial statements and should be read in conjunction with the audited financial statements for the year ended December 31, 2025, which are included in the Company’s Annual Report on Form 10-K filed with the Securities and Exchange Commission (the “SEC”) on February 25, 2026. In the opinion of management, the interim financial statements reflect all normal recurring adjustments necessary to fairly state the Company’s financial position and results of operations for the interim periods presented. The year-end condensed balance sheet data presented for comparative purposes was derived from audited financial statements but does not include all disclosures required by U.S. GAAP.</w:t>
      </w:r>
    </w:p>
    <w:p>
      <w:pPr>
        <w:spacing w:after="0" w:line="18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interim periods are not necessarily indicative of the results of operations to be expected for any future interim period or the fiscal year ending December 31, 2026.</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At March 31, 2026, the Company had cash, cash equivalents and marketable securities of $451.5 million. The Company has had recurring losses and incurred a loss of $78.7 million for the three months ended March 31, 2026. Net cash used in operations for the three months ended March 31, 2026 was $65.6 million. The Company believes that the cash, cash equivalents and marketable securities at the filing date of this Quarterly Report on Form 10-Q will be sufficient to meet estimated working capital requirements and fund planned operations for at least the next twelve months from the date of issuance of these financial statements.</w:t>
      </w:r>
    </w:p>
    <w:p>
      <w:pPr>
        <w:spacing w:after="0" w:line="18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During the next twelve months and beyond, the Company may take further steps to raise additional capital to meet its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the Company has been successful in raising capital in the past,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financings may be dilutive to the Company’s stockholders; debt financings,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The Company’s ability to continue funding its planned operations beyond twelve months from the issuance date is also dependent on the timing and manner of payment of the future milestone under the Settlement Agreement (defined below) with Shareholder Representative Services LLC (“SRS”) (refer to Note 15), in the event that the Company achieves the milestone related to that payment. The Company, at its option, may decide to pay that milestone payment in cash, shares of its common stock or a combination thereof. If the Company is unable to raise the funds necessary to meet its long-term liquidity needs, it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significant accounting policies used in preparation of these condensed consolidated financial statements on this Quarterly Report on Form 10-Q for the three months ended March 31, 2026 are consistent with those discussed in Note 2 to the financial statements in the Company’s Annual Report on Form 10-K for the year ended December 31,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adoption of recently issued standards that are not yet effective will not have a material impact on the Company’s consolidated financial statements or disclosures.</w:t>
      </w:r>
    </w:p>
    <w:p>
      <w:pPr>
        <w:spacing w:after="0" w:line="178"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Disclosures</w:t>
      </w:r>
      <w:r>
        <w:rPr>
          <w:rFonts w:ascii="Times New Roman" w:cs="Times New Roman" w:eastAsia="Times New Roman" w:hAnsi="Times New Roman"/>
          <w:sz w:val="18"/>
          <w:szCs w:val="18"/>
          <w:color w:val="auto"/>
        </w:rPr>
        <w:t>, which requires enhanced disclosures about specific types of expenses included in the expense captions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presented on the face of the income statement. The standard is effective for annual reporting periods in fiscal years beginning after December 15, 2026, and interim reporting periods in fiscal years beginning after December 31, 2027, with early adoption permitted. The Company is currently evaluating the impact that the adoption of ASU 2024-03 may have on its expense disclosures in the notes to the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Segment Information</w:t>
      </w:r>
    </w:p>
    <w:p>
      <w:pPr>
        <w:spacing w:after="0" w:line="22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The Company is managed as a single operating and reportable segment that operates in the business of development, manufacturing and commercialization of novel therapeutics for human health care. Our chief operating decision maker (“CODM”), the Chief Executive Officer, evaluates performance based on consolidated net loss. Other than general and administrative expenses as presented on the consolidated statement of operations, research and development expense disaggregated by program and by nature are considered to be the Company’s significant segment expenses. These results are used, in part, by our CODM in evaluating the performance of the Company by comparing budget to actual results, and to allocate resources. All revenue is derived in and long-lived assets are located in the United States. The CODM does not receive asset information other than what is presented on the consolidated balance sheets.</w:t>
      </w:r>
    </w:p>
    <w:p>
      <w:pPr>
        <w:spacing w:after="0" w:line="192"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is a summary of the Company’s research and development expenses disaggregated by program. The amounts disclosed reflect direct research and development costs and an allocation of indirect research and development costs to each program.</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3800" w:type="dxa"/>
            <w:vAlign w:val="bottom"/>
          </w:tcPr>
          <w:p>
            <w:pPr>
              <w:spacing w:after="0"/>
              <w:rPr>
                <w:sz w:val="15"/>
                <w:szCs w:val="15"/>
                <w:color w:val="auto"/>
              </w:rPr>
            </w:pPr>
          </w:p>
        </w:tc>
        <w:tc>
          <w:tcPr>
            <w:tcW w:w="146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00" w:type="dxa"/>
            <w:vAlign w:val="bottom"/>
            <w:gridSpan w:val="3"/>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0"/>
        </w:trPr>
        <w:tc>
          <w:tcPr>
            <w:tcW w:w="3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r>
      <w:tr>
        <w:trPr>
          <w:trHeight w:val="128"/>
        </w:trPr>
        <w:tc>
          <w:tcPr>
            <w:tcW w:w="3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80" w:type="dxa"/>
            <w:vAlign w:val="bottom"/>
            <w:gridSpan w:val="5"/>
          </w:tcPr>
          <w:p>
            <w:pPr>
              <w:jc w:val="right"/>
              <w:ind w:right="894"/>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Barzolvolimab/Anti-KIT Program</w:t>
            </w:r>
          </w:p>
        </w:tc>
        <w:tc>
          <w:tcPr>
            <w:tcW w:w="146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62,164</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39,703</w:t>
            </w:r>
          </w:p>
        </w:tc>
      </w:tr>
      <w:tr>
        <w:trPr>
          <w:trHeight w:val="216"/>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CDX-622</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w:t>
            </w:r>
          </w:p>
        </w:tc>
      </w:tr>
      <w:tr>
        <w:trPr>
          <w:trHeight w:val="216"/>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Programs (a)</w:t>
            </w:r>
          </w:p>
        </w:tc>
        <w:tc>
          <w:tcPr>
            <w:tcW w:w="1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7,460</w:t>
            </w: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R&amp;D Expense</w:t>
            </w:r>
          </w:p>
        </w:tc>
        <w:tc>
          <w:tcPr>
            <w:tcW w:w="13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73,001</w:t>
            </w:r>
          </w:p>
        </w:tc>
        <w:tc>
          <w:tcPr>
            <w:tcW w:w="16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52,614</w:t>
            </w:r>
          </w:p>
        </w:tc>
      </w:tr>
      <w:tr>
        <w:trPr>
          <w:trHeight w:val="20"/>
        </w:trPr>
        <w:tc>
          <w:tcPr>
            <w:tcW w:w="3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000" w:right="200" w:hanging="317"/>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program expenses primarily include research and development expenses related to early-stage programs, revenue-generating programs and discontinued programs.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is a summary of the Company’s research and development expenses disaggregated by nature.</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3420" w:type="dxa"/>
            <w:vAlign w:val="bottom"/>
          </w:tcPr>
          <w:p>
            <w:pPr>
              <w:spacing w:after="0"/>
              <w:rPr>
                <w:sz w:val="15"/>
                <w:szCs w:val="15"/>
                <w:color w:val="auto"/>
              </w:rPr>
            </w:pPr>
          </w:p>
        </w:tc>
        <w:tc>
          <w:tcPr>
            <w:tcW w:w="1840" w:type="dxa"/>
            <w:vAlign w:val="bottom"/>
            <w:gridSpan w:val="2"/>
          </w:tcPr>
          <w:p>
            <w:pPr>
              <w:ind w:left="16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00" w:type="dxa"/>
            <w:vAlign w:val="bottom"/>
            <w:gridSpan w:val="3"/>
          </w:tcPr>
          <w:p>
            <w:pPr>
              <w:jc w:val="right"/>
              <w:ind w:right="42"/>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0"/>
        </w:trPr>
        <w:tc>
          <w:tcPr>
            <w:tcW w:w="34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r>
      <w:tr>
        <w:trPr>
          <w:trHeight w:val="128"/>
        </w:trPr>
        <w:tc>
          <w:tcPr>
            <w:tcW w:w="3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80" w:type="dxa"/>
            <w:vAlign w:val="bottom"/>
            <w:gridSpan w:val="5"/>
          </w:tcPr>
          <w:p>
            <w:pPr>
              <w:jc w:val="right"/>
              <w:ind w:right="89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w:t>
            </w:r>
          </w:p>
        </w:tc>
        <w:tc>
          <w:tcPr>
            <w:tcW w:w="184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15,569</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13,600</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Laboratory supplies</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 (b)</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32,166</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(c)</w:t>
            </w:r>
          </w:p>
        </w:tc>
        <w:tc>
          <w:tcPr>
            <w:tcW w:w="1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r>
      <w:tr>
        <w:trPr>
          <w:trHeight w:val="20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Total R&amp;D expense</w:t>
            </w:r>
          </w:p>
        </w:tc>
        <w:tc>
          <w:tcPr>
            <w:tcW w:w="17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73,001</w:t>
            </w:r>
          </w:p>
        </w:tc>
        <w:tc>
          <w:tcPr>
            <w:tcW w:w="16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52,614</w:t>
            </w:r>
          </w:p>
        </w:tc>
      </w:tr>
      <w:tr>
        <w:trPr>
          <w:trHeight w:val="20"/>
        </w:trPr>
        <w:tc>
          <w:tcPr>
            <w:tcW w:w="34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980" w:right="380" w:hanging="324"/>
        <w:spacing w:after="0" w:line="282"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expenses include clinical investigator site fees, external trial monitoring costs, data accumulation costs, contracted research and outside clinical drug product manufacturing.</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primarily include research and development consulting, insurance, licensing and software expenses.</w:t>
      </w:r>
    </w:p>
    <w:p>
      <w:pPr>
        <w:spacing w:after="0" w:line="22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the Company’s financial assets and liabilities subject to fair value measurements: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14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3"/>
                <w:szCs w:val="13"/>
                <w:color w:val="auto"/>
              </w:rPr>
            </w:pPr>
          </w:p>
        </w:tc>
        <w:tc>
          <w:tcPr>
            <w:tcW w:w="30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8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4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5"/>
          </w:tcPr>
          <w:p>
            <w:pPr>
              <w:jc w:val="right"/>
              <w:ind w:right="53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4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 and cash equivalents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14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415,729</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415,729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437,536</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437,536</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24"/>
                <w:szCs w:val="24"/>
                <w:color w:val="auto"/>
              </w:rPr>
            </w:pPr>
          </w:p>
        </w:tc>
        <w:tc>
          <w:tcPr>
            <w:tcW w:w="30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2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8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4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4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5"/>
          </w:tcPr>
          <w:p>
            <w:pPr>
              <w:jc w:val="right"/>
              <w:ind w:right="53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4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 and cash equivalents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14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489,702</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489,702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508,817</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508,817</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Company’s financial assets consist mainly of money market funds, cash equivalents and marketable securities and are classified as Level 2 within the valuation hierarchy.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18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Contingent consideration liabilities measured at fair value using Level 3 inputs were $0.0 million as of March 31, 2026 and December 31, 2025. The valuation technique used to measure fair value of the Company’s Level 3 liabilities, which consist of contingent consideration related to the acquisition of Kolltan Pharmaceuticals, Inc. (“Kolltan”) in 2016, is primarily an income approach. The significant unobservable inputs used in the fair value measurement of the contingent consideration are estimates including probability of success, discount rates and amount of time until the conditions of the milestone payments are met.</w:t>
      </w:r>
    </w:p>
    <w:p>
      <w:pPr>
        <w:spacing w:after="0" w:line="183"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There was no gain or loss on fair value remeasurement of contingent consideration recorded during the three months ended March 31, 2026 or March 31, 2025. The assumptions related to determining the fair value of contingent consideration include a significant amount of judgment, and any changes in the underlying estimates could have a material impact on the amount of contingent consideration adjustment recorded in any given period.</w:t>
      </w:r>
    </w:p>
    <w:p>
      <w:pPr>
        <w:spacing w:after="0" w:line="18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Company did not have any transfers in or out of Level 3 assets or liabilities during the three months ended March 31, 2026 or March 31, 2025.</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Marketable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marketable debt securities, classified as available-for-sale: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3"/>
                <w:szCs w:val="13"/>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4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74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Cost</w:t>
            </w:r>
          </w:p>
        </w:tc>
        <w:tc>
          <w:tcPr>
            <w:tcW w:w="38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gridSpan w:val="2"/>
            <w:vMerge w:val="continue"/>
          </w:tcPr>
          <w:p>
            <w:pPr>
              <w:spacing w:after="0"/>
              <w:rPr>
                <w:sz w:val="15"/>
                <w:szCs w:val="15"/>
                <w:color w:val="auto"/>
              </w:rPr>
            </w:pPr>
          </w:p>
        </w:tc>
        <w:tc>
          <w:tcPr>
            <w:tcW w:w="7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6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60" w:type="dxa"/>
            <w:vAlign w:val="bottom"/>
            <w:gridSpan w:val="4"/>
          </w:tcPr>
          <w:p>
            <w:pPr>
              <w:jc w:val="right"/>
              <w:ind w:right="612"/>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government and municipal obligations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130,757</w:t>
            </w:r>
          </w:p>
        </w:tc>
        <w:tc>
          <w:tcPr>
            <w:tcW w:w="38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130,939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Maturing after one year through three years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37,550</w:t>
            </w:r>
          </w:p>
        </w:tc>
        <w:tc>
          <w:tcPr>
            <w:tcW w:w="0" w:type="dxa"/>
            <w:vAlign w:val="bottom"/>
          </w:tcPr>
          <w:p>
            <w:pPr>
              <w:spacing w:after="0"/>
              <w:rPr>
                <w:sz w:val="1"/>
                <w:szCs w:val="1"/>
                <w:color w:val="auto"/>
              </w:rPr>
            </w:pPr>
          </w:p>
        </w:tc>
      </w:tr>
      <w:tr>
        <w:trPr>
          <w:trHeight w:val="209"/>
        </w:trPr>
        <w:tc>
          <w:tcPr>
            <w:tcW w:w="4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U.S. government and municipal obligations</w:t>
            </w:r>
          </w:p>
        </w:tc>
        <w:tc>
          <w:tcPr>
            <w:tcW w:w="10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168,374</w:t>
            </w:r>
          </w:p>
        </w:tc>
        <w:tc>
          <w:tcPr>
            <w:tcW w:w="1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168,489</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205,565</w:t>
            </w:r>
          </w:p>
        </w:tc>
        <w:tc>
          <w:tcPr>
            <w:tcW w:w="38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205,519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Maturing after one year through three years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41,721</w:t>
            </w:r>
          </w:p>
        </w:tc>
        <w:tc>
          <w:tcPr>
            <w:tcW w:w="0" w:type="dxa"/>
            <w:vAlign w:val="bottom"/>
          </w:tcPr>
          <w:p>
            <w:pPr>
              <w:spacing w:after="0"/>
              <w:rPr>
                <w:sz w:val="1"/>
                <w:szCs w:val="1"/>
                <w:color w:val="auto"/>
              </w:rPr>
            </w:pPr>
          </w:p>
        </w:tc>
      </w:tr>
      <w:tr>
        <w:trPr>
          <w:trHeight w:val="210"/>
        </w:trPr>
        <w:tc>
          <w:tcPr>
            <w:tcW w:w="4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corporate debt securities</w:t>
            </w:r>
          </w:p>
        </w:tc>
        <w:tc>
          <w:tcPr>
            <w:tcW w:w="10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247,429</w:t>
            </w:r>
          </w:p>
        </w:tc>
        <w:tc>
          <w:tcPr>
            <w:tcW w:w="1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247,240</w:t>
            </w:r>
          </w:p>
        </w:tc>
        <w:tc>
          <w:tcPr>
            <w:tcW w:w="0" w:type="dxa"/>
            <w:vAlign w:val="bottom"/>
          </w:tcPr>
          <w:p>
            <w:pPr>
              <w:spacing w:after="0"/>
              <w:rPr>
                <w:sz w:val="1"/>
                <w:szCs w:val="1"/>
                <w:color w:val="auto"/>
              </w:rPr>
            </w:pPr>
          </w:p>
        </w:tc>
      </w:tr>
      <w:tr>
        <w:trPr>
          <w:trHeight w:val="209"/>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415,803</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415,729</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4620" w:type="dxa"/>
            <w:vAlign w:val="bottom"/>
          </w:tcPr>
          <w:p>
            <w:pPr>
              <w:spacing w:after="0"/>
              <w:rPr>
                <w:sz w:val="24"/>
                <w:szCs w:val="24"/>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24"/>
                <w:szCs w:val="24"/>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4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74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Cost</w:t>
            </w:r>
          </w:p>
        </w:tc>
        <w:tc>
          <w:tcPr>
            <w:tcW w:w="38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gridSpan w:val="2"/>
            <w:vMerge w:val="continue"/>
          </w:tcPr>
          <w:p>
            <w:pPr>
              <w:spacing w:after="0"/>
              <w:rPr>
                <w:sz w:val="15"/>
                <w:szCs w:val="15"/>
                <w:color w:val="auto"/>
              </w:rPr>
            </w:pPr>
          </w:p>
        </w:tc>
        <w:tc>
          <w:tcPr>
            <w:tcW w:w="7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60" w:type="dxa"/>
            <w:vAlign w:val="bottom"/>
            <w:gridSpan w:val="4"/>
          </w:tcPr>
          <w:p>
            <w:pPr>
              <w:jc w:val="right"/>
              <w:ind w:right="612"/>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government and municipal obligations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151,270</w:t>
            </w:r>
          </w:p>
        </w:tc>
        <w:tc>
          <w:tcPr>
            <w:tcW w:w="38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151,749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Maturing after one year through three years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42,485</w:t>
            </w:r>
          </w:p>
        </w:tc>
        <w:tc>
          <w:tcPr>
            <w:tcW w:w="0" w:type="dxa"/>
            <w:vAlign w:val="bottom"/>
          </w:tcPr>
          <w:p>
            <w:pPr>
              <w:spacing w:after="0"/>
              <w:rPr>
                <w:sz w:val="1"/>
                <w:szCs w:val="1"/>
                <w:color w:val="auto"/>
              </w:rPr>
            </w:pPr>
          </w:p>
        </w:tc>
      </w:tr>
      <w:tr>
        <w:trPr>
          <w:trHeight w:val="210"/>
        </w:trPr>
        <w:tc>
          <w:tcPr>
            <w:tcW w:w="4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U.S. government and municipal obligations</w:t>
            </w:r>
          </w:p>
        </w:tc>
        <w:tc>
          <w:tcPr>
            <w:tcW w:w="10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193,628</w:t>
            </w:r>
          </w:p>
        </w:tc>
        <w:tc>
          <w:tcPr>
            <w:tcW w:w="1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194,234</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257,064</w:t>
            </w:r>
          </w:p>
        </w:tc>
        <w:tc>
          <w:tcPr>
            <w:tcW w:w="38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257,437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Maturing after one year through three years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38,031</w:t>
            </w:r>
          </w:p>
        </w:tc>
        <w:tc>
          <w:tcPr>
            <w:tcW w:w="0" w:type="dxa"/>
            <w:vAlign w:val="bottom"/>
          </w:tcPr>
          <w:p>
            <w:pPr>
              <w:spacing w:after="0"/>
              <w:rPr>
                <w:sz w:val="1"/>
                <w:szCs w:val="1"/>
                <w:color w:val="auto"/>
              </w:rPr>
            </w:pPr>
          </w:p>
        </w:tc>
      </w:tr>
      <w:tr>
        <w:trPr>
          <w:trHeight w:val="210"/>
        </w:trPr>
        <w:tc>
          <w:tcPr>
            <w:tcW w:w="4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corporate debt securities</w:t>
            </w:r>
          </w:p>
        </w:tc>
        <w:tc>
          <w:tcPr>
            <w:tcW w:w="10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295,044</w:t>
            </w:r>
          </w:p>
        </w:tc>
        <w:tc>
          <w:tcPr>
            <w:tcW w:w="1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295,468</w:t>
            </w:r>
          </w:p>
        </w:tc>
        <w:tc>
          <w:tcPr>
            <w:tcW w:w="0" w:type="dxa"/>
            <w:vAlign w:val="bottom"/>
          </w:tcPr>
          <w:p>
            <w:pPr>
              <w:spacing w:after="0"/>
              <w:rPr>
                <w:sz w:val="1"/>
                <w:szCs w:val="1"/>
                <w:color w:val="auto"/>
              </w:rPr>
            </w:pPr>
          </w:p>
        </w:tc>
      </w:tr>
      <w:tr>
        <w:trPr>
          <w:trHeight w:val="210"/>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488,672</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489,702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Company holds investment-grade marketable securities. Unrealized losses are generally attributable to changes in interest rates. The aggregate fair value of marketable securities held by the Company in an unrealized loss position as of March 31, 2026 and December 31, 2025 was $174.4 million and $19.4 million, respectively. The Company has the intent and ability to hold its marketable securities until recovery and has determined that there has been no material change to the Company’s credit risk. As a result, the Company determined it did not hold any investments with a credit loss at March 31, 2026 and December 31, 2025.</w:t>
      </w:r>
    </w:p>
    <w:p>
      <w:pPr>
        <w:spacing w:after="0" w:line="183"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Marketable securities include $4.7 million and $4.4 million in accrued interest at March 31, 2026 and December 31,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Intangible Assets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At March 31, 2026 and December 31, 2025, the carrying value of the Company’s indefinite-lived intangible assets was $27.2 million. Indefinite-lived intangible assets consist of acquired in-process research and development (“IPR&amp;D”) related to the development of the anti-KIT program (including barzolvolimab), which was recorded in connection with the Kolltan acquisition. Barzolvolimab is in Phase 3 development. As of March 31, 2026, the IPR&amp;D asset related to the anti-KIT program had not reached technological feasibility nor did the asset have alternative future uses.</w:t>
      </w:r>
    </w:p>
    <w:p>
      <w:pPr>
        <w:spacing w:after="0" w:line="183"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Company performs an impairment test on IPR&amp;D assets at least annually, or more frequently if events or changes in circumstances indicate that IPR&amp;D assets may be impaired. Due to the nature of IPR&amp;D projects, the Company may experience future delays or failures to obtain regulatory approvals to conduct clinical trials, failures of such clinical trials or other failures to achieve a commercially viable product, and as a result, may recognize further impairment losses in the future.</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Other Assets</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Company records advance payments for services that will not be performed within one year of the balance sheet date as other assets. Such amounts will be recognized as expense in the period in which the related services are performed. Advance payments reflected within other assets in our consolidated balance sheets were $14.8 million and $12.8 million at March 31, 2026 and December 31, 2025,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Other Long-Term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long-term liabilities include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ind w:left="69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r>
      <w:tr>
        <w:trPr>
          <w:trHeight w:val="128"/>
        </w:trPr>
        <w:tc>
          <w:tcPr>
            <w:tcW w:w="7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20" w:type="dxa"/>
            <w:vAlign w:val="bottom"/>
            <w:gridSpan w:val="5"/>
          </w:tcPr>
          <w:p>
            <w:pPr>
              <w:jc w:val="right"/>
              <w:ind w:right="87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1"/>
                <w:szCs w:val="11"/>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liabilities related to IPR&amp;D (Note 13)</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20" w:type="dxa"/>
            <w:vAlign w:val="bottom"/>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from sale of tax benefits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2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(Note 12)</w:t>
            </w: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20" w:type="dxa"/>
            <w:vAlign w:val="bottom"/>
          </w:tcPr>
          <w:p>
            <w:pPr>
              <w:spacing w:after="0"/>
              <w:rPr>
                <w:sz w:val="18"/>
                <w:szCs w:val="18"/>
                <w:color w:val="auto"/>
              </w:rPr>
            </w:pPr>
          </w:p>
        </w:tc>
      </w:tr>
      <w:tr>
        <w:trPr>
          <w:trHeight w:val="209"/>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5,273</w:t>
            </w:r>
          </w:p>
        </w:tc>
        <w:tc>
          <w:tcPr>
            <w:tcW w:w="2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20" w:type="dxa"/>
            <w:vAlign w:val="bottom"/>
          </w:tcPr>
          <w:p>
            <w:pPr>
              <w:spacing w:after="0"/>
              <w:rPr>
                <w:sz w:val="18"/>
                <w:szCs w:val="18"/>
                <w:color w:val="auto"/>
              </w:rPr>
            </w:pPr>
          </w:p>
        </w:tc>
      </w:tr>
      <w:tr>
        <w:trPr>
          <w:trHeight w:val="209"/>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20" w:type="dxa"/>
            <w:vAlign w:val="bottom"/>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March 2022, the Company received approval from the New Jersey Economic Development Authority and agreed to sell New Jersey tax benefits of $5.0 million to an independent third party for $4.7 million. Under the agreement, the Company must maintain a base of operations in New Jersey for five years or the tax benefits must be paid back on a pro-rata basis based on the number of years completed. The Company recognized $0.9 million and $0.9 million in other income related to the sale of these tax benefits for the three months ended March 31, 2026, and 2025,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229" w:lineRule="exact"/>
        <w:rPr>
          <w:sz w:val="20"/>
          <w:szCs w:val="20"/>
          <w:color w:val="auto"/>
        </w:rPr>
      </w:pPr>
    </w:p>
    <w:p>
      <w:pPr>
        <w:ind w:right="860" w:firstLine="648"/>
        <w:spacing w:after="0" w:line="282" w:lineRule="auto"/>
        <w:rPr>
          <w:sz w:val="20"/>
          <w:szCs w:val="20"/>
          <w:color w:val="auto"/>
        </w:rPr>
      </w:pPr>
      <w:r>
        <w:rPr>
          <w:rFonts w:ascii="Times New Roman" w:cs="Times New Roman" w:eastAsia="Times New Roman" w:hAnsi="Times New Roman"/>
          <w:sz w:val="18"/>
          <w:szCs w:val="18"/>
          <w:color w:val="auto"/>
        </w:rPr>
        <w:t>In November 2023, the Company filed an automatic shelf registration statement with the SEC to register for sale any combination of the types of securities described in the shelf registration statement, including shares of its common stock.</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On February 26, 2024, the Company entered into a controlled equity offering sales agreement (“ATM Agreement”) with Cantor Fitzgerald &amp; Co. (“Cantor”) to allow the Company to issue and sell shares of its common stock from time to time through Cantor, acting as agent. At March 31, 2026, the Company had registered $300.0 million of its common stock to be sold pursuant to the Company’s ATM Agreement, all of which remained unsold as of that date.</w:t>
      </w:r>
    </w:p>
    <w:p>
      <w:pPr>
        <w:spacing w:after="0" w:line="180"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In April 2026, the Company issued 11,896,750 shares of its common stock in an underwritten public offering resulting in net proceeds to the Company of approximately $323.9 million, after deducting underwriting fees and offering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Stockholders’ Equity during the three months ended March 31, 2026 and 2025 are summarized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ind w:left="38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3"/>
                <w:szCs w:val="13"/>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Accumulated</w:t>
            </w: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0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20" w:type="dxa"/>
            <w:vAlign w:val="bottom"/>
            <w:vMerge w:val="restart"/>
          </w:tcPr>
          <w:p>
            <w:pPr>
              <w:ind w:left="38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Par</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920" w:type="dxa"/>
            <w:vAlign w:val="bottom"/>
            <w:vMerge w:val="continue"/>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6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Capital</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Deficit</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
        </w:trPr>
        <w:tc>
          <w:tcPr>
            <w:tcW w:w="392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60" w:type="dxa"/>
            <w:vAlign w:val="bottom"/>
            <w:gridSpan w:val="6"/>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w w:val="95"/>
              </w:rPr>
              <w:t>(In thousands, except share amounts)</w:t>
            </w:r>
          </w:p>
        </w:tc>
        <w:tc>
          <w:tcPr>
            <w:tcW w:w="100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9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balance at December 31, 2025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66,549,442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$ 2,337,453</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(1,813,981)</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527,165</w:t>
            </w:r>
          </w:p>
        </w:tc>
        <w:tc>
          <w:tcPr>
            <w:tcW w:w="0" w:type="dxa"/>
            <w:vAlign w:val="bottom"/>
          </w:tcPr>
          <w:p>
            <w:pPr>
              <w:spacing w:after="0"/>
              <w:rPr>
                <w:sz w:val="1"/>
                <w:szCs w:val="1"/>
                <w:color w:val="auto"/>
              </w:rPr>
            </w:pPr>
          </w:p>
        </w:tc>
      </w:tr>
      <w:tr>
        <w:trPr>
          <w:trHeight w:val="198"/>
        </w:trPr>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stock option and employee</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purchase plans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16"/>
        </w:trPr>
        <w:tc>
          <w:tcPr>
            <w:tcW w:w="39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8,523</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0" w:type="dxa"/>
            <w:vAlign w:val="bottom"/>
          </w:tcPr>
          <w:p>
            <w:pPr>
              <w:spacing w:after="0"/>
              <w:rPr>
                <w:sz w:val="1"/>
                <w:szCs w:val="1"/>
                <w:color w:val="auto"/>
              </w:rPr>
            </w:pPr>
          </w:p>
        </w:tc>
      </w:tr>
      <w:tr>
        <w:trPr>
          <w:trHeight w:val="216"/>
        </w:trPr>
        <w:tc>
          <w:tcPr>
            <w:tcW w:w="39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(78,685)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(78,685)</w:t>
            </w:r>
          </w:p>
        </w:tc>
        <w:tc>
          <w:tcPr>
            <w:tcW w:w="0" w:type="dxa"/>
            <w:vAlign w:val="bottom"/>
          </w:tcPr>
          <w:p>
            <w:pPr>
              <w:spacing w:after="0"/>
              <w:rPr>
                <w:sz w:val="1"/>
                <w:szCs w:val="1"/>
                <w:color w:val="auto"/>
              </w:rPr>
            </w:pPr>
          </w:p>
        </w:tc>
      </w:tr>
      <w:tr>
        <w:trPr>
          <w:trHeight w:val="228"/>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at March 31, 2026</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66,568,971</w:t>
            </w:r>
          </w:p>
        </w:tc>
        <w:tc>
          <w:tcPr>
            <w:tcW w:w="1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$ 2,346,303</w:t>
            </w: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(1,892,666)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456,226</w:t>
            </w:r>
          </w:p>
        </w:tc>
        <w:tc>
          <w:tcPr>
            <w:tcW w:w="0" w:type="dxa"/>
            <w:vAlign w:val="bottom"/>
          </w:tcPr>
          <w:p>
            <w:pPr>
              <w:spacing w:after="0"/>
              <w:rPr>
                <w:sz w:val="1"/>
                <w:szCs w:val="1"/>
                <w:color w:val="auto"/>
              </w:rPr>
            </w:pPr>
          </w:p>
        </w:tc>
      </w:tr>
      <w:tr>
        <w:trPr>
          <w:trHeight w:val="335"/>
        </w:trPr>
        <w:tc>
          <w:tcPr>
            <w:tcW w:w="3920" w:type="dxa"/>
            <w:vAlign w:val="bottom"/>
          </w:tcPr>
          <w:p>
            <w:pPr>
              <w:ind w:left="38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Accumulated</w:t>
            </w: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0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Par</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28"/>
        </w:trPr>
        <w:tc>
          <w:tcPr>
            <w:tcW w:w="3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60" w:type="dxa"/>
            <w:vAlign w:val="bottom"/>
            <w:gridSpan w:val="6"/>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w w:val="95"/>
              </w:rPr>
              <w:t>(In thousands, except share amounts)</w:t>
            </w: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9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balance at December 31, 2024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66,374,549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$ 2,298,849</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(1,555,224)</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747,005</w:t>
            </w:r>
          </w:p>
        </w:tc>
        <w:tc>
          <w:tcPr>
            <w:tcW w:w="0" w:type="dxa"/>
            <w:vAlign w:val="bottom"/>
          </w:tcPr>
          <w:p>
            <w:pPr>
              <w:spacing w:after="0"/>
              <w:rPr>
                <w:sz w:val="1"/>
                <w:szCs w:val="1"/>
                <w:color w:val="auto"/>
              </w:rPr>
            </w:pPr>
          </w:p>
        </w:tc>
      </w:tr>
      <w:tr>
        <w:trPr>
          <w:trHeight w:val="198"/>
        </w:trPr>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stock option and employee</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purchase plans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39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9,316</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39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(53,796)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(53,796)</w:t>
            </w:r>
          </w:p>
        </w:tc>
        <w:tc>
          <w:tcPr>
            <w:tcW w:w="0" w:type="dxa"/>
            <w:vAlign w:val="bottom"/>
          </w:tcPr>
          <w:p>
            <w:pPr>
              <w:spacing w:after="0"/>
              <w:rPr>
                <w:sz w:val="1"/>
                <w:szCs w:val="1"/>
                <w:color w:val="auto"/>
              </w:rPr>
            </w:pPr>
          </w:p>
        </w:tc>
      </w:tr>
      <w:tr>
        <w:trPr>
          <w:trHeight w:val="228"/>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at March 31, 2025</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66,384,191</w:t>
            </w:r>
          </w:p>
        </w:tc>
        <w:tc>
          <w:tcPr>
            <w:tcW w:w="1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$ 2,308,367</w:t>
            </w: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(1,609,020)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702,981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stock option activity for the three months ended March 31, 2026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6600" w:type="dxa"/>
            <w:vAlign w:val="bottom"/>
            <w:vMerge w:val="restart"/>
          </w:tcPr>
          <w:p>
            <w:pPr>
              <w:ind w:left="648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gridSpan w:val="2"/>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6600" w:type="dxa"/>
            <w:vAlign w:val="bottom"/>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8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Term (In Years)</w:t>
            </w:r>
          </w:p>
        </w:tc>
        <w:tc>
          <w:tcPr>
            <w:tcW w:w="0" w:type="dxa"/>
            <w:vAlign w:val="bottom"/>
          </w:tcPr>
          <w:p>
            <w:pPr>
              <w:spacing w:after="0"/>
              <w:rPr>
                <w:sz w:val="1"/>
                <w:szCs w:val="1"/>
                <w:color w:val="auto"/>
              </w:rPr>
            </w:pPr>
          </w:p>
        </w:tc>
      </w:tr>
      <w:tr>
        <w:trPr>
          <w:trHeight w:val="210"/>
        </w:trPr>
        <w:tc>
          <w:tcPr>
            <w:tcW w:w="6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2025</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9,134,278</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78,100</w:t>
            </w:r>
          </w:p>
        </w:tc>
        <w:tc>
          <w:tcPr>
            <w:tcW w:w="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(7,442)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(133,333)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March 31, 2026</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9,071,603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vested and expected to vest at March 31, 2026</w:t>
            </w:r>
          </w:p>
        </w:tc>
        <w:tc>
          <w:tcPr>
            <w:tcW w:w="92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8,974,496</w:t>
            </w:r>
          </w:p>
        </w:tc>
        <w:tc>
          <w:tcPr>
            <w:tcW w:w="4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26.41</w:t>
            </w:r>
          </w:p>
        </w:tc>
        <w:tc>
          <w:tcPr>
            <w:tcW w:w="180" w:type="dxa"/>
            <w:vAlign w:val="bottom"/>
            <w:vMerge w:val="continue"/>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 at March 31, 2026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5,488,328</w:t>
            </w:r>
          </w:p>
        </w:tc>
        <w:tc>
          <w:tcPr>
            <w:tcW w:w="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8"/>
        </w:trPr>
        <w:tc>
          <w:tcPr>
            <w:tcW w:w="6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available for grant under the Celldex Therapeutics, Inc. 2021 Omnibus Equity</w:t>
            </w: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Incentive Plan (as amended, effective as of June 5, 2025) at March 31, 2026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2,680,069</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 average grant-date fair value of stock options granted during the three months ended March 31, 2026 was $19.04.</w:t>
      </w:r>
    </w:p>
    <w:p>
      <w:pPr>
        <w:spacing w:after="0" w:line="225"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The aggregate intrinsic value of stock options vested and expected to vest at March 31, 2026 was $66.6 million. The aggregate intrinsic value of stock options exercisable at March 31, 2026 was $41.5 million. As of March 31, 2026, total compensation cost related to non-vested employee, consultant and non-employee director stock options not yet recognized was approximately $57.3 million, net of estimated forfeitures, which is expected to be recognized as expense over a weighted average period of 2.5 years.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Stock-based compensation expense for the three months ended March 31, 2026 and 2025 was recorded as follows: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1520" w:type="dxa"/>
            <w:vAlign w:val="bottom"/>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rPr>
              <w:t>​​​</w:t>
            </w:r>
          </w:p>
        </w:tc>
        <w:tc>
          <w:tcPr>
            <w:tcW w:w="20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28"/>
        </w:trPr>
        <w:tc>
          <w:tcPr>
            <w:tcW w:w="43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80" w:type="dxa"/>
            <w:vAlign w:val="bottom"/>
            <w:gridSpan w:val="4"/>
          </w:tcPr>
          <w:p>
            <w:pPr>
              <w:jc w:val="right"/>
              <w:ind w:right="51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3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4,731</w:t>
            </w:r>
          </w:p>
        </w:tc>
        <w:tc>
          <w:tcPr>
            <w:tcW w:w="0" w:type="dxa"/>
            <w:vAlign w:val="bottom"/>
          </w:tcPr>
          <w:p>
            <w:pPr>
              <w:spacing w:after="0"/>
              <w:rPr>
                <w:sz w:val="1"/>
                <w:szCs w:val="1"/>
                <w:color w:val="auto"/>
              </w:rPr>
            </w:pPr>
          </w:p>
        </w:tc>
      </w:tr>
      <w:tr>
        <w:trPr>
          <w:trHeight w:val="210"/>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5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8,523</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9,316</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fair values of employee, consultant and non-employee director stock options granted during the three months ended March 31, 2026 and 2025 were valued using the Black-Scholes option pricing model with the following assumptions:</w:t>
      </w:r>
    </w:p>
    <w:p>
      <w:pPr>
        <w:spacing w:after="0" w:line="169"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2" w:lineRule="exact"/>
        <w:rPr>
          <w:sz w:val="20"/>
          <w:szCs w:val="20"/>
          <w:color w:val="auto"/>
        </w:rPr>
      </w:pPr>
    </w:p>
    <w:tbl>
      <w:tblPr>
        <w:tblLayout w:type="fixed"/>
        <w:tblInd w:w="1000" w:type="dxa"/>
        <w:tblCellMar>
          <w:top w:w="0" w:type="dxa"/>
          <w:left w:w="0" w:type="dxa"/>
          <w:bottom w:w="0" w:type="dxa"/>
          <w:right w:w="0" w:type="dxa"/>
        </w:tblCellMar>
      </w:tblPr>
      <w:tr>
        <w:trPr>
          <w:trHeight w:val="20"/>
        </w:trPr>
        <w:tc>
          <w:tcPr>
            <w:tcW w:w="59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122"/>
        </w:trPr>
        <w:tc>
          <w:tcPr>
            <w:tcW w:w="5920" w:type="dxa"/>
            <w:vAlign w:val="bottom"/>
          </w:tcPr>
          <w:p>
            <w:pPr>
              <w:ind w:left="580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0"/>
                <w:szCs w:val="10"/>
                <w:color w:val="auto"/>
              </w:rPr>
            </w:pPr>
          </w:p>
        </w:tc>
        <w:tc>
          <w:tcPr>
            <w:tcW w:w="640" w:type="dxa"/>
            <w:vAlign w:val="bottom"/>
          </w:tcPr>
          <w:p>
            <w:pPr>
              <w:jc w:val="center"/>
              <w:ind w:right="236"/>
              <w:spacing w:after="0" w:line="122"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480" w:type="dxa"/>
            <w:vAlign w:val="bottom"/>
            <w:gridSpan w:val="2"/>
          </w:tcPr>
          <w:p>
            <w:pPr>
              <w:jc w:val="right"/>
              <w:ind w:right="23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center"/>
              <w:ind w:right="256"/>
              <w:spacing w:after="0" w:line="12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592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6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76%</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81%</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Expected option term</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6.0 Years</w:t>
            </w:r>
          </w:p>
        </w:tc>
        <w:tc>
          <w:tcPr>
            <w:tcW w:w="16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6.0 Years</w:t>
            </w:r>
          </w:p>
        </w:tc>
      </w:tr>
      <w:tr>
        <w:trPr>
          <w:trHeight w:val="216"/>
        </w:trPr>
        <w:tc>
          <w:tcPr>
            <w:tcW w:w="59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4.2%</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4.7%</w:t>
            </w:r>
          </w:p>
        </w:tc>
      </w:t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160" w:type="dxa"/>
            <w:vAlign w:val="bottom"/>
          </w:tcPr>
          <w:p>
            <w:pPr>
              <w:spacing w:after="0"/>
              <w:rPr>
                <w:sz w:val="20"/>
                <w:szCs w:val="20"/>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Accumulated Other Comprehensive Income</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changes in accumulated other comprehensive income, which is reported as a component of stockholders’ equity, for the three months ended March 31, 2026 are summarized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Gain (Loss) 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0" w:type="dxa"/>
            <w:vAlign w:val="bottom"/>
            <w:vMerge w:val="restart"/>
          </w:tcPr>
          <w:p>
            <w:pPr>
              <w:ind w:left="56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30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vMerge w:val="continue"/>
          </w:tcPr>
          <w:p>
            <w:pPr>
              <w:spacing w:after="0"/>
              <w:rPr>
                <w:sz w:val="12"/>
                <w:szCs w:val="12"/>
                <w:color w:val="auto"/>
              </w:rPr>
            </w:pPr>
          </w:p>
        </w:tc>
        <w:tc>
          <w:tcPr>
            <w:tcW w:w="500" w:type="dxa"/>
            <w:vAlign w:val="bottom"/>
            <w:gridSpan w:val="2"/>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8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300" w:type="dxa"/>
            <w:vAlign w:val="bottom"/>
            <w:gridSpan w:val="2"/>
            <w:vMerge w:val="continue"/>
          </w:tcPr>
          <w:p>
            <w:pPr>
              <w:spacing w:after="0"/>
              <w:rPr>
                <w:sz w:val="15"/>
                <w:szCs w:val="15"/>
                <w:color w:val="auto"/>
              </w:rPr>
            </w:pPr>
          </w:p>
        </w:tc>
        <w:tc>
          <w:tcPr>
            <w:tcW w:w="11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Currency Items</w:t>
            </w:r>
          </w:p>
        </w:tc>
        <w:tc>
          <w:tcPr>
            <w:tcW w:w="50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5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5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0" w:type="dxa"/>
            <w:vAlign w:val="bottom"/>
          </w:tcPr>
          <w:p>
            <w:pPr>
              <w:spacing w:after="0"/>
              <w:rPr>
                <w:sz w:val="1"/>
                <w:szCs w:val="1"/>
                <w:color w:val="auto"/>
              </w:rPr>
            </w:pPr>
          </w:p>
        </w:tc>
      </w:tr>
      <w:tr>
        <w:trPr>
          <w:trHeight w:val="210"/>
        </w:trPr>
        <w:tc>
          <w:tcPr>
            <w:tcW w:w="5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amounts were reclassified out of accumulated other comprehensive income during the three months ended March 31,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and Grants Revenue</w:t>
      </w:r>
    </w:p>
    <w:p>
      <w:pPr>
        <w:spacing w:after="0" w:line="227"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The Company has entered into agreements with Rockefeller University (“Rockefeller”) pursuant to which the Company performs manufacturing and research and development services on a time-and-materials basis or at a negotiated fixed-price. The Company recognized $0.0 million and $0.6 million in revenue under the agreements with Rockefeller during the three months ended March 31, 2026, and 2025,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22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At March 31, 2026 and December 31, 2025, the Company’s right to consideration under all contracts were considered unconditional, and as such, no contract assets were recorded. Accordingly, amounts billed but not yet paid by customers were recorded as trade receivables at March 31, 2026 and December 31, 2025.</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At March 31, 2026, the Company had $1.8 million in contract liabilities recorded, representing consideration billed in advance of performing manufacturing and research and development services. The Company expects to recognize this amount as revenue over the next 24 months as the related services are performed. At December 31, 2025, the Company had $1.8 million in contract liabilities recorded. No revenue was recognized from contract liabilities as of December 31, 2025 during the three months ended March 31, 2026.</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United States. The OBBBA includes significant corporate tax reforms, including (i) the permanent reinstatement of deducting domestic research and development expenditures as incurred (under prior law such expenditures were capitalized and amortized over five years) and (ii) the option to claim 100% accelerated depreciation deductions on qualified property. The corporate tax changes included in the OBBBA did not have a material impact on our effective income tax rate during the three months ended March 31, 2026, and we do not anticipate a material impact on our effective income tax rate in future periods.</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the realizability of its net deferred tax assets and considered its history of losses, ultimately concluding that it is “more likely than not” that the Company will not recognize the benefits of federal, state and foreign deferred tax assets and, as such, has maintained a full valuation allowance on its deferred tax assets as of March 31, 2026 and December 31, 2025.</w:t>
      </w:r>
    </w:p>
    <w:p>
      <w:pPr>
        <w:spacing w:after="0" w:line="180"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net deferred tax liability of $1.6 million at March 31, 2026 and December 31, 2025 relates to the temporary differences associated with the IPR&amp;D intangible assets acquired in previous business combinations and is not deductible for tax purposes.</w:t>
      </w:r>
    </w:p>
    <w:p>
      <w:pPr>
        <w:spacing w:after="0" w:line="162" w:lineRule="exact"/>
        <w:rPr>
          <w:sz w:val="20"/>
          <w:szCs w:val="20"/>
          <w:color w:val="auto"/>
        </w:rPr>
      </w:pPr>
    </w:p>
    <w:p>
      <w:pPr>
        <w:ind w:right="60" w:firstLine="648"/>
        <w:spacing w:after="0" w:line="312" w:lineRule="auto"/>
        <w:rPr>
          <w:sz w:val="20"/>
          <w:szCs w:val="20"/>
          <w:color w:val="auto"/>
        </w:rPr>
      </w:pPr>
      <w:r>
        <w:rPr>
          <w:rFonts w:ascii="Times New Roman" w:cs="Times New Roman" w:eastAsia="Times New Roman" w:hAnsi="Times New Roman"/>
          <w:sz w:val="17"/>
          <w:szCs w:val="17"/>
          <w:color w:val="auto"/>
        </w:rPr>
        <w:t>Massachusetts, New Jersey, New York and Connecticut are the jurisdictions in which the Company primarily operates or has operated and has income tax nexus. The Company is not currently under examination by these or any other jurisdictions for any tax year.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In periods in which the Company reports a net loss, there is no difference between basic and diluted net loss per share because dilutive shares of common stock are not assumed to have been issued as their effect is anti-dilutive. The potentially dilutive common shares that have not been included in the net loss per common share calculations because the effect would have been anti-dilutive are as follows:</w:t>
      </w:r>
    </w:p>
    <w:p>
      <w:pPr>
        <w:spacing w:after="0" w:line="196"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7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122"/>
        </w:trPr>
        <w:tc>
          <w:tcPr>
            <w:tcW w:w="7680" w:type="dxa"/>
            <w:vAlign w:val="bottom"/>
            <w:gridSpan w:val="2"/>
          </w:tcPr>
          <w:p>
            <w:pPr>
              <w:ind w:left="74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315"/>
              <w:spacing w:after="0" w:line="12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right"/>
              <w:ind w:right="315"/>
              <w:spacing w:after="0" w:line="12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7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9,071,603</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7,498,748</w:t>
            </w:r>
          </w:p>
        </w:tc>
      </w:tr>
      <w:tr>
        <w:trPr>
          <w:trHeight w:val="216"/>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5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9,071,603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7,498,748</w:t>
            </w:r>
          </w:p>
        </w:tc>
      </w:tr>
      <w:tr>
        <w:trPr>
          <w:trHeight w:val="20"/>
        </w:trPr>
        <w:tc>
          <w:tcPr>
            <w:tcW w:w="7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Kolltan Acquisition</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November 29, 2016, the Company acquired all of the share and debt interests of Kolltan, a clinical-stage biopharmaceutical company, in exchange for 1,217,200 shares of the Company’s common stock plus contingent consideration in the form of development, regulatory approval and sales-based milestones (“Kolltan Milestones”) of up to $172.5 million payable in cash, in shares of Celldex’s common stock or a combination of both, in the sole discretion of Celldex and subject to provisions of the Agreement and Plan of Merger, dated November 1, 2016 (the “Merger Agreement”).</w:t>
      </w:r>
    </w:p>
    <w:p>
      <w:pPr>
        <w:spacing w:after="0" w:line="18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October 2019, the Company received a letter from SRS, the hired representative of the former stockholders of Kolltan, notifying the Company that it objected to the Company’s characterization of the development, regulatory approval and sales-based Kolltan Milestones relating to CDX-0158 as having been abandoned and contending instead that the related milestone payments are due from Celldex to the Kolltan stockholder.</w:t>
      </w:r>
    </w:p>
    <w:p>
      <w:pPr>
        <w:spacing w:after="0" w:line="18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On August 18, 2020, Celldex filed a Verified Complaint in the Court of Chancery of the State of Delaware against SRS (acting in its capacity as the representative of the former stockholders of Kolltan pursuant to the Merger Agreement) seeking declaratory relief with respect to the rights and obligations of the parties relating to certain contingent milestone payments under the Merger Agreement relating to the discontinued CDX-0158 program (the “Litigation”).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July 15, 2022, the Company entered into a definitive settlement agreement between the Company and SRS (the “Settlement Agreement”) and the Company and SRS jointly filed a Stipulation of Dismissal with prejudice relating to the Litigation on July 19, 2022.</w:t>
      </w:r>
    </w:p>
    <w:p>
      <w:pPr>
        <w:spacing w:after="0" w:line="162"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Pursuant to the terms of the Settlement Agreement, all milestone payments provided for by the Merger Agreement were replaced in their entirety with the following payments, each of which is payable only once:</w:t>
      </w:r>
    </w:p>
    <w:p>
      <w:pPr>
        <w:spacing w:after="0" w:line="162" w:lineRule="exact"/>
        <w:rPr>
          <w:sz w:val="20"/>
          <w:szCs w:val="20"/>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paid $15.0 million upon execution of the Settlement Agreement (the “Initial Payment”).</w:t>
      </w:r>
    </w:p>
    <w:p>
      <w:pPr>
        <w:spacing w:after="0" w:line="225" w:lineRule="exact"/>
        <w:rPr>
          <w:rFonts w:ascii="Times New Roman" w:cs="Times New Roman" w:eastAsia="Times New Roman" w:hAnsi="Times New Roman"/>
          <w:sz w:val="18"/>
          <w:szCs w:val="18"/>
          <w:color w:val="auto"/>
        </w:rPr>
      </w:pPr>
    </w:p>
    <w:p>
      <w:pPr>
        <w:ind w:left="1000" w:right="200" w:hanging="317"/>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paid $12.5 million upon the Successful Completion (as defined in the Settlement Agreement) of a Phase 2 Clinical Trial (as defined in the Merger Agreement) of barzolvolimab.</w:t>
      </w:r>
    </w:p>
    <w:p>
      <w:pPr>
        <w:spacing w:after="0" w:line="161" w:lineRule="exact"/>
        <w:rPr>
          <w:rFonts w:ascii="Times New Roman" w:cs="Times New Roman" w:eastAsia="Times New Roman" w:hAnsi="Times New Roman"/>
          <w:sz w:val="18"/>
          <w:szCs w:val="18"/>
          <w:color w:val="auto"/>
        </w:rPr>
      </w:pPr>
    </w:p>
    <w:p>
      <w:pPr>
        <w:jc w:val="both"/>
        <w:ind w:left="1000" w:right="160" w:hanging="317"/>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$52.5 million upon the first United States Food and Drug Administration or European Medicines Agency, or, in each case, any successor organization, regulatory approval of a Surviving Company Product (as defined in the Settlement Agreement).</w:t>
      </w:r>
    </w:p>
    <w:p>
      <w:pPr>
        <w:spacing w:after="0" w:line="17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above payment obligations replace, in their entirety, the contingent consideration in the form of development, regulatory approval and sales-based milestones of up to $172.5 million contained in the Merger Agreement.</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Under the Settlement Agreement, each of the Company and SRS provided broad mutual releases of all claims relating to or arising out of the Merger Agreement, including without limitation, all claims brought in the Litigation or that could have been brought in the Litigation.</w:t>
      </w:r>
    </w:p>
    <w:p>
      <w:pPr>
        <w:spacing w:after="0" w:line="176" w:lineRule="exact"/>
        <w:rPr>
          <w:sz w:val="20"/>
          <w:szCs w:val="20"/>
          <w:color w:val="auto"/>
        </w:rPr>
      </w:pPr>
    </w:p>
    <w:p>
      <w:pPr>
        <w:ind w:right="820" w:firstLine="648"/>
        <w:spacing w:after="0" w:line="282" w:lineRule="auto"/>
        <w:rPr>
          <w:sz w:val="20"/>
          <w:szCs w:val="20"/>
          <w:color w:val="auto"/>
        </w:rPr>
      </w:pPr>
      <w:r>
        <w:rPr>
          <w:rFonts w:ascii="Times New Roman" w:cs="Times New Roman" w:eastAsia="Times New Roman" w:hAnsi="Times New Roman"/>
          <w:sz w:val="18"/>
          <w:szCs w:val="18"/>
          <w:color w:val="auto"/>
        </w:rPr>
        <w:t>The Company paid the Initial Payment in cash in July 2022. The Company paid the second milestone for “successful completion” of a Phase 2 Clinical Trial of barzolvolimab in cash in November 2023.</w:t>
      </w:r>
    </w:p>
    <w:p>
      <w:pPr>
        <w:spacing w:after="0" w:line="16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 future milestone payment related to the barzolvolimab program, which was subject to the Litigation, will be recorded when and if payment becomes probable and reasonably estimable in accordance with the loss contingency model under ASC 450. A future milestone payment related to the remaining Surviving Company Products is measured at fair value (refer to Note 4). When and if the remaining payment described above becomes due, it shall be payable, at the Company’s sole election, in either cash or stock (as set forth in the Merger Agreement) or a combination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p>
    <w:p>
      <w:pPr>
        <w:spacing w:after="0" w:line="22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Safe Harbor Statement under the Private Securities Litigation Reform Act of 1995: </w:t>
      </w:r>
      <w:r>
        <w:rPr>
          <w:rFonts w:ascii="Times New Roman" w:cs="Times New Roman" w:eastAsia="Times New Roman" w:hAnsi="Times New Roman"/>
          <w:sz w:val="18"/>
          <w:szCs w:val="18"/>
          <w:color w:val="auto"/>
        </w:rPr>
        <w:t>This Quarterly Report on Form 10-Q</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contains forward-looking 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86"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62" w:lineRule="exact"/>
        <w:rPr>
          <w:sz w:val="20"/>
          <w:szCs w:val="20"/>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product candidates that are still in development stages;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research and further development, including preclinical and clinical studies;</w:t>
      </w:r>
    </w:p>
    <w:p>
      <w:pPr>
        <w:spacing w:after="0" w:line="238" w:lineRule="exact"/>
        <w:rPr>
          <w:rFonts w:ascii="Times New Roman" w:cs="Times New Roman" w:eastAsia="Times New Roman" w:hAnsi="Times New Roman"/>
          <w:sz w:val="18"/>
          <w:szCs w:val="18"/>
          <w:color w:val="auto"/>
        </w:rPr>
      </w:pPr>
    </w:p>
    <w:p>
      <w:pPr>
        <w:ind w:left="1000" w:right="360" w:hanging="317"/>
        <w:spacing w:after="0" w:line="297"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timing for preclinical development, regulatory submissions, commencement and completion of clinical trials and product approvals;</w:t>
      </w:r>
    </w:p>
    <w:p>
      <w:pPr>
        <w:spacing w:after="0" w:line="162"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drug candidates and the growth of the markets for those drug candidates;</w:t>
      </w:r>
    </w:p>
    <w:p>
      <w:pPr>
        <w:spacing w:after="0" w:line="238" w:lineRule="exact"/>
        <w:rPr>
          <w:rFonts w:ascii="Times New Roman" w:cs="Times New Roman" w:eastAsia="Times New Roman" w:hAnsi="Times New Roman"/>
          <w:sz w:val="18"/>
          <w:szCs w:val="18"/>
          <w:color w:val="auto"/>
        </w:rPr>
      </w:pPr>
    </w:p>
    <w:p>
      <w:pPr>
        <w:ind w:left="1000" w:right="320" w:hanging="317"/>
        <w:spacing w:after="0" w:line="297"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products before competitors that are superior to the alternatives developed by such competitors;</w:t>
      </w:r>
    </w:p>
    <w:p>
      <w:pPr>
        <w:spacing w:after="0" w:line="162"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strategic partnerships, where appropriate, for our drug candidates;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multiple clinical trials for a variety of drug candidates at different stages of development;</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scope and results of ongoing preclinical and clinical testing;</w:t>
      </w:r>
    </w:p>
    <w:p>
      <w:pPr>
        <w:spacing w:after="0" w:line="238" w:lineRule="exact"/>
        <w:rPr>
          <w:rFonts w:ascii="Times New Roman" w:cs="Times New Roman" w:eastAsia="Times New Roman" w:hAnsi="Times New Roman"/>
          <w:sz w:val="18"/>
          <w:szCs w:val="18"/>
          <w:color w:val="auto"/>
        </w:rPr>
      </w:pPr>
    </w:p>
    <w:p>
      <w:pPr>
        <w:ind w:left="1000" w:hanging="317"/>
        <w:spacing w:after="0" w:line="297"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of the attributes of our product and development candidates, including pharmaceutical properties, efficacy, safety and dosing regimens;</w:t>
      </w:r>
    </w:p>
    <w:p>
      <w:pPr>
        <w:spacing w:after="0" w:line="162"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uncertainty of obtaining regulatory approvals for our drug candidates;</w:t>
      </w:r>
    </w:p>
    <w:p>
      <w:pPr>
        <w:spacing w:after="0" w:line="238" w:lineRule="exact"/>
        <w:rPr>
          <w:rFonts w:ascii="Times New Roman" w:cs="Times New Roman" w:eastAsia="Times New Roman" w:hAnsi="Times New Roman"/>
          <w:sz w:val="18"/>
          <w:szCs w:val="18"/>
          <w:color w:val="auto"/>
        </w:rPr>
      </w:pPr>
    </w:p>
    <w:p>
      <w:pPr>
        <w:ind w:left="1000" w:right="200" w:hanging="317"/>
        <w:spacing w:after="0" w:line="297"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delivery and quality of clinical management services provided by our clinical research organization partners;</w:t>
      </w:r>
    </w:p>
    <w:p>
      <w:pPr>
        <w:spacing w:after="0" w:line="162" w:lineRule="exact"/>
        <w:rPr>
          <w:rFonts w:ascii="Times New Roman" w:cs="Times New Roman" w:eastAsia="Times New Roman" w:hAnsi="Times New Roman"/>
          <w:sz w:val="18"/>
          <w:szCs w:val="18"/>
          <w:color w:val="auto"/>
        </w:rPr>
      </w:pPr>
    </w:p>
    <w:p>
      <w:pPr>
        <w:ind w:left="1000" w:right="120" w:hanging="317"/>
        <w:spacing w:after="0" w:line="297"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delivery and quality of clinical and commercial-grade materials produced by our own manufacturing facility or supplied by contract manufacturers, suppliers and partners;</w:t>
      </w:r>
    </w:p>
    <w:p>
      <w:pPr>
        <w:spacing w:after="0" w:line="162" w:lineRule="exact"/>
        <w:rPr>
          <w:rFonts w:ascii="Times New Roman" w:cs="Times New Roman" w:eastAsia="Times New Roman" w:hAnsi="Times New Roman"/>
          <w:sz w:val="18"/>
          <w:szCs w:val="18"/>
          <w:color w:val="auto"/>
        </w:rPr>
      </w:pPr>
    </w:p>
    <w:p>
      <w:pPr>
        <w:ind w:left="1000" w:right="320" w:hanging="317"/>
        <w:spacing w:after="0" w:line="297"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products before competitors that are superior to the alternatives developed by such competitors;</w:t>
      </w:r>
    </w:p>
    <w:p>
      <w:pPr>
        <w:spacing w:after="0" w:line="162" w:lineRule="exact"/>
        <w:rPr>
          <w:rFonts w:ascii="Times New Roman" w:cs="Times New Roman" w:eastAsia="Times New Roman" w:hAnsi="Times New Roman"/>
          <w:sz w:val="18"/>
          <w:szCs w:val="18"/>
          <w:color w:val="auto"/>
        </w:rPr>
      </w:pPr>
    </w:p>
    <w:p>
      <w:pPr>
        <w:ind w:left="1000" w:right="120" w:hanging="317"/>
        <w:spacing w:after="0" w:line="281"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technological capabilities, including identification of novel and clinically important targets, exploiting our existing technology platforms to develop new drug candidates and expand our focus to broader markets for our existing targeted therapeutics;</w:t>
      </w:r>
    </w:p>
    <w:p>
      <w:pPr>
        <w:sectPr>
          <w:pgSz w:w="11900" w:h="16838" w:orient="portrait"/>
          <w:cols w:equalWidth="0" w:num="1">
            <w:col w:w="9900"/>
          </w:cols>
          <w:pgMar w:left="980" w:top="661" w:right="1019" w:bottom="1440" w:gutter="0" w:footer="0" w:header="0"/>
        </w:sect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right="880" w:hanging="317"/>
        <w:spacing w:after="0" w:line="297"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paying the regulatory approval milestone under the merger agreement by which we acquired Kolltan Pharmaceuticals, Inc. (“Kolltan”) and our related settlement agreement with Kolltan;</w:t>
      </w:r>
    </w:p>
    <w:p>
      <w:pPr>
        <w:spacing w:after="0" w:line="162" w:lineRule="exact"/>
        <w:rPr>
          <w:rFonts w:ascii="Times New Roman" w:cs="Times New Roman" w:eastAsia="Times New Roman" w:hAnsi="Times New Roman"/>
          <w:sz w:val="18"/>
          <w:szCs w:val="18"/>
          <w:color w:val="auto"/>
        </w:rPr>
      </w:pPr>
    </w:p>
    <w:p>
      <w:pPr>
        <w:ind w:left="1000" w:right="60" w:hanging="317"/>
        <w:spacing w:after="0" w:line="27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sufficient capital to fund our preclinical and clinical studies and to meet our long-term liquidity needs, on terms acceptable to us, or at all. If we are unable to raise the funds necessary to meet our long-term liquidity needs, we may have to delay or discontinue the development of one or more programs, discontinue or delay ongoing or anticipated clinical trials, discontinue or delay our commercial manufacturing efforts, discontinue or delay our efforts to expand into additional indications for our drug product candidates, license out programs earlier than expected, raise funds at significant discount or on other unfavorable terms, if at all, or sell all or part of our business;</w:t>
      </w:r>
    </w:p>
    <w:p>
      <w:pPr>
        <w:spacing w:after="0" w:line="185" w:lineRule="exact"/>
        <w:rPr>
          <w:rFonts w:ascii="Times New Roman" w:cs="Times New Roman" w:eastAsia="Times New Roman" w:hAnsi="Times New Roman"/>
          <w:sz w:val="18"/>
          <w:szCs w:val="18"/>
          <w:color w:val="auto"/>
        </w:rPr>
      </w:pPr>
    </w:p>
    <w:p>
      <w:pPr>
        <w:ind w:left="1000" w:right="240" w:hanging="317"/>
        <w:spacing w:after="0" w:line="297"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and our ability to avoid intellectual property litigation, which can be costly and divert management time and attention;</w:t>
      </w:r>
    </w:p>
    <w:p>
      <w:pPr>
        <w:spacing w:after="0" w:line="162"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products without infringing the intellectual property rights of third parties; and</w:t>
      </w:r>
    </w:p>
    <w:p>
      <w:pPr>
        <w:spacing w:after="0" w:line="238" w:lineRule="exact"/>
        <w:rPr>
          <w:rFonts w:ascii="Times New Roman" w:cs="Times New Roman" w:eastAsia="Times New Roman" w:hAnsi="Times New Roman"/>
          <w:sz w:val="18"/>
          <w:szCs w:val="18"/>
          <w:color w:val="auto"/>
        </w:rPr>
      </w:pPr>
    </w:p>
    <w:p>
      <w:pPr>
        <w:ind w:left="1000" w:right="100" w:hanging="317"/>
        <w:spacing w:after="0" w:line="27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factors set forth elsewhere in this Quarterly Report on Form 10-Q and the factors listed under the headings “Business,” “Risk Factors” and “Management’s Discussion and Analysis of Financial Condition and Results of Operations” in our Annual Report on Form 10-K for the year ended December 31, 2025 and other reports that we file with the SEC</w:t>
      </w:r>
      <w:r>
        <w:rPr>
          <w:rFonts w:ascii="Times New Roman" w:cs="Times New Roman" w:eastAsia="Times New Roman" w:hAnsi="Times New Roman"/>
          <w:sz w:val="18"/>
          <w:szCs w:val="18"/>
          <w:i w:val="1"/>
          <w:iCs w:val="1"/>
          <w:color w:val="auto"/>
        </w:rPr>
        <w:t>.</w:t>
      </w:r>
    </w:p>
    <w:p>
      <w:pPr>
        <w:spacing w:after="0" w:line="18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are a biopharmaceutical company dedicated to developing novel antibody-based treatments that engage the human immune system and directly affect critical pathways to improve the lives of patients with allergic, inflammatory and autoimmune disorders. Our drug candidates include monoclonal and bispecific antibodies designed to address mast cell mediated diseases for which available treatments are inadequate.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focusing our efforts and resources on the continued research and development of</w:t>
      </w:r>
    </w:p>
    <w:p>
      <w:pPr>
        <w:spacing w:after="0" w:line="225" w:lineRule="exact"/>
        <w:rPr>
          <w:sz w:val="20"/>
          <w:szCs w:val="20"/>
          <w:color w:val="auto"/>
        </w:rPr>
      </w:pPr>
    </w:p>
    <w:p>
      <w:pPr>
        <w:ind w:left="1000" w:hanging="317"/>
        <w:spacing w:after="0" w:line="297"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Barzolvolimab (also referred to as CDX-0159), a monoclonal antibody that specifically binds the KIT receptor and potently inhibits its activity, which is currently being studied across multiple mast cell driven diseases including</w:t>
      </w:r>
    </w:p>
    <w:p>
      <w:pPr>
        <w:spacing w:after="0" w:line="162" w:lineRule="exact"/>
        <w:rPr>
          <w:rFonts w:ascii="Times New Roman" w:cs="Times New Roman" w:eastAsia="Times New Roman" w:hAnsi="Times New Roman"/>
          <w:sz w:val="18"/>
          <w:szCs w:val="18"/>
          <w:color w:val="auto"/>
        </w:rPr>
      </w:pPr>
    </w:p>
    <w:p>
      <w:pPr>
        <w:ind w:left="1340" w:right="60" w:hanging="333"/>
        <w:spacing w:after="0" w:line="253" w:lineRule="auto"/>
        <w:tabs>
          <w:tab w:leader="none" w:pos="13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Chronic Spontaneous Urticaria (CSU): In February 2026, we announced that enrollment is complete in our Phase 3 studies in CSU and that topline data will be available in the fourth quarter of 2026. 1,939 patients were enrolled—the largest program conducted in antihistamine refractory CSU, including patients with advanced therapy experienced/refractory CSU. In November 2023, we announced that our Phase 2 study in CSU achieved the primary efficacy endpoint (statistically significant mean change from baseline to Week 12 of urticaria activity score compared to placebo) and was well tolerated. Patients on study continued to receive barzolvolimab and, in September 2024, we reported data from 52 weeks of treatment—demonstrating sustained and deepening disease efficacy and a well tolerated long term safety profile. In June 2025, Celldex presented longer term follow up data from the study. At 76 weeks, 7 months after the completion of dosing with barzolvolimab, over 40% of patients (150 mg Q4W) continued to experience profound, sustained complete response and clinically meaningful improvements in quality of life and angioedema;</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340" w:right="40" w:hanging="333"/>
        <w:spacing w:after="0" w:line="255"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Cold Urticaria (ColdU) and Symptomatic Dermographism (SD): We initiated a Phase 3 study in ColdU and SD in December 2025 and enrollment is ongoing. In July 2024, we announced that our Phase 2 study being conducted in two forms of chronic inducible urticaria (CIndU), ColdU and SD, achieved the primary efficacy endpoint (statistically significant difference between the percent of patients with a negative provocation test compared to placebo at Week</w:t>
      </w:r>
    </w:p>
    <w:p>
      <w:pPr>
        <w:spacing w:after="0" w:line="2" w:lineRule="exact"/>
        <w:rPr>
          <w:rFonts w:ascii="Times New Roman" w:cs="Times New Roman" w:eastAsia="Times New Roman" w:hAnsi="Times New Roman"/>
          <w:sz w:val="18"/>
          <w:szCs w:val="18"/>
          <w:color w:val="auto"/>
        </w:rPr>
      </w:pPr>
    </w:p>
    <w:p>
      <w:pPr>
        <w:ind w:left="13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and was well tolerated. 12 week data from the CIndU study were presented in October of 2024 and all secondary endpoints across the study were also met and were highly statistically significant and clinically meaningful. Patients on study continued to receive barzolvolimab and, in November 2025, we reported data from 20 weeks of treatment— demonstrating sustained efficacy and a well tolerated safety profile over the longer treatment period. In March 2026, we presented results that demonstrated that barzolvolimab re-treatment achieved similar profound efficacy to first exposure in patients with ColdU and SD;</w:t>
      </w:r>
    </w:p>
    <w:p>
      <w:pPr>
        <w:spacing w:after="0" w:line="149" w:lineRule="exact"/>
        <w:rPr>
          <w:rFonts w:ascii="Times New Roman" w:cs="Times New Roman" w:eastAsia="Times New Roman" w:hAnsi="Times New Roman"/>
          <w:sz w:val="18"/>
          <w:szCs w:val="18"/>
          <w:color w:val="auto"/>
        </w:rPr>
      </w:pPr>
    </w:p>
    <w:p>
      <w:pPr>
        <w:ind w:left="1340" w:right="60" w:hanging="333"/>
        <w:spacing w:after="0" w:line="266"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Prurigo Nodularis (PN): In April 2024, we initiated a Phase 2 study in PN and enrollment was completed in December 2025. Topline data from the study is expected in summer 2026. Positive data from a Phase 1b study in PN was reported in November 2023; and</w:t>
      </w:r>
    </w:p>
    <w:p>
      <w:pPr>
        <w:spacing w:after="0" w:line="148" w:lineRule="exact"/>
        <w:rPr>
          <w:rFonts w:ascii="Times New Roman" w:cs="Times New Roman" w:eastAsia="Times New Roman" w:hAnsi="Times New Roman"/>
          <w:sz w:val="18"/>
          <w:szCs w:val="18"/>
          <w:color w:val="auto"/>
        </w:rPr>
      </w:pPr>
    </w:p>
    <w:p>
      <w:pPr>
        <w:ind w:left="1340" w:right="360" w:hanging="333"/>
        <w:spacing w:after="0" w:line="282"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Atopic Dermatitis (AD): A Phase 2 study in AD was initiated in December 2024 and enrollment was completed in January 2026. Topline data from the study is expected in late 2026.</w:t>
      </w:r>
    </w:p>
    <w:p>
      <w:pPr>
        <w:spacing w:after="0" w:line="121" w:lineRule="exact"/>
        <w:rPr>
          <w:rFonts w:ascii="Times New Roman" w:cs="Times New Roman" w:eastAsia="Times New Roman" w:hAnsi="Times New Roman"/>
          <w:sz w:val="18"/>
          <w:szCs w:val="18"/>
          <w:color w:val="auto"/>
        </w:rPr>
      </w:pPr>
    </w:p>
    <w:p>
      <w:pPr>
        <w:ind w:left="1000" w:hanging="317"/>
        <w:spacing w:after="0" w:line="261"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next generation bispecific antibody platform to support pipeline expansion with additional candidates for inflammatory diseases. Targets are being selected based on new science as well as their compatibility to be used in bispecific antibody formats with our existing antibody programs. Development is focused on emerging, important pathways controlling inflammatory diseases.</w:t>
      </w:r>
    </w:p>
    <w:p>
      <w:pPr>
        <w:spacing w:after="0" w:line="179" w:lineRule="exact"/>
        <w:rPr>
          <w:rFonts w:ascii="Times New Roman" w:cs="Times New Roman" w:eastAsia="Times New Roman" w:hAnsi="Times New Roman"/>
          <w:sz w:val="18"/>
          <w:szCs w:val="18"/>
          <w:color w:val="auto"/>
        </w:rPr>
      </w:pPr>
    </w:p>
    <w:p>
      <w:pPr>
        <w:ind w:left="1340" w:right="140" w:hanging="333"/>
        <w:spacing w:after="0" w:line="254"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CDX-622 (TSLP &amp; SCF): Our first bispecific candidate for inflammatory diseases is CDX-622 which targets two complementary pathways that drive chronic inflammation, potently neutralizing the alarmin thymic stromal lymphopoietin (TSLP) and depleting mast cells via stem cell factor (SCF) starvation. In November 2024, a multi-part Phase 1a dose-escalation study in healthy volunteers was initiated and enrollment was completed across all parts in January 2026. Positive data from the single ascending dose portion of the study was presented in October 2025. Data from the multiple ascending dose portion of the study and from the subcutaneous administration portion of the study are anticipated in the third quarter of 2026. In January 2026, we initiated an open-label, single-dose Phase 1 proof of mechanism study in adults with mild to moderate asthma.</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More detail on these programs is provided in the Clinical Development Programs section.</w:t>
      </w:r>
    </w:p>
    <w:p>
      <w:pPr>
        <w:spacing w:after="0" w:line="19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strategy is to build a fully integrated, commercial-stage biopharmaceutical company that develops important therapies for patients with unmet medical needs. We believe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w:t>
      </w:r>
    </w:p>
    <w:p>
      <w:pPr>
        <w:spacing w:after="0" w:line="14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drug candidate. It is not unusual for the clinical development of these types of drug candidates to each take five years or more, and total development costs could exceed hundreds of millions of dollars for each drug candidate. We estimate that clinical trials of the type we generally conduct are typically completed over the following timelines: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3"/>
                <w:szCs w:val="13"/>
                <w:color w:val="auto"/>
              </w:rPr>
            </w:pPr>
          </w:p>
        </w:tc>
        <w:tc>
          <w:tcPr>
            <w:tcW w:w="2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8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Clinical Phase</w:t>
            </w:r>
          </w:p>
        </w:tc>
        <w:tc>
          <w:tcPr>
            <w:tcW w:w="12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Completion</w:t>
            </w:r>
          </w:p>
        </w:tc>
        <w:tc>
          <w:tcPr>
            <w:tcW w:w="0" w:type="dxa"/>
            <w:vAlign w:val="bottom"/>
          </w:tcPr>
          <w:p>
            <w:pPr>
              <w:spacing w:after="0"/>
              <w:rPr>
                <w:sz w:val="1"/>
                <w:szCs w:val="1"/>
                <w:color w:val="auto"/>
              </w:rPr>
            </w:pPr>
          </w:p>
        </w:tc>
      </w:tr>
      <w:tr>
        <w:trPr>
          <w:trHeight w:val="173"/>
        </w:trPr>
        <w:tc>
          <w:tcPr>
            <w:tcW w:w="8660" w:type="dxa"/>
            <w:vAlign w:val="bottom"/>
            <w:gridSpan w:val="2"/>
            <w:vMerge w:val="continue"/>
          </w:tcPr>
          <w:p>
            <w:pPr>
              <w:spacing w:after="0"/>
              <w:rPr>
                <w:sz w:val="15"/>
                <w:szCs w:val="15"/>
                <w:color w:val="auto"/>
              </w:rPr>
            </w:pPr>
          </w:p>
        </w:tc>
        <w:tc>
          <w:tcPr>
            <w:tcW w:w="126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8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Phase 1</w:t>
            </w:r>
          </w:p>
        </w:tc>
        <w:tc>
          <w:tcPr>
            <w:tcW w:w="2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 – 2 Years</w:t>
            </w:r>
          </w:p>
        </w:tc>
        <w:tc>
          <w:tcPr>
            <w:tcW w:w="0" w:type="dxa"/>
            <w:vAlign w:val="bottom"/>
          </w:tcPr>
          <w:p>
            <w:pPr>
              <w:spacing w:after="0"/>
              <w:rPr>
                <w:sz w:val="1"/>
                <w:szCs w:val="1"/>
                <w:color w:val="auto"/>
              </w:rPr>
            </w:pP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Phase 2</w:t>
            </w:r>
          </w:p>
        </w:tc>
        <w:tc>
          <w:tcPr>
            <w:tcW w:w="1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 – 5 Years</w:t>
            </w: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Phase 3</w:t>
            </w:r>
          </w:p>
        </w:tc>
        <w:tc>
          <w:tcPr>
            <w:tcW w:w="1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 – 5 Years</w:t>
            </w:r>
          </w:p>
        </w:tc>
        <w:tc>
          <w:tcPr>
            <w:tcW w:w="0" w:type="dxa"/>
            <w:vAlign w:val="bottom"/>
          </w:tcPr>
          <w:p>
            <w:pPr>
              <w:spacing w:after="0"/>
              <w:rPr>
                <w:sz w:val="1"/>
                <w:szCs w:val="1"/>
                <w:color w:val="auto"/>
              </w:rPr>
            </w:pPr>
          </w:p>
        </w:tc>
      </w:tr>
      <w:tr>
        <w:trPr>
          <w:trHeight w:val="864"/>
        </w:trPr>
        <w:tc>
          <w:tcPr>
            <w:tcW w:w="8400" w:type="dxa"/>
            <w:vAlign w:val="bottom"/>
          </w:tcPr>
          <w:p>
            <w:pPr>
              <w:ind w:left="4880"/>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8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21" w:lineRule="exact"/>
        <w:rPr>
          <w:sz w:val="20"/>
          <w:szCs w:val="20"/>
          <w:color w:val="auto"/>
        </w:rPr>
      </w:pPr>
    </w:p>
    <w:p>
      <w:pPr>
        <w:ind w:left="1000" w:hanging="317"/>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ultimately participate in the trial;</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follow-up that seems appropriate in view of results;</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sites included in the trials;</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suitable patient subjects; and</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drug candidate.</w:t>
      </w:r>
    </w:p>
    <w:p>
      <w:pPr>
        <w:spacing w:after="0" w:line="225"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We test potential drug candidates in numerous preclinical studies for safety, toxicology and immunogenicity. We may then conduct multiple clinical trials for each drug candidate. As we obtain results from trials, we may elect to discontinue or delay clinical trials for certain drug candidates in order to focus our resources on more promising drug candidates.</w:t>
      </w:r>
    </w:p>
    <w:p>
      <w:pPr>
        <w:spacing w:after="0" w:line="176" w:lineRule="exact"/>
        <w:rPr>
          <w:sz w:val="20"/>
          <w:szCs w:val="20"/>
          <w:color w:val="auto"/>
        </w:rPr>
      </w:pPr>
    </w:p>
    <w:p>
      <w:pPr>
        <w:ind w:right="180" w:firstLine="648"/>
        <w:spacing w:after="0" w:line="289" w:lineRule="auto"/>
        <w:rPr>
          <w:sz w:val="20"/>
          <w:szCs w:val="20"/>
          <w:color w:val="auto"/>
        </w:rPr>
      </w:pPr>
      <w:r>
        <w:rPr>
          <w:rFonts w:ascii="Times New Roman" w:cs="Times New Roman" w:eastAsia="Times New Roman" w:hAnsi="Times New Roman"/>
          <w:sz w:val="17"/>
          <w:szCs w:val="17"/>
          <w:color w:val="auto"/>
        </w:rPr>
        <w:t>An element of our business strategy is to pursue the discovery, research and development of a broad portfolio of drug candidates. This is intended to allow us to diversify the risks associated with our research and development expenditures. To the extent we are unable to maintain a broad range of drug candidates, our dependence on the success of one or a few drug candidates increases.</w:t>
      </w:r>
    </w:p>
    <w:p>
      <w:pPr>
        <w:spacing w:after="0" w:line="15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Regulatory approval is required before we can market our drug candidates as therapeutic products. In order to proceed to subsequent clinical trial stages and to ultimately achieve regulatory approval, the regulatory agencies must conclude that our clinical data demonstrate that our product candidates are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Furthermore, our business strategy includes the option of entering into collaborative arrangements with third parties to complete the development and commercialization of our drug candidates. In the event that third parties take over the clinical trial process for one of our drug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8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7"/>
          <w:szCs w:val="17"/>
          <w:color w:val="auto"/>
        </w:rPr>
        <w:t>During the past five years through December 31, 2025, we incurred an aggregate of $662.2 million in research and development expenses. The following table indicates the amount incurred for each of our significant research programs and for other identified research and development activities during the three months ended March 31, 2026 and 2025. The amounts disclosed in the following table reflect direct research and development costs and an allocation of indirect research and development costs to each program.</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240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6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2400" w:type="dxa"/>
            <w:vAlign w:val="bottom"/>
            <w:gridSpan w:val="2"/>
            <w:vMerge w:val="continue"/>
          </w:tcPr>
          <w:p>
            <w:pPr>
              <w:spacing w:after="0"/>
              <w:rPr>
                <w:sz w:val="15"/>
                <w:szCs w:val="15"/>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60" w:type="dxa"/>
            <w:vAlign w:val="bottom"/>
            <w:gridSpan w:val="4"/>
            <w:vMerge w:val="continue"/>
          </w:tcPr>
          <w:p>
            <w:pPr>
              <w:spacing w:after="0"/>
              <w:rPr>
                <w:sz w:val="15"/>
                <w:szCs w:val="15"/>
                <w:color w:val="auto"/>
              </w:rPr>
            </w:pPr>
          </w:p>
        </w:tc>
        <w:tc>
          <w:tcPr>
            <w:tcW w:w="122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7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780" w:type="dxa"/>
            <w:vAlign w:val="bottom"/>
            <w:gridSpan w:val="6"/>
          </w:tcPr>
          <w:p>
            <w:pPr>
              <w:jc w:val="right"/>
              <w:ind w:right="938"/>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Barzolvolimab/Anti-KIT Program</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62,164</w:t>
            </w:r>
          </w:p>
        </w:tc>
        <w:tc>
          <w:tcPr>
            <w:tcW w:w="3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39,703</w:t>
            </w:r>
          </w:p>
        </w:tc>
        <w:tc>
          <w:tcPr>
            <w:tcW w:w="0" w:type="dxa"/>
            <w:vAlign w:val="bottom"/>
          </w:tcPr>
          <w:p>
            <w:pPr>
              <w:spacing w:after="0"/>
              <w:rPr>
                <w:sz w:val="1"/>
                <w:szCs w:val="1"/>
                <w:color w:val="auto"/>
              </w:rPr>
            </w:pPr>
          </w:p>
        </w:tc>
      </w:tr>
      <w:tr>
        <w:trPr>
          <w:trHeight w:val="216"/>
        </w:trPr>
        <w:tc>
          <w:tcPr>
            <w:tcW w:w="4740" w:type="dxa"/>
            <w:vAlign w:val="bottom"/>
          </w:tcPr>
          <w:p>
            <w:pPr>
              <w:ind w:left="120"/>
              <w:spacing w:after="0" w:line="207" w:lineRule="exact"/>
              <w:rPr>
                <w:sz w:val="20"/>
                <w:szCs w:val="20"/>
                <w:color w:val="auto"/>
              </w:rPr>
            </w:pPr>
            <w:r>
              <w:rPr>
                <w:rFonts w:ascii="Times New Roman" w:cs="Times New Roman" w:eastAsia="Times New Roman" w:hAnsi="Times New Roman"/>
                <w:sz w:val="18"/>
                <w:szCs w:val="18"/>
                <w:color w:val="auto"/>
              </w:rPr>
              <w:t>CDX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622</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Programs</w:t>
            </w:r>
          </w:p>
        </w:tc>
        <w:tc>
          <w:tcPr>
            <w:tcW w:w="2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7,460</w:t>
            </w:r>
          </w:p>
        </w:tc>
        <w:tc>
          <w:tcPr>
            <w:tcW w:w="0" w:type="dxa"/>
            <w:vAlign w:val="bottom"/>
          </w:tcPr>
          <w:p>
            <w:pPr>
              <w:spacing w:after="0"/>
              <w:rPr>
                <w:sz w:val="1"/>
                <w:szCs w:val="1"/>
                <w:color w:val="auto"/>
              </w:rPr>
            </w:pP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R&amp;D Expense</w:t>
            </w:r>
          </w:p>
        </w:tc>
        <w:tc>
          <w:tcPr>
            <w:tcW w:w="2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73,001</w:t>
            </w:r>
          </w:p>
        </w:tc>
        <w:tc>
          <w:tcPr>
            <w:tcW w:w="220" w:type="dxa"/>
            <w:vAlign w:val="bottom"/>
            <w:gridSpan w:val="2"/>
          </w:tcPr>
          <w:p>
            <w:pPr>
              <w:spacing w:after="0"/>
              <w:rPr>
                <w:sz w:val="18"/>
                <w:szCs w:val="18"/>
                <w:color w:val="auto"/>
              </w:rPr>
            </w:pP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52,614</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 Programs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Barzolvolimab (also referred to as CDX-0159)</w:t>
      </w:r>
    </w:p>
    <w:p>
      <w:pPr>
        <w:spacing w:after="0" w:line="22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Barzolvolimab is a humanized monoclonal antibody that specifically binds the receptor tyrosine kinase KIT and potently inhibits its activity. KIT is expressed in a variety of cells, including mast cells, and its activation by its ligand SCF regulates mast cell growth, differentiation, survival, chemotaxis and degranulation. Barzolvolimab is designed to block KIT activation by disrupting both SCF binding and KIT dimerization. By targeting KIT, barzolvolimab has been shown to inhibit mast cell activity and decrease mast cell numbers, which we believe could provide potential clinical benefit in mast cell related diseases.</w:t>
      </w:r>
    </w:p>
    <w:p>
      <w:pPr>
        <w:spacing w:after="0" w:line="183"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Barzolvolimab was initially studied in chronic spontaneous urticaria (CSU) and chronic inducible urticaria (CIndU), diseases where mast cell degranulation plays a central role in the onset and progression of the disease.</w:t>
      </w:r>
    </w:p>
    <w:p>
      <w:pPr>
        <w:spacing w:after="0" w:line="162" w:lineRule="exact"/>
        <w:rPr>
          <w:sz w:val="20"/>
          <w:szCs w:val="20"/>
          <w:color w:val="auto"/>
        </w:rPr>
      </w:pPr>
    </w:p>
    <w:p>
      <w:pPr>
        <w:ind w:left="1000" w:right="200" w:hanging="317"/>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2024, we initiated two Phase 3 studies in CSU. In February 2026, we announced that we completed enrollment in the Phase 3 studies and that topline data is expected in the fourth quarter of 2026. Assuming positive Phase 3 data, the Company plans to file a BLA in 2027.</w:t>
      </w:r>
    </w:p>
    <w:p>
      <w:pPr>
        <w:spacing w:after="0" w:line="175" w:lineRule="exact"/>
        <w:rPr>
          <w:rFonts w:ascii="Times New Roman" w:cs="Times New Roman" w:eastAsia="Times New Roman" w:hAnsi="Times New Roman"/>
          <w:sz w:val="18"/>
          <w:szCs w:val="18"/>
          <w:color w:val="auto"/>
        </w:rPr>
      </w:pPr>
    </w:p>
    <w:p>
      <w:pPr>
        <w:ind w:left="1000" w:right="40" w:hanging="317"/>
        <w:spacing w:after="0" w:line="253"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Phase 2 study in CSU has been completed. The primary endpoint of the study was achieved—a statistically significant mean change from baseline to Week 12 of UAS7 (weekly urticaria activity score) compared to placebo. All secondary endpoints were also met and barzolvolimab was well tolerated. Up to 51% of patients on study had a complete response and were symptom free (UAS7=0; no itch/no hives) at 12 weeks, which continued to deepen over 52 weeks of active therapy to up to 71% of patients. This profound clinical benefit continued even after patients were off therapy with up to 41% of patients reporting complete response seven months after receiving their last dose. Patients also reported clinically meaningful improvements in angioedema control and quality of life. At 12 weeks, up to 65% of barzolvolimab treated patients were angioedema free (AAS7=0), which increased to up to 77% at Week 52 and remained at up to 64% seven months after last dose. At 12 weeks, up to 67% of patients treated with barzolvolimab reported their CSU had no impact on their quality of life (DLQI 0/1), which increased to up to 82% at Week 52 and remained at up to 48% seven months after last dose.</w:t>
      </w:r>
    </w:p>
    <w:p>
      <w:pPr>
        <w:spacing w:after="0" w:line="191" w:lineRule="exact"/>
        <w:rPr>
          <w:rFonts w:ascii="Times New Roman" w:cs="Times New Roman" w:eastAsia="Times New Roman" w:hAnsi="Times New Roman"/>
          <w:sz w:val="18"/>
          <w:szCs w:val="18"/>
          <w:color w:val="auto"/>
        </w:rPr>
      </w:pPr>
    </w:p>
    <w:p>
      <w:pPr>
        <w:ind w:left="1000" w:right="180" w:hanging="317"/>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2025, we initiated a Phase 3 study in two of the most common forms of CIndU—cold urticaria (ColdU) and symptomatic dermographism (SD).</w:t>
      </w:r>
    </w:p>
    <w:p>
      <w:pPr>
        <w:spacing w:after="0" w:line="161" w:lineRule="exact"/>
        <w:rPr>
          <w:rFonts w:ascii="Times New Roman" w:cs="Times New Roman" w:eastAsia="Times New Roman" w:hAnsi="Times New Roman"/>
          <w:sz w:val="18"/>
          <w:szCs w:val="18"/>
          <w:color w:val="auto"/>
        </w:rPr>
      </w:pPr>
    </w:p>
    <w:p>
      <w:pPr>
        <w:ind w:left="1000" w:right="40" w:hanging="317"/>
        <w:spacing w:after="0" w:line="255"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Phase 2 study in ColdU and SD has been completed. The primary endpoint of the study was achieved—a statistically significant difference between the percent of patients with a negative provocation test compared to placebo at Week 12. All secondary endpoints were also met and barzolvolimab was well tolerated. Sustained efficacy and a favorable safety profile were observed over the continued (20 week) placebo controlled treatment period. Patients were then followed for up to 24 additional weeks without treatment and patients with returning or continuing symptoms were eligible to enroll into an open label extension (OLE) where it was demonstrated that barzolvolimab re-treatment achieved similar profound efficacy to first exposure in patients with ColdU and SD.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Based on the positive results reported in urticaria, we expanded development of barzolvolimab into additional indications where mast cells are believed to play an important role. We are conducting ongoing Phase 2 studies in prurigo nodularis (PN) and atopic dermatitis (AD). We continue to assess potential opportunities for barzolvolimab in other diseases where mast cells play an important role, such as dermatologic, respiratory, allergic, gastrointestinal and ophthalmic conditions.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Chronic Spontaneous Urticaria (CSU) Summary of Phase 1 and Phase 2 Data</w:t>
      </w:r>
    </w:p>
    <w:p>
      <w:pPr>
        <w:spacing w:after="0" w:line="227" w:lineRule="exact"/>
        <w:rPr>
          <w:sz w:val="20"/>
          <w:szCs w:val="20"/>
          <w:color w:val="auto"/>
        </w:rPr>
      </w:pPr>
    </w:p>
    <w:p>
      <w:pPr>
        <w:jc w:val="both"/>
        <w:ind w:right="60" w:firstLine="648"/>
        <w:spacing w:after="0" w:line="257" w:lineRule="auto"/>
        <w:rPr>
          <w:sz w:val="20"/>
          <w:szCs w:val="20"/>
          <w:color w:val="auto"/>
        </w:rPr>
      </w:pPr>
      <w:r>
        <w:rPr>
          <w:rFonts w:ascii="Times New Roman" w:cs="Times New Roman" w:eastAsia="Times New Roman" w:hAnsi="Times New Roman"/>
          <w:sz w:val="18"/>
          <w:szCs w:val="18"/>
          <w:color w:val="auto"/>
        </w:rPr>
        <w:t>CSU presents as itchy hives, angioedema or both for at least six weeks without a specific trigger; multiple episodes can play out over years or even decades. It is one of the most frequent dermatologic diseases with a prevalence of 0.5-1.0% of the total population or up to approximately 1 to 3 million patients in the United States (Weller et al. 2010. Hautarzt. 61(8), Bartlett et al. 2018. DermNet.Org).</w:t>
      </w:r>
    </w:p>
    <w:p>
      <w:pPr>
        <w:spacing w:after="0" w:line="1" w:lineRule="exact"/>
        <w:rPr>
          <w:sz w:val="20"/>
          <w:szCs w:val="20"/>
          <w:color w:val="auto"/>
        </w:rPr>
      </w:pPr>
    </w:p>
    <w:p>
      <w:pPr>
        <w:ind w:right="420"/>
        <w:spacing w:after="0" w:line="255" w:lineRule="auto"/>
        <w:rPr>
          <w:sz w:val="20"/>
          <w:szCs w:val="20"/>
          <w:color w:val="auto"/>
        </w:rPr>
      </w:pPr>
      <w:r>
        <w:rPr>
          <w:rFonts w:ascii="Times New Roman" w:cs="Times New Roman" w:eastAsia="Times New Roman" w:hAnsi="Times New Roman"/>
          <w:sz w:val="18"/>
          <w:szCs w:val="18"/>
          <w:color w:val="auto"/>
        </w:rPr>
        <w:t>Approximately 50% of patients with CSU achieve symptomatic control with antihistamines. Currently approved advanced therapies address downstream mediators/mechanisms in CSU and do not provide symptom free complete control (absence of itch and hives, UAS7=0) in a majority of patients. Consequently, there is a need for additional therapies.</w:t>
      </w:r>
    </w:p>
    <w:p>
      <w:pPr>
        <w:spacing w:after="0" w:line="186"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Barzolvolimab uniquely targets the root cause of CSU—the mast cell. Based on results from completed Phase 1 and Phase 2 studies in CSU, barzolvolimab has the potential to offer symptom free complete control (absence of itch and hives, UAS7=0) and clinically meaningful improvements in quality of life and angioedema in a majority of patients.</w:t>
      </w:r>
    </w:p>
    <w:p>
      <w:pPr>
        <w:spacing w:after="0" w:line="176"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We have completed a Phase 1b randomized, double-blind, placebo-controlled multi-center study of barzolvolimab in CSU. The study was designed to assess the safety of multiple ascending doses of barzolvolimab in patients with CSU who remain symptomatic despite treatment with antihistamines. Secondary and exploratory objectives included pharmacokinetic and pharmacodynamic assessments, clinical activity outcomes and quality of life assessments. Barzolvolimab was administered intravenously as add on treatment to H1-antihistamines, either alone or in combination with H2-antihistamines and/or leukotriene receptor agonists. 45 patients with moderate to severe CSU refractory to antihistamines were enrolled and treated [35 barzolvolimab (n=9 in 0.5 mg/kg; n=8 in 1.5 mg/kg; n=9 in 3.0 mg/kg; n=9 in 4.5 mg/kg) and 10 placebo].</w:t>
      </w:r>
    </w:p>
    <w:p>
      <w:pPr>
        <w:spacing w:after="0" w:line="189" w:lineRule="exact"/>
        <w:rPr>
          <w:sz w:val="20"/>
          <w:szCs w:val="20"/>
          <w:color w:val="auto"/>
        </w:rPr>
      </w:pPr>
    </w:p>
    <w:p>
      <w:pPr>
        <w:ind w:right="120" w:firstLine="648"/>
        <w:spacing w:after="0" w:line="281" w:lineRule="auto"/>
        <w:rPr>
          <w:sz w:val="20"/>
          <w:szCs w:val="20"/>
          <w:color w:val="auto"/>
        </w:rPr>
      </w:pPr>
      <w:r>
        <w:rPr>
          <w:rFonts w:ascii="Times New Roman" w:cs="Times New Roman" w:eastAsia="Times New Roman" w:hAnsi="Times New Roman"/>
          <w:sz w:val="17"/>
          <w:szCs w:val="17"/>
          <w:color w:val="auto"/>
        </w:rPr>
        <w:t>At saturating doses (1.5 mg/kg and higher), barzolvolimab resulted in rapid, marked and durable responses in patients with moderate to severe CSU refractory to antihistamines. The 1.5 mg/kg, 3.0 mg/kg and 4.5 mg/kg dose groups showed similar markedly improved urticaria symptoms, including rapid onset of responses (as early as 1 week after the first dose) and prolonged disease control with sustained durability up to 24 weeks. Patients with prior omalizumab therapy also had similar symptom improvement as all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124460</wp:posOffset>
            </wp:positionV>
            <wp:extent cx="6301105" cy="15170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01105" cy="1517015"/>
                    </a:xfrm>
                    <a:prstGeom prst="rect">
                      <a:avLst/>
                    </a:prstGeom>
                    <a:noFill/>
                  </pic:spPr>
                </pic:pic>
              </a:graphicData>
            </a:graphic>
          </wp:anchor>
        </w:drawing>
      </w:r>
    </w:p>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Phase 1 CSU: Summary of Clinical Activity Assessments at Week 12 &amp; 24</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20" w:type="dxa"/>
            <w:vAlign w:val="bottom"/>
            <w:tcBorders>
              <w:top w:val="single" w:sz="8" w:color="auto"/>
              <w:bottom w:val="single" w:sz="8" w:color="auto"/>
              <w:right w:val="single" w:sz="8" w:color="auto"/>
            </w:tcBorders>
            <w:shd w:val="clear" w:color="auto" w:fill="CCEEFF"/>
          </w:tcPr>
          <w:p>
            <w:pPr>
              <w:spacing w:after="0"/>
              <w:rPr>
                <w:sz w:val="19"/>
                <w:szCs w:val="19"/>
                <w:color w:val="auto"/>
              </w:rPr>
            </w:pPr>
          </w:p>
        </w:tc>
        <w:tc>
          <w:tcPr>
            <w:tcW w:w="1720" w:type="dxa"/>
            <w:vAlign w:val="bottom"/>
            <w:tcBorders>
              <w:top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 mg/kg Q8</w:t>
            </w:r>
          </w:p>
        </w:tc>
        <w:tc>
          <w:tcPr>
            <w:tcW w:w="1820" w:type="dxa"/>
            <w:vAlign w:val="bottom"/>
            <w:tcBorders>
              <w:top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 mg/kg Q8</w:t>
            </w:r>
          </w:p>
        </w:tc>
        <w:tc>
          <w:tcPr>
            <w:tcW w:w="1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 mg/kg Q4</w:t>
            </w:r>
          </w:p>
        </w:tc>
        <w:tc>
          <w:tcPr>
            <w:tcW w:w="20" w:type="dxa"/>
            <w:vAlign w:val="bottom"/>
            <w:tcBorders>
              <w:top w:val="single" w:sz="8" w:color="auto"/>
              <w:bottom w:val="single" w:sz="8" w:color="auto"/>
            </w:tcBorders>
          </w:tcPr>
          <w:p>
            <w:pPr>
              <w:spacing w:after="0"/>
              <w:rPr>
                <w:sz w:val="19"/>
                <w:szCs w:val="19"/>
                <w:color w:val="auto"/>
              </w:rPr>
            </w:pPr>
          </w:p>
        </w:tc>
      </w:tr>
      <w:tr>
        <w:trPr>
          <w:trHeight w:val="223"/>
        </w:trPr>
        <w:tc>
          <w:tcPr>
            <w:tcW w:w="4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Mean Reduction Baseline UAS7; % at Week 12</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82% (n=9)</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67% (n=9)</w:t>
            </w: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67% (n=8)</w:t>
            </w:r>
          </w:p>
        </w:tc>
        <w:tc>
          <w:tcPr>
            <w:tcW w:w="20" w:type="dxa"/>
            <w:vAlign w:val="bottom"/>
            <w:tcBorders>
              <w:bottom w:val="single" w:sz="8" w:color="auto"/>
            </w:tcBorders>
          </w:tcPr>
          <w:p>
            <w:pPr>
              <w:spacing w:after="0"/>
              <w:rPr>
                <w:sz w:val="19"/>
                <w:szCs w:val="19"/>
                <w:color w:val="auto"/>
              </w:rPr>
            </w:pPr>
          </w:p>
        </w:tc>
      </w:tr>
      <w:tr>
        <w:trPr>
          <w:trHeight w:val="223"/>
        </w:trPr>
        <w:tc>
          <w:tcPr>
            <w:tcW w:w="44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Mean Reduction Baseline UAS7; % at Week 24</w:t>
            </w:r>
          </w:p>
        </w:tc>
        <w:tc>
          <w:tcPr>
            <w:tcW w:w="1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77% (n=7)</w:t>
            </w:r>
          </w:p>
        </w:tc>
        <w:tc>
          <w:tcPr>
            <w:tcW w:w="1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 (n=6)</w:t>
            </w:r>
          </w:p>
        </w:tc>
        <w:tc>
          <w:tcPr>
            <w:tcW w:w="1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80% (n=7)</w:t>
            </w:r>
          </w:p>
        </w:tc>
        <w:tc>
          <w:tcPr>
            <w:tcW w:w="20" w:type="dxa"/>
            <w:vAlign w:val="bottom"/>
            <w:tcBorders>
              <w:bottom w:val="single" w:sz="8" w:color="auto"/>
            </w:tcBorders>
          </w:tcPr>
          <w:p>
            <w:pPr>
              <w:spacing w:after="0"/>
              <w:rPr>
                <w:sz w:val="19"/>
                <w:szCs w:val="19"/>
                <w:color w:val="auto"/>
              </w:rPr>
            </w:pPr>
          </w:p>
        </w:tc>
      </w:tr>
      <w:tr>
        <w:trPr>
          <w:trHeight w:val="223"/>
        </w:trPr>
        <w:tc>
          <w:tcPr>
            <w:tcW w:w="4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UAS7=0 (Complete Control); % at Week 12</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67%</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44%</w:t>
            </w: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Borders>
              <w:bottom w:val="single" w:sz="8" w:color="auto"/>
            </w:tcBorders>
          </w:tcPr>
          <w:p>
            <w:pPr>
              <w:spacing w:after="0"/>
              <w:rPr>
                <w:sz w:val="19"/>
                <w:szCs w:val="19"/>
                <w:color w:val="auto"/>
              </w:rPr>
            </w:pPr>
          </w:p>
        </w:tc>
      </w:tr>
      <w:tr>
        <w:trPr>
          <w:trHeight w:val="223"/>
        </w:trPr>
        <w:tc>
          <w:tcPr>
            <w:tcW w:w="44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UAS7=0 (Complete Control); % at Week 24</w:t>
            </w:r>
          </w:p>
        </w:tc>
        <w:tc>
          <w:tcPr>
            <w:tcW w:w="1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67%</w:t>
            </w:r>
          </w:p>
        </w:tc>
        <w:tc>
          <w:tcPr>
            <w:tcW w:w="1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Borders>
              <w:bottom w:val="single" w:sz="8" w:color="auto"/>
            </w:tcBorders>
          </w:tcPr>
          <w:p>
            <w:pPr>
              <w:spacing w:after="0"/>
              <w:rPr>
                <w:sz w:val="19"/>
                <w:szCs w:val="19"/>
                <w:color w:val="auto"/>
              </w:rPr>
            </w:pPr>
          </w:p>
        </w:tc>
      </w:tr>
      <w:tr>
        <w:trPr>
          <w:trHeight w:val="223"/>
        </w:trPr>
        <w:tc>
          <w:tcPr>
            <w:tcW w:w="4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UAS7≤6 (Well-controlled); % at Week 12</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67%</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67%</w:t>
            </w: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Borders>
              <w:bottom w:val="single" w:sz="8" w:color="auto"/>
            </w:tcBorders>
          </w:tcPr>
          <w:p>
            <w:pPr>
              <w:spacing w:after="0"/>
              <w:rPr>
                <w:sz w:val="19"/>
                <w:szCs w:val="19"/>
                <w:color w:val="auto"/>
              </w:rPr>
            </w:pPr>
          </w:p>
        </w:tc>
      </w:tr>
      <w:tr>
        <w:trPr>
          <w:trHeight w:val="223"/>
        </w:trPr>
        <w:tc>
          <w:tcPr>
            <w:tcW w:w="44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UAS7≤6 (Well-controlled); % at Week 24</w:t>
            </w:r>
          </w:p>
        </w:tc>
        <w:tc>
          <w:tcPr>
            <w:tcW w:w="1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w:t>
            </w:r>
          </w:p>
        </w:tc>
        <w:tc>
          <w:tcPr>
            <w:tcW w:w="1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67%</w:t>
            </w:r>
          </w:p>
        </w:tc>
        <w:tc>
          <w:tcPr>
            <w:tcW w:w="1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Borders>
              <w:bottom w:val="single" w:sz="8" w:color="auto"/>
            </w:tcBorders>
          </w:tcPr>
          <w:p>
            <w:pPr>
              <w:spacing w:after="0"/>
              <w:rPr>
                <w:sz w:val="19"/>
                <w:szCs w:val="19"/>
                <w:color w:val="auto"/>
              </w:rPr>
            </w:pPr>
          </w:p>
        </w:tc>
      </w:tr>
      <w:tr>
        <w:trPr>
          <w:trHeight w:val="223"/>
        </w:trPr>
        <w:tc>
          <w:tcPr>
            <w:tcW w:w="4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UCT ≥ 12 (Well-controlled); % at Week 12</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89%</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63%</w:t>
            </w: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Borders>
              <w:bottom w:val="single" w:sz="8" w:color="auto"/>
            </w:tcBorders>
          </w:tcPr>
          <w:p>
            <w:pPr>
              <w:spacing w:after="0"/>
              <w:rPr>
                <w:sz w:val="19"/>
                <w:szCs w:val="19"/>
                <w:color w:val="auto"/>
              </w:rPr>
            </w:pPr>
          </w:p>
        </w:tc>
      </w:tr>
      <w:tr>
        <w:trPr>
          <w:trHeight w:val="223"/>
        </w:trPr>
        <w:tc>
          <w:tcPr>
            <w:tcW w:w="44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UCT ≥ 12 (Well-controlled); % at Week 24</w:t>
            </w:r>
          </w:p>
        </w:tc>
        <w:tc>
          <w:tcPr>
            <w:tcW w:w="1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67%</w:t>
            </w:r>
          </w:p>
        </w:tc>
        <w:tc>
          <w:tcPr>
            <w:tcW w:w="1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67%</w:t>
            </w:r>
          </w:p>
        </w:tc>
        <w:tc>
          <w:tcPr>
            <w:tcW w:w="1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Borders>
              <w:bottom w:val="single" w:sz="8" w:color="auto"/>
            </w:tcBorders>
          </w:tcPr>
          <w:p>
            <w:pPr>
              <w:spacing w:after="0"/>
              <w:rPr>
                <w:sz w:val="19"/>
                <w:szCs w:val="19"/>
                <w:color w:val="auto"/>
              </w:rPr>
            </w:pPr>
          </w:p>
        </w:tc>
      </w:tr>
      <w:tr>
        <w:trPr>
          <w:trHeight w:val="858"/>
        </w:trPr>
        <w:tc>
          <w:tcPr>
            <w:tcW w:w="4420" w:type="dxa"/>
            <w:vAlign w:val="bottom"/>
          </w:tcPr>
          <w:p>
            <w:pPr>
              <w:spacing w:after="0"/>
              <w:rPr>
                <w:sz w:val="24"/>
                <w:szCs w:val="24"/>
                <w:color w:val="auto"/>
              </w:rPr>
            </w:pPr>
          </w:p>
        </w:tc>
        <w:tc>
          <w:tcPr>
            <w:tcW w:w="172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20</w:t>
            </w:r>
          </w:p>
        </w:tc>
        <w:tc>
          <w:tcPr>
            <w:tcW w:w="18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44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940"/>
          </w:cols>
          <w:pgMar w:left="980" w:top="661" w:right="9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During post-treatment follow up, 71% (10 of 14) of patients who had been treated with doses greater than or equal to 1.5 mg/kg and had a complete response (UAS7=0) at Week 12, remained urticaria free at Week 24 (patients received last dose of barzolvolimab at Week 8). Profound and durable improvement in angioedema symptoms as measured through the weekly angioedema activity score (AAS7) was achieved across all dose levels evaluated with sustained activity observed with the 1.5 mg/kg and greater dose levels. Patients also reported improvements in quality of life outcomes as assessed by the Dermatology Life Quality Index (DLQI) which surveys patients’ perceptions of symptoms and feelings, daily activities, leisure, work and school performance, personal relationships and treatment.</w:t>
      </w:r>
    </w:p>
    <w:p>
      <w:pPr>
        <w:spacing w:after="0" w:line="18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Tryptase suppression, indicative of mast cell depletion, paralleled symptom improvement, demonstrating the impact of mast cell depletion on CSU disease activity.</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Barzolvolimab was well tolerated. Most adverse events were mild or moderate in severity and resolved while on study. The most common treatment emergent adverse events were hair color changes, COVID-19, headache, neutropenia and urinary tract infections (UTIs). UTIs and COVID-19 were reported as unrelated to treatment. Generally transient, asymptomatic and mild changes in hematologic parameters were observed, consistent with observations from prior studies. No pattern of further decrease was observed with multiple dose administration.</w:t>
      </w:r>
    </w:p>
    <w:p>
      <w:pPr>
        <w:spacing w:after="0" w:line="183"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Data from this study were reported across multiple medical meetings, including the American Academy of Allergy, Asthma &amp; Immunology (AAAAI) Annual Meeting in February 2023, the European Academy of Allergy and Clinical Immunology (EAACI) Annual Congress in June 2023 and the European Academy of Dermatology &amp; Venereology (EADV) Congress in October 2023.</w:t>
      </w:r>
    </w:p>
    <w:p>
      <w:pPr>
        <w:spacing w:after="0" w:line="176"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We have completed a Phase 2 study in patients with CSU who remained symptomatic despite antihistamine therapy. The study was conducted at approximately 75 sites across 9 countries. The study was a randomized, double-blind, placebo-controlled, parallel group Phase 2 study that evaluated the efficacy and safety profile of multiple dose regimens of barzolvolimab to determine the optimal dosing strategy. 208 patients were randomly assigned on a 1:1:1:1 ratio to receive subcutaneous injections of barzolvolimab at 75 mg every 4 weeks, 150 mg every 4 weeks, 300 mg every 8 weeks or placebo during a 16-week placebo-controlled treatment phase. After 16 weeks, patients then entered a 36-week active treatment period, in which patients receiving placebo or the 75 mg dose were randomized to receive barzolvolimab 150 mg every 4 weeks or 300 mg every 8 weeks; patients already randomized to the 150 mg and 300 mg treatment arms remained on the same regimen as during the placebo-controlled treatment period. After 52 weeks, patients then entered a follow-up period for an additional 24 weeks. The primary endpoint of the study was mean change in baseline to Week 12 in UAS7 (weekly urticaria activity score). Secondary endpoints included safety and other assessments of clinical activity including ISS7 (weekly itch severity score), HSS7 (weekly hive severity score) and AAS7 (weekly angioedema activity score).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Topline data from this study were presented in November of 2023 and 12 week treatment results were presented at the AAAAI Annual Meeting in February 2024. Data from the 208 patients randomized in the study showed that barzolvolimab achieved the primary efficacy endpoint, with a statistically significant mean change from baseline to Week 12 in UAS7 compared to placebo at all dose levels. Secondary and exploratory endpoints in the study were also achieved at Week 12 and strongly support the primary endpoint results, including changes in ISS7 and HSS7 and responder analyses. Importantly, barzolvolimab demonstrated rapid, durable and clinically meaningful responses in patients with moderate to severe CSU refractory to antihistamines, including patients with prior omalizumab treatment. Demographics and baseline disease characteristics were well balanced across treatment groups. The majority of patients on study had severe disease (UAS7≥28).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133350</wp:posOffset>
            </wp:positionV>
            <wp:extent cx="6292215" cy="3625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3625850"/>
                    </a:xfrm>
                    <a:prstGeom prst="rect">
                      <a:avLst/>
                    </a:prstGeom>
                    <a:noFill/>
                  </pic:spPr>
                </pic:pic>
              </a:graphicData>
            </a:graphic>
          </wp:anchor>
        </w:drawing>
      </w: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Phase 2 CSU: Summary of Clinical Activity Assessments at Week 12</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00" w:type="dxa"/>
            <w:vAlign w:val="bottom"/>
            <w:tcBorders>
              <w:top w:val="single" w:sz="8" w:color="auto"/>
              <w:right w:val="single" w:sz="8" w:color="auto"/>
            </w:tcBorders>
            <w:shd w:val="clear" w:color="auto" w:fill="CCEEFF"/>
          </w:tcPr>
          <w:p>
            <w:pPr>
              <w:spacing w:after="0"/>
              <w:rPr>
                <w:sz w:val="18"/>
                <w:szCs w:val="18"/>
                <w:color w:val="auto"/>
              </w:rPr>
            </w:pPr>
          </w:p>
        </w:tc>
        <w:tc>
          <w:tcPr>
            <w:tcW w:w="1820" w:type="dxa"/>
            <w:vAlign w:val="bottom"/>
            <w:tcBorders>
              <w:top w:val="single" w:sz="8" w:color="auto"/>
              <w:right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300 mg Q8W</w:t>
            </w:r>
          </w:p>
        </w:tc>
        <w:tc>
          <w:tcPr>
            <w:tcW w:w="1800" w:type="dxa"/>
            <w:vAlign w:val="bottom"/>
            <w:tcBorders>
              <w:top w:val="single" w:sz="8" w:color="auto"/>
              <w:right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150 mg Q4W</w:t>
            </w:r>
          </w:p>
        </w:tc>
        <w:tc>
          <w:tcPr>
            <w:tcW w:w="1720" w:type="dxa"/>
            <w:vAlign w:val="bottom"/>
            <w:tcBorders>
              <w:top w:val="single" w:sz="8" w:color="auto"/>
              <w:right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75 mg Q4W</w:t>
            </w:r>
          </w:p>
        </w:tc>
        <w:tc>
          <w:tcPr>
            <w:tcW w:w="146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Placebo</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100" w:type="dxa"/>
            <w:vAlign w:val="bottom"/>
            <w:tcBorders>
              <w:bottom w:val="single" w:sz="8" w:color="auto"/>
              <w:right w:val="single" w:sz="8" w:color="auto"/>
            </w:tcBorders>
            <w:shd w:val="clear" w:color="auto" w:fill="CCEEFF"/>
          </w:tcPr>
          <w:p>
            <w:pPr>
              <w:spacing w:after="0"/>
              <w:rPr>
                <w:sz w:val="20"/>
                <w:szCs w:val="20"/>
                <w:color w:val="auto"/>
              </w:rPr>
            </w:pPr>
          </w:p>
        </w:tc>
        <w:tc>
          <w:tcPr>
            <w:tcW w:w="1820" w:type="dxa"/>
            <w:vAlign w:val="bottom"/>
            <w:tcBorders>
              <w:bottom w:val="single" w:sz="8" w:color="auto"/>
              <w:right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7"/>
              </w:rPr>
              <w:t>(n=51)</w:t>
            </w:r>
          </w:p>
        </w:tc>
        <w:tc>
          <w:tcPr>
            <w:tcW w:w="1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(n=52)</w:t>
            </w:r>
          </w:p>
        </w:tc>
        <w:tc>
          <w:tcPr>
            <w:tcW w:w="1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(n=53)</w:t>
            </w:r>
          </w:p>
        </w:tc>
        <w:tc>
          <w:tcPr>
            <w:tcW w:w="1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(n=51)</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UAS7 Changes</w:t>
            </w:r>
          </w:p>
        </w:tc>
        <w:tc>
          <w:tcPr>
            <w:tcW w:w="18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Baseline UAS7 (mean)</w:t>
            </w:r>
          </w:p>
        </w:tc>
        <w:tc>
          <w:tcPr>
            <w:tcW w:w="1820" w:type="dxa"/>
            <w:vAlign w:val="bottom"/>
            <w:tcBorders>
              <w:bottom w:val="single" w:sz="8" w:color="auto"/>
              <w:right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31.33</w:t>
            </w:r>
          </w:p>
        </w:tc>
        <w:tc>
          <w:tcPr>
            <w:tcW w:w="1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30.75</w:t>
            </w:r>
          </w:p>
        </w:tc>
        <w:tc>
          <w:tcPr>
            <w:tcW w:w="1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30.30</w:t>
            </w:r>
          </w:p>
        </w:tc>
        <w:tc>
          <w:tcPr>
            <w:tcW w:w="1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30.09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LS Mean change at Week 12</w:t>
            </w:r>
          </w:p>
        </w:tc>
        <w:tc>
          <w:tcPr>
            <w:tcW w:w="182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-23.87</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-23.02</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-17.06</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-10.47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10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LS Mean difference from placebo</w:t>
            </w:r>
          </w:p>
        </w:tc>
        <w:tc>
          <w:tcPr>
            <w:tcW w:w="1820" w:type="dxa"/>
            <w:vAlign w:val="bottom"/>
            <w:tcBorders>
              <w:right w:val="single" w:sz="8" w:color="auto"/>
            </w:tcBorders>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-13.41</w:t>
            </w:r>
          </w:p>
        </w:tc>
        <w:tc>
          <w:tcPr>
            <w:tcW w:w="1800" w:type="dxa"/>
            <w:vAlign w:val="bottom"/>
            <w:tcBorders>
              <w:right w:val="single" w:sz="8" w:color="auto"/>
            </w:tcBorders>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-12.55</w:t>
            </w:r>
          </w:p>
        </w:tc>
        <w:tc>
          <w:tcPr>
            <w:tcW w:w="1720" w:type="dxa"/>
            <w:vAlign w:val="bottom"/>
            <w:tcBorders>
              <w:right w:val="single" w:sz="8" w:color="auto"/>
            </w:tcBorders>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rPr>
              <w:t>-6.60</w:t>
            </w:r>
          </w:p>
        </w:tc>
        <w:tc>
          <w:tcPr>
            <w:tcW w:w="14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3100" w:type="dxa"/>
            <w:vAlign w:val="bottom"/>
            <w:tcBorders>
              <w:right w:val="single" w:sz="8" w:color="auto"/>
            </w:tcBorders>
            <w:vMerge w:val="continue"/>
            <w:shd w:val="clear" w:color="auto" w:fill="CCEEFF"/>
          </w:tcPr>
          <w:p>
            <w:pPr>
              <w:spacing w:after="0"/>
              <w:rPr>
                <w:sz w:val="9"/>
                <w:szCs w:val="9"/>
                <w:color w:val="auto"/>
              </w:rPr>
            </w:pPr>
          </w:p>
        </w:tc>
        <w:tc>
          <w:tcPr>
            <w:tcW w:w="18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(CI: -17.47, -9.34)</w:t>
            </w:r>
          </w:p>
        </w:tc>
        <w:tc>
          <w:tcPr>
            <w:tcW w:w="1800" w:type="dxa"/>
            <w:vAlign w:val="bottom"/>
            <w:tcBorders>
              <w:right w:val="single" w:sz="8" w:color="auto"/>
            </w:tcBorders>
            <w:vMerge w:val="restart"/>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(CI:-16.56, -8.55)</w:t>
            </w:r>
          </w:p>
        </w:tc>
        <w:tc>
          <w:tcPr>
            <w:tcW w:w="1720" w:type="dxa"/>
            <w:vAlign w:val="bottom"/>
            <w:tcBorders>
              <w:right w:val="single" w:sz="8" w:color="auto"/>
            </w:tcBorders>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(CI:-10.71, -2.49)</w:t>
            </w:r>
          </w:p>
        </w:tc>
        <w:tc>
          <w:tcPr>
            <w:tcW w:w="14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100" w:type="dxa"/>
            <w:vAlign w:val="bottom"/>
            <w:tcBorders>
              <w:right w:val="single" w:sz="8" w:color="auto"/>
            </w:tcBorders>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(Confidence Interval, p value)</w:t>
            </w:r>
          </w:p>
        </w:tc>
        <w:tc>
          <w:tcPr>
            <w:tcW w:w="1820" w:type="dxa"/>
            <w:vAlign w:val="bottom"/>
            <w:tcBorders>
              <w:right w:val="single" w:sz="8" w:color="auto"/>
            </w:tcBorders>
            <w:vMerge w:val="continue"/>
            <w:shd w:val="clear" w:color="auto" w:fill="CCEEFF"/>
          </w:tcPr>
          <w:p>
            <w:pPr>
              <w:spacing w:after="0"/>
              <w:rPr>
                <w:sz w:val="10"/>
                <w:szCs w:val="10"/>
                <w:color w:val="auto"/>
              </w:rPr>
            </w:pPr>
          </w:p>
        </w:tc>
        <w:tc>
          <w:tcPr>
            <w:tcW w:w="1800" w:type="dxa"/>
            <w:vAlign w:val="bottom"/>
            <w:tcBorders>
              <w:right w:val="single" w:sz="8" w:color="auto"/>
            </w:tcBorders>
            <w:vMerge w:val="continue"/>
            <w:shd w:val="clear" w:color="auto" w:fill="CCEEFF"/>
          </w:tcPr>
          <w:p>
            <w:pPr>
              <w:spacing w:after="0"/>
              <w:rPr>
                <w:sz w:val="10"/>
                <w:szCs w:val="10"/>
                <w:color w:val="auto"/>
              </w:rPr>
            </w:pPr>
          </w:p>
        </w:tc>
        <w:tc>
          <w:tcPr>
            <w:tcW w:w="1720" w:type="dxa"/>
            <w:vAlign w:val="bottom"/>
            <w:tcBorders>
              <w:right w:val="single" w:sz="8" w:color="auto"/>
            </w:tcBorders>
            <w:vMerge w:val="continue"/>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100" w:type="dxa"/>
            <w:vAlign w:val="bottom"/>
            <w:tcBorders>
              <w:right w:val="single" w:sz="8" w:color="auto"/>
            </w:tcBorders>
            <w:vMerge w:val="continue"/>
            <w:shd w:val="clear" w:color="auto" w:fill="CCEEFF"/>
          </w:tcPr>
          <w:p>
            <w:pPr>
              <w:spacing w:after="0"/>
              <w:rPr>
                <w:sz w:val="10"/>
                <w:szCs w:val="10"/>
                <w:color w:val="auto"/>
              </w:rPr>
            </w:pPr>
          </w:p>
        </w:tc>
        <w:tc>
          <w:tcPr>
            <w:tcW w:w="18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18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17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p=0.0017</w:t>
            </w:r>
          </w:p>
        </w:tc>
        <w:tc>
          <w:tcPr>
            <w:tcW w:w="14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100" w:type="dxa"/>
            <w:vAlign w:val="bottom"/>
            <w:tcBorders>
              <w:bottom w:val="single" w:sz="8" w:color="auto"/>
              <w:right w:val="single" w:sz="8" w:color="auto"/>
            </w:tcBorders>
            <w:shd w:val="clear" w:color="auto" w:fill="CCEEFF"/>
          </w:tcPr>
          <w:p>
            <w:pPr>
              <w:spacing w:after="0"/>
              <w:rPr>
                <w:sz w:val="11"/>
                <w:szCs w:val="11"/>
                <w:color w:val="auto"/>
              </w:rPr>
            </w:pPr>
          </w:p>
        </w:tc>
        <w:tc>
          <w:tcPr>
            <w:tcW w:w="1820" w:type="dxa"/>
            <w:vAlign w:val="bottom"/>
            <w:tcBorders>
              <w:bottom w:val="single" w:sz="8" w:color="auto"/>
              <w:right w:val="single" w:sz="8" w:color="auto"/>
            </w:tcBorders>
            <w:vMerge w:val="continue"/>
            <w:shd w:val="clear" w:color="auto" w:fill="CCEEFF"/>
          </w:tcPr>
          <w:p>
            <w:pPr>
              <w:spacing w:after="0"/>
              <w:rPr>
                <w:sz w:val="11"/>
                <w:szCs w:val="11"/>
                <w:color w:val="auto"/>
              </w:rPr>
            </w:pPr>
          </w:p>
        </w:tc>
        <w:tc>
          <w:tcPr>
            <w:tcW w:w="1800" w:type="dxa"/>
            <w:vAlign w:val="bottom"/>
            <w:tcBorders>
              <w:bottom w:val="single" w:sz="8" w:color="auto"/>
              <w:right w:val="single" w:sz="8" w:color="auto"/>
            </w:tcBorders>
            <w:vMerge w:val="continue"/>
            <w:shd w:val="clear" w:color="auto" w:fill="CCEEFF"/>
          </w:tcPr>
          <w:p>
            <w:pPr>
              <w:spacing w:after="0"/>
              <w:rPr>
                <w:sz w:val="11"/>
                <w:szCs w:val="11"/>
                <w:color w:val="auto"/>
              </w:rPr>
            </w:pPr>
          </w:p>
        </w:tc>
        <w:tc>
          <w:tcPr>
            <w:tcW w:w="1720" w:type="dxa"/>
            <w:vAlign w:val="bottom"/>
            <w:tcBorders>
              <w:bottom w:val="single" w:sz="8" w:color="auto"/>
              <w:right w:val="single" w:sz="8" w:color="auto"/>
            </w:tcBorders>
            <w:vMerge w:val="continue"/>
            <w:shd w:val="clear" w:color="auto" w:fill="CCEEFF"/>
          </w:tcPr>
          <w:p>
            <w:pPr>
              <w:spacing w:after="0"/>
              <w:rPr>
                <w:sz w:val="11"/>
                <w:szCs w:val="11"/>
                <w:color w:val="auto"/>
              </w:rPr>
            </w:pPr>
          </w:p>
        </w:tc>
        <w:tc>
          <w:tcPr>
            <w:tcW w:w="146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HSS7 Changes</w:t>
            </w:r>
          </w:p>
        </w:tc>
        <w:tc>
          <w:tcPr>
            <w:tcW w:w="18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Baseline HSS7 (mean)</w:t>
            </w:r>
          </w:p>
        </w:tc>
        <w:tc>
          <w:tcPr>
            <w:tcW w:w="1820" w:type="dxa"/>
            <w:vAlign w:val="bottom"/>
            <w:tcBorders>
              <w:bottom w:val="single" w:sz="8" w:color="auto"/>
              <w:right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14.92</w:t>
            </w:r>
          </w:p>
        </w:tc>
        <w:tc>
          <w:tcPr>
            <w:tcW w:w="1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15.05</w:t>
            </w:r>
          </w:p>
        </w:tc>
        <w:tc>
          <w:tcPr>
            <w:tcW w:w="1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14.86</w:t>
            </w:r>
          </w:p>
        </w:tc>
        <w:tc>
          <w:tcPr>
            <w:tcW w:w="1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14.47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LS Mean change at Week 12</w:t>
            </w:r>
          </w:p>
        </w:tc>
        <w:tc>
          <w:tcPr>
            <w:tcW w:w="182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-12.19</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-11.19</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-8.25</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-4.95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10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LS Mean difference from placebo</w:t>
            </w:r>
          </w:p>
        </w:tc>
        <w:tc>
          <w:tcPr>
            <w:tcW w:w="1820" w:type="dxa"/>
            <w:vAlign w:val="bottom"/>
            <w:tcBorders>
              <w:right w:val="single" w:sz="8" w:color="auto"/>
            </w:tcBorders>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rPr>
              <w:t>-7.24</w:t>
            </w:r>
          </w:p>
        </w:tc>
        <w:tc>
          <w:tcPr>
            <w:tcW w:w="1800" w:type="dxa"/>
            <w:vAlign w:val="bottom"/>
            <w:tcBorders>
              <w:right w:val="single" w:sz="8" w:color="auto"/>
            </w:tcBorders>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rPr>
              <w:t>-6.24</w:t>
            </w:r>
          </w:p>
        </w:tc>
        <w:tc>
          <w:tcPr>
            <w:tcW w:w="1720" w:type="dxa"/>
            <w:vAlign w:val="bottom"/>
            <w:tcBorders>
              <w:right w:val="single" w:sz="8" w:color="auto"/>
            </w:tcBorders>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rPr>
              <w:t>-3.31</w:t>
            </w:r>
          </w:p>
        </w:tc>
        <w:tc>
          <w:tcPr>
            <w:tcW w:w="14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3100" w:type="dxa"/>
            <w:vAlign w:val="bottom"/>
            <w:tcBorders>
              <w:right w:val="single" w:sz="8" w:color="auto"/>
            </w:tcBorders>
            <w:vMerge w:val="continue"/>
            <w:shd w:val="clear" w:color="auto" w:fill="CCEEFF"/>
          </w:tcPr>
          <w:p>
            <w:pPr>
              <w:spacing w:after="0"/>
              <w:rPr>
                <w:sz w:val="9"/>
                <w:szCs w:val="9"/>
                <w:color w:val="auto"/>
              </w:rPr>
            </w:pPr>
          </w:p>
        </w:tc>
        <w:tc>
          <w:tcPr>
            <w:tcW w:w="18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(CI:-9.36, -5.12)</w:t>
            </w:r>
          </w:p>
        </w:tc>
        <w:tc>
          <w:tcPr>
            <w:tcW w:w="1800" w:type="dxa"/>
            <w:vAlign w:val="bottom"/>
            <w:tcBorders>
              <w:right w:val="single" w:sz="8" w:color="auto"/>
            </w:tcBorders>
            <w:vMerge w:val="restart"/>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(CI:-8.33, -4.16),</w:t>
            </w:r>
          </w:p>
        </w:tc>
        <w:tc>
          <w:tcPr>
            <w:tcW w:w="1720" w:type="dxa"/>
            <w:vAlign w:val="bottom"/>
            <w:tcBorders>
              <w:right w:val="single" w:sz="8" w:color="auto"/>
            </w:tcBorders>
            <w:vMerge w:val="restart"/>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(CI:-5.40, -1.22),</w:t>
            </w:r>
          </w:p>
        </w:tc>
        <w:tc>
          <w:tcPr>
            <w:tcW w:w="14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100" w:type="dxa"/>
            <w:vAlign w:val="bottom"/>
            <w:tcBorders>
              <w:right w:val="single" w:sz="8" w:color="auto"/>
            </w:tcBorders>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(Confidence Interval, p value)</w:t>
            </w:r>
          </w:p>
        </w:tc>
        <w:tc>
          <w:tcPr>
            <w:tcW w:w="1820" w:type="dxa"/>
            <w:vAlign w:val="bottom"/>
            <w:tcBorders>
              <w:right w:val="single" w:sz="8" w:color="auto"/>
            </w:tcBorders>
            <w:vMerge w:val="continue"/>
            <w:shd w:val="clear" w:color="auto" w:fill="CCEEFF"/>
          </w:tcPr>
          <w:p>
            <w:pPr>
              <w:spacing w:after="0"/>
              <w:rPr>
                <w:sz w:val="10"/>
                <w:szCs w:val="10"/>
                <w:color w:val="auto"/>
              </w:rPr>
            </w:pPr>
          </w:p>
        </w:tc>
        <w:tc>
          <w:tcPr>
            <w:tcW w:w="1800" w:type="dxa"/>
            <w:vAlign w:val="bottom"/>
            <w:tcBorders>
              <w:right w:val="single" w:sz="8" w:color="auto"/>
            </w:tcBorders>
            <w:vMerge w:val="continue"/>
            <w:shd w:val="clear" w:color="auto" w:fill="CCEEFF"/>
          </w:tcPr>
          <w:p>
            <w:pPr>
              <w:spacing w:after="0"/>
              <w:rPr>
                <w:sz w:val="10"/>
                <w:szCs w:val="10"/>
                <w:color w:val="auto"/>
              </w:rPr>
            </w:pPr>
          </w:p>
        </w:tc>
        <w:tc>
          <w:tcPr>
            <w:tcW w:w="1720" w:type="dxa"/>
            <w:vAlign w:val="bottom"/>
            <w:tcBorders>
              <w:right w:val="single" w:sz="8" w:color="auto"/>
            </w:tcBorders>
            <w:vMerge w:val="continue"/>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100" w:type="dxa"/>
            <w:vAlign w:val="bottom"/>
            <w:tcBorders>
              <w:right w:val="single" w:sz="8" w:color="auto"/>
            </w:tcBorders>
            <w:vMerge w:val="continue"/>
            <w:shd w:val="clear" w:color="auto" w:fill="CCEEFF"/>
          </w:tcPr>
          <w:p>
            <w:pPr>
              <w:spacing w:after="0"/>
              <w:rPr>
                <w:sz w:val="10"/>
                <w:szCs w:val="10"/>
                <w:color w:val="auto"/>
              </w:rPr>
            </w:pPr>
          </w:p>
        </w:tc>
        <w:tc>
          <w:tcPr>
            <w:tcW w:w="18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18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17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p=0.0020</w:t>
            </w:r>
          </w:p>
        </w:tc>
        <w:tc>
          <w:tcPr>
            <w:tcW w:w="14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100" w:type="dxa"/>
            <w:vAlign w:val="bottom"/>
            <w:tcBorders>
              <w:bottom w:val="single" w:sz="8" w:color="auto"/>
              <w:right w:val="single" w:sz="8" w:color="auto"/>
            </w:tcBorders>
            <w:shd w:val="clear" w:color="auto" w:fill="CCEEFF"/>
          </w:tcPr>
          <w:p>
            <w:pPr>
              <w:spacing w:after="0"/>
              <w:rPr>
                <w:sz w:val="11"/>
                <w:szCs w:val="11"/>
                <w:color w:val="auto"/>
              </w:rPr>
            </w:pPr>
          </w:p>
        </w:tc>
        <w:tc>
          <w:tcPr>
            <w:tcW w:w="1820" w:type="dxa"/>
            <w:vAlign w:val="bottom"/>
            <w:tcBorders>
              <w:bottom w:val="single" w:sz="8" w:color="auto"/>
              <w:right w:val="single" w:sz="8" w:color="auto"/>
            </w:tcBorders>
            <w:vMerge w:val="continue"/>
            <w:shd w:val="clear" w:color="auto" w:fill="CCEEFF"/>
          </w:tcPr>
          <w:p>
            <w:pPr>
              <w:spacing w:after="0"/>
              <w:rPr>
                <w:sz w:val="11"/>
                <w:szCs w:val="11"/>
                <w:color w:val="auto"/>
              </w:rPr>
            </w:pPr>
          </w:p>
        </w:tc>
        <w:tc>
          <w:tcPr>
            <w:tcW w:w="1800" w:type="dxa"/>
            <w:vAlign w:val="bottom"/>
            <w:tcBorders>
              <w:bottom w:val="single" w:sz="8" w:color="auto"/>
              <w:right w:val="single" w:sz="8" w:color="auto"/>
            </w:tcBorders>
            <w:vMerge w:val="continue"/>
            <w:shd w:val="clear" w:color="auto" w:fill="CCEEFF"/>
          </w:tcPr>
          <w:p>
            <w:pPr>
              <w:spacing w:after="0"/>
              <w:rPr>
                <w:sz w:val="11"/>
                <w:szCs w:val="11"/>
                <w:color w:val="auto"/>
              </w:rPr>
            </w:pPr>
          </w:p>
        </w:tc>
        <w:tc>
          <w:tcPr>
            <w:tcW w:w="1720" w:type="dxa"/>
            <w:vAlign w:val="bottom"/>
            <w:tcBorders>
              <w:bottom w:val="single" w:sz="8" w:color="auto"/>
              <w:right w:val="single" w:sz="8" w:color="auto"/>
            </w:tcBorders>
            <w:vMerge w:val="continue"/>
            <w:shd w:val="clear" w:color="auto" w:fill="CCEEFF"/>
          </w:tcPr>
          <w:p>
            <w:pPr>
              <w:spacing w:after="0"/>
              <w:rPr>
                <w:sz w:val="11"/>
                <w:szCs w:val="11"/>
                <w:color w:val="auto"/>
              </w:rPr>
            </w:pPr>
          </w:p>
        </w:tc>
        <w:tc>
          <w:tcPr>
            <w:tcW w:w="146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ISS7 Changes</w:t>
            </w:r>
          </w:p>
        </w:tc>
        <w:tc>
          <w:tcPr>
            <w:tcW w:w="18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Baseline ISS7 (mean)</w:t>
            </w:r>
          </w:p>
        </w:tc>
        <w:tc>
          <w:tcPr>
            <w:tcW w:w="1820" w:type="dxa"/>
            <w:vAlign w:val="bottom"/>
            <w:tcBorders>
              <w:bottom w:val="single" w:sz="8" w:color="auto"/>
              <w:right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16.42</w:t>
            </w:r>
          </w:p>
        </w:tc>
        <w:tc>
          <w:tcPr>
            <w:tcW w:w="1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15.70</w:t>
            </w:r>
          </w:p>
        </w:tc>
        <w:tc>
          <w:tcPr>
            <w:tcW w:w="1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15.44</w:t>
            </w:r>
          </w:p>
        </w:tc>
        <w:tc>
          <w:tcPr>
            <w:tcW w:w="1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15.61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LS Mean change at Week 12</w:t>
            </w:r>
          </w:p>
        </w:tc>
        <w:tc>
          <w:tcPr>
            <w:tcW w:w="1820" w:type="dxa"/>
            <w:vAlign w:val="bottom"/>
            <w:tcBorders>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-11.79</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-11.68</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-8.62</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-5.47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10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LS Mean difference from placebo</w:t>
            </w:r>
          </w:p>
        </w:tc>
        <w:tc>
          <w:tcPr>
            <w:tcW w:w="1820" w:type="dxa"/>
            <w:vAlign w:val="bottom"/>
            <w:tcBorders>
              <w:right w:val="single" w:sz="8" w:color="auto"/>
            </w:tcBorders>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rPr>
              <w:t>-6.32</w:t>
            </w:r>
          </w:p>
        </w:tc>
        <w:tc>
          <w:tcPr>
            <w:tcW w:w="1800" w:type="dxa"/>
            <w:vAlign w:val="bottom"/>
            <w:tcBorders>
              <w:right w:val="single" w:sz="8" w:color="auto"/>
            </w:tcBorders>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rPr>
              <w:t>-6.21</w:t>
            </w:r>
          </w:p>
        </w:tc>
        <w:tc>
          <w:tcPr>
            <w:tcW w:w="1720" w:type="dxa"/>
            <w:vAlign w:val="bottom"/>
            <w:tcBorders>
              <w:right w:val="single" w:sz="8" w:color="auto"/>
            </w:tcBorders>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rPr>
              <w:t>-3.16</w:t>
            </w:r>
          </w:p>
        </w:tc>
        <w:tc>
          <w:tcPr>
            <w:tcW w:w="14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3100" w:type="dxa"/>
            <w:vAlign w:val="bottom"/>
            <w:tcBorders>
              <w:right w:val="single" w:sz="8" w:color="auto"/>
            </w:tcBorders>
            <w:vMerge w:val="continue"/>
            <w:shd w:val="clear" w:color="auto" w:fill="CCEEFF"/>
          </w:tcPr>
          <w:p>
            <w:pPr>
              <w:spacing w:after="0"/>
              <w:rPr>
                <w:sz w:val="9"/>
                <w:szCs w:val="9"/>
                <w:color w:val="auto"/>
              </w:rPr>
            </w:pPr>
          </w:p>
        </w:tc>
        <w:tc>
          <w:tcPr>
            <w:tcW w:w="18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(CI: -8.50, -4.13),</w:t>
            </w:r>
          </w:p>
        </w:tc>
        <w:tc>
          <w:tcPr>
            <w:tcW w:w="1800" w:type="dxa"/>
            <w:vAlign w:val="bottom"/>
            <w:tcBorders>
              <w:right w:val="single" w:sz="8" w:color="auto"/>
            </w:tcBorders>
            <w:vMerge w:val="restart"/>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(CI: -8.38, -4.04),</w:t>
            </w:r>
          </w:p>
        </w:tc>
        <w:tc>
          <w:tcPr>
            <w:tcW w:w="1720" w:type="dxa"/>
            <w:vAlign w:val="bottom"/>
            <w:tcBorders>
              <w:right w:val="single" w:sz="8" w:color="auto"/>
            </w:tcBorders>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(CI: -5.41, -0.91),</w:t>
            </w:r>
          </w:p>
        </w:tc>
        <w:tc>
          <w:tcPr>
            <w:tcW w:w="14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100" w:type="dxa"/>
            <w:vAlign w:val="bottom"/>
            <w:tcBorders>
              <w:right w:val="single" w:sz="8" w:color="auto"/>
            </w:tcBorders>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(Confidence Interval, p value)</w:t>
            </w:r>
          </w:p>
        </w:tc>
        <w:tc>
          <w:tcPr>
            <w:tcW w:w="1820" w:type="dxa"/>
            <w:vAlign w:val="bottom"/>
            <w:tcBorders>
              <w:right w:val="single" w:sz="8" w:color="auto"/>
            </w:tcBorders>
            <w:vMerge w:val="continue"/>
            <w:shd w:val="clear" w:color="auto" w:fill="CCEEFF"/>
          </w:tcPr>
          <w:p>
            <w:pPr>
              <w:spacing w:after="0"/>
              <w:rPr>
                <w:sz w:val="10"/>
                <w:szCs w:val="10"/>
                <w:color w:val="auto"/>
              </w:rPr>
            </w:pPr>
          </w:p>
        </w:tc>
        <w:tc>
          <w:tcPr>
            <w:tcW w:w="1800" w:type="dxa"/>
            <w:vAlign w:val="bottom"/>
            <w:tcBorders>
              <w:right w:val="single" w:sz="8" w:color="auto"/>
            </w:tcBorders>
            <w:vMerge w:val="continue"/>
            <w:shd w:val="clear" w:color="auto" w:fill="CCEEFF"/>
          </w:tcPr>
          <w:p>
            <w:pPr>
              <w:spacing w:after="0"/>
              <w:rPr>
                <w:sz w:val="10"/>
                <w:szCs w:val="10"/>
                <w:color w:val="auto"/>
              </w:rPr>
            </w:pPr>
          </w:p>
        </w:tc>
        <w:tc>
          <w:tcPr>
            <w:tcW w:w="1720" w:type="dxa"/>
            <w:vAlign w:val="bottom"/>
            <w:tcBorders>
              <w:right w:val="single" w:sz="8" w:color="auto"/>
            </w:tcBorders>
            <w:vMerge w:val="continue"/>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100" w:type="dxa"/>
            <w:vAlign w:val="bottom"/>
            <w:tcBorders>
              <w:right w:val="single" w:sz="8" w:color="auto"/>
            </w:tcBorders>
            <w:vMerge w:val="continue"/>
            <w:shd w:val="clear" w:color="auto" w:fill="CCEEFF"/>
          </w:tcPr>
          <w:p>
            <w:pPr>
              <w:spacing w:after="0"/>
              <w:rPr>
                <w:sz w:val="10"/>
                <w:szCs w:val="10"/>
                <w:color w:val="auto"/>
              </w:rPr>
            </w:pPr>
          </w:p>
        </w:tc>
        <w:tc>
          <w:tcPr>
            <w:tcW w:w="18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18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17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p=0.0061</w:t>
            </w:r>
          </w:p>
        </w:tc>
        <w:tc>
          <w:tcPr>
            <w:tcW w:w="14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100" w:type="dxa"/>
            <w:vAlign w:val="bottom"/>
            <w:tcBorders>
              <w:bottom w:val="single" w:sz="8" w:color="auto"/>
              <w:right w:val="single" w:sz="8" w:color="auto"/>
            </w:tcBorders>
            <w:shd w:val="clear" w:color="auto" w:fill="CCEEFF"/>
          </w:tcPr>
          <w:p>
            <w:pPr>
              <w:spacing w:after="0"/>
              <w:rPr>
                <w:sz w:val="11"/>
                <w:szCs w:val="11"/>
                <w:color w:val="auto"/>
              </w:rPr>
            </w:pPr>
          </w:p>
        </w:tc>
        <w:tc>
          <w:tcPr>
            <w:tcW w:w="1820" w:type="dxa"/>
            <w:vAlign w:val="bottom"/>
            <w:tcBorders>
              <w:bottom w:val="single" w:sz="8" w:color="auto"/>
              <w:right w:val="single" w:sz="8" w:color="auto"/>
            </w:tcBorders>
            <w:vMerge w:val="continue"/>
            <w:shd w:val="clear" w:color="auto" w:fill="CCEEFF"/>
          </w:tcPr>
          <w:p>
            <w:pPr>
              <w:spacing w:after="0"/>
              <w:rPr>
                <w:sz w:val="11"/>
                <w:szCs w:val="11"/>
                <w:color w:val="auto"/>
              </w:rPr>
            </w:pPr>
          </w:p>
        </w:tc>
        <w:tc>
          <w:tcPr>
            <w:tcW w:w="1800" w:type="dxa"/>
            <w:vAlign w:val="bottom"/>
            <w:tcBorders>
              <w:bottom w:val="single" w:sz="8" w:color="auto"/>
              <w:right w:val="single" w:sz="8" w:color="auto"/>
            </w:tcBorders>
            <w:vMerge w:val="continue"/>
            <w:shd w:val="clear" w:color="auto" w:fill="CCEEFF"/>
          </w:tcPr>
          <w:p>
            <w:pPr>
              <w:spacing w:after="0"/>
              <w:rPr>
                <w:sz w:val="11"/>
                <w:szCs w:val="11"/>
                <w:color w:val="auto"/>
              </w:rPr>
            </w:pPr>
          </w:p>
        </w:tc>
        <w:tc>
          <w:tcPr>
            <w:tcW w:w="1720" w:type="dxa"/>
            <w:vAlign w:val="bottom"/>
            <w:tcBorders>
              <w:bottom w:val="single" w:sz="8" w:color="auto"/>
              <w:right w:val="single" w:sz="8" w:color="auto"/>
            </w:tcBorders>
            <w:vMerge w:val="continue"/>
            <w:shd w:val="clear" w:color="auto" w:fill="CCEEFF"/>
          </w:tcPr>
          <w:p>
            <w:pPr>
              <w:spacing w:after="0"/>
              <w:rPr>
                <w:sz w:val="11"/>
                <w:szCs w:val="11"/>
                <w:color w:val="auto"/>
              </w:rPr>
            </w:pPr>
          </w:p>
        </w:tc>
        <w:tc>
          <w:tcPr>
            <w:tcW w:w="146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Responder Analyses/Clinical Responses</w:t>
            </w:r>
          </w:p>
        </w:tc>
        <w:tc>
          <w:tcPr>
            <w:tcW w:w="18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UAS7=0 (Complete Control)</w:t>
            </w:r>
          </w:p>
        </w:tc>
        <w:tc>
          <w:tcPr>
            <w:tcW w:w="1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37.5%</w:t>
            </w:r>
          </w:p>
        </w:tc>
        <w:tc>
          <w:tcPr>
            <w:tcW w:w="1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51.1%</w:t>
            </w:r>
          </w:p>
        </w:tc>
        <w:tc>
          <w:tcPr>
            <w:tcW w:w="1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22.9%</w:t>
            </w:r>
          </w:p>
        </w:tc>
        <w:tc>
          <w:tcPr>
            <w:tcW w:w="14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UAS7≤6 (Well-controlled)</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62.5%</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59.6%</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41.7%</w:t>
            </w:r>
          </w:p>
        </w:tc>
        <w:tc>
          <w:tcPr>
            <w:tcW w:w="14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UAS7, HSS7 and ISS7 data were analyzed using ANCOVA model and multiple imputation.</w:t>
      </w:r>
    </w:p>
    <w:p>
      <w:pPr>
        <w:spacing w:after="0" w:line="22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Barzolvolimab demonstrated strong improvement in UAS7 independent of omalizumab status at Week 12. Approximately 20% (n=41) of enrolled patients received prior treatment with omalizumab and more than half of these patients had omalizumab-refractory disease. These patients experienced a similar clinical benefit as the overall treated population within their individual dosing groups consistent with the barzolvolimab mechanism of action.</w:t>
      </w:r>
    </w:p>
    <w:p>
      <w:pPr>
        <w:spacing w:after="0" w:line="13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Barzolvolimab was well tolerated with a favorable safety profile. Most adverse events were mild to moderate in severity; through 12 weeks, the most common treatment emergent adverse events in barzolvolimab treated patients were urticaria/CSU (10%), hair color changes (9%), and neutropenia/ANC decrease (8%). The rate of infections was similar between barzolvolimab treated patients and placebo with no association between neutropenia and infections.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June 2024, 12 week data on a secondary endpoint from the study, angioedema activity, and additional measures of angioedema control, were presented at the EAACI 2024 Congress. Approximately 72% of patients on study had angioedema at baseline. Barzolvolimab demonstrated significant improvements in AAS7 in patients with angioedema across all doses at Week 12. This improvement was rapid (within 2 weeks) and durable (continued through 12 weeks). Barzolvolimab demonstrated strong improvement in AAS7 independent of omalizumab status at Week 12. Patients on barzolvolimab experienced a &gt; 8 point improvement in AAS7 (considered a clinically meaningful result) across all doses compared to placebo (p&lt;0.05). Barzolvolimab increased angioedema free days compared to placebo through 12 weeks. Patients in the 300 mg cohort were angioedema free 77% of the time over the 12 week period.</w:t>
      </w:r>
    </w:p>
    <w:p>
      <w:pPr>
        <w:spacing w:after="0" w:line="15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Patients on study continued to receive barzolvolimab for up to 52 weeks. Long term treatment data were presented in September at the European Academy of Dermatology &amp; Venereology (EADV) Congress 2024 and quality of life data were presented in March at the AAAAI Annual Meeting 2025. The data demonstrated a sustained and deepening disease efficacy, a well tolerated safety profile, greatly improved urticaria control and reduced disease impact on quality of life over a 52 week treatment period. Key highlights included:</w:t>
      </w:r>
    </w:p>
    <w:p>
      <w:pPr>
        <w:spacing w:after="0" w:line="156" w:lineRule="exact"/>
        <w:rPr>
          <w:sz w:val="20"/>
          <w:szCs w:val="20"/>
          <w:color w:val="auto"/>
        </w:rPr>
      </w:pPr>
    </w:p>
    <w:p>
      <w:pPr>
        <w:ind w:left="1000" w:right="280" w:hanging="317"/>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Improvements in UAS7 (weekly urticaria activity score), previously shown to be statistically significantly vs placebo at Week 12, were noted as early as Week 1 and were sustained or deepened at Week 52.</w:t>
      </w:r>
    </w:p>
    <w:p>
      <w:pPr>
        <w:spacing w:after="0" w:line="121" w:lineRule="exact"/>
        <w:rPr>
          <w:rFonts w:ascii="Times New Roman" w:cs="Times New Roman" w:eastAsia="Times New Roman" w:hAnsi="Times New Roman"/>
          <w:sz w:val="18"/>
          <w:szCs w:val="18"/>
          <w:color w:val="auto"/>
        </w:rPr>
      </w:pPr>
    </w:p>
    <w:p>
      <w:pPr>
        <w:jc w:val="both"/>
        <w:ind w:left="1000" w:right="140" w:hanging="317"/>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Week 16, patients receiving low dose barzolvolimab (75 mg) or placebo were transitioned to barzolvolimab 150 mg or 300 mg; after crossover, these patients experienced similar clinically meaningful disease response as the rest of the study population.</w:t>
      </w:r>
    </w:p>
    <w:p>
      <w:pPr>
        <w:spacing w:after="0" w:line="135" w:lineRule="exact"/>
        <w:rPr>
          <w:rFonts w:ascii="Times New Roman" w:cs="Times New Roman" w:eastAsia="Times New Roman" w:hAnsi="Times New Roman"/>
          <w:sz w:val="18"/>
          <w:szCs w:val="18"/>
          <w:color w:val="auto"/>
        </w:rPr>
      </w:pPr>
    </w:p>
    <w:p>
      <w:pPr>
        <w:ind w:left="1000" w:right="220" w:hanging="317"/>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 of patients treated with barzolvolimab 150 mg Q4W and 52% of patients treated with 300 mg Q8W had a complete response (no itch/hives; UAS7=0) at Week 52. These responses were observed early and sustained through 52 weeks.</w:t>
      </w:r>
    </w:p>
    <w:p>
      <w:pPr>
        <w:spacing w:after="0" w:line="134" w:lineRule="exact"/>
        <w:rPr>
          <w:rFonts w:ascii="Times New Roman" w:cs="Times New Roman" w:eastAsia="Times New Roman" w:hAnsi="Times New Roman"/>
          <w:sz w:val="18"/>
          <w:szCs w:val="18"/>
          <w:color w:val="auto"/>
        </w:rPr>
      </w:pPr>
    </w:p>
    <w:p>
      <w:pPr>
        <w:ind w:left="1000" w:right="700" w:hanging="317"/>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 of patients treated with barzolvolimab 150 mg Q4W and 68% of patients treated with 300 mg Q8W had well controlled (UAS7&lt;6) disease at Week 52.</w:t>
      </w:r>
    </w:p>
    <w:p>
      <w:pPr>
        <w:spacing w:after="0" w:line="12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robust responses were observed regardless of prior omalizumab experience.</w:t>
      </w:r>
    </w:p>
    <w:p>
      <w:pPr>
        <w:spacing w:after="0" w:line="184" w:lineRule="exact"/>
        <w:rPr>
          <w:rFonts w:ascii="Times New Roman" w:cs="Times New Roman" w:eastAsia="Times New Roman" w:hAnsi="Times New Roman"/>
          <w:sz w:val="18"/>
          <w:szCs w:val="18"/>
          <w:color w:val="auto"/>
        </w:rPr>
      </w:pPr>
    </w:p>
    <w:p>
      <w:pPr>
        <w:ind w:left="1000" w:right="360" w:hanging="317"/>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and sustained improvement in urticaria control (UCT) and quality of life (DLQI) were observed in patients with CSU refractory to antihistamines.</w:t>
      </w:r>
    </w:p>
    <w:p>
      <w:pPr>
        <w:spacing w:after="0" w:line="134" w:lineRule="exact"/>
        <w:rPr>
          <w:rFonts w:ascii="Times New Roman" w:cs="Times New Roman" w:eastAsia="Times New Roman" w:hAnsi="Times New Roman"/>
          <w:sz w:val="18"/>
          <w:szCs w:val="18"/>
          <w:color w:val="auto"/>
        </w:rPr>
      </w:pPr>
    </w:p>
    <w:p>
      <w:pPr>
        <w:ind w:left="1340" w:right="60" w:hanging="333"/>
        <w:spacing w:after="0" w:line="282" w:lineRule="auto"/>
        <w:tabs>
          <w:tab w:leader="none" w:pos="13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82% of patients reported that CSU symptoms no longer had an impact on their quality of life at Week 52 and up to 95% of patients reported meaningful improvement in quality of life based on DLQI at Week 52.</w:t>
      </w:r>
    </w:p>
    <w:p>
      <w:pPr>
        <w:spacing w:after="0" w:line="121" w:lineRule="exact"/>
        <w:rPr>
          <w:rFonts w:ascii="Times New Roman" w:cs="Times New Roman" w:eastAsia="Times New Roman" w:hAnsi="Times New Roman"/>
          <w:sz w:val="18"/>
          <w:szCs w:val="18"/>
          <w:color w:val="auto"/>
        </w:rPr>
      </w:pPr>
    </w:p>
    <w:p>
      <w:pPr>
        <w:ind w:left="1340" w:right="280" w:hanging="333"/>
        <w:spacing w:after="0" w:line="282" w:lineRule="auto"/>
        <w:tabs>
          <w:tab w:leader="none" w:pos="13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82% of patients reported well-controlled urticaria based on UCT, and approximately half of patients reported complete control at Week 52.</w:t>
      </w:r>
    </w:p>
    <w:p>
      <w:pPr>
        <w:spacing w:after="0" w:line="121" w:lineRule="exact"/>
        <w:rPr>
          <w:rFonts w:ascii="Times New Roman" w:cs="Times New Roman" w:eastAsia="Times New Roman" w:hAnsi="Times New Roman"/>
          <w:sz w:val="18"/>
          <w:szCs w:val="18"/>
          <w:color w:val="auto"/>
        </w:rPr>
      </w:pPr>
    </w:p>
    <w:p>
      <w:pPr>
        <w:ind w:left="1000" w:right="40" w:hanging="317"/>
        <w:spacing w:after="0" w:line="255"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Barzolvolimab was well tolerated with a favorable safety profile through 52 weeks of treatment. Most adverse events were grade 1 (mild), mechanism related (KIT) and expected to be reversible. The most common treatment emergent adverse events occurring in greater than 10% of barzolvolimab treated patients were hair color changes, neutropenia, urticaria, skin hypopigmentation (areas of skin lightening) and nasopharyngitis (common cold). Neutrophil counts did not decline further with continued dosing and there was no association between infections and neutropenia. The hypopigmentation was observed with longer term exposure and did not lead to treatment discontinuation. Adverse events were not dose dependent.</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June of 2025, 52 week data on angioedema activity and additional measures of angioedema control were presented at the EAACI 2025 Congress. Barzolvolimab continued to demonstrate robust, durable and deepening improvements in angioedema symptoms over the treatment period.</w:t>
      </w:r>
    </w:p>
    <w:p>
      <w:pPr>
        <w:spacing w:after="0" w:line="176" w:lineRule="exact"/>
        <w:rPr>
          <w:sz w:val="20"/>
          <w:szCs w:val="20"/>
          <w:color w:val="auto"/>
        </w:rPr>
      </w:pPr>
    </w:p>
    <w:p>
      <w:pPr>
        <w:ind w:left="1000" w:right="60" w:hanging="317"/>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Week 52, an 86% mean reduction from baseline was reported for 150 mg Q4W arm and an 82% reduction was reported for the 300 mg Q8W.</w:t>
      </w:r>
    </w:p>
    <w:p>
      <w:pPr>
        <w:spacing w:after="0" w:line="161" w:lineRule="exact"/>
        <w:rPr>
          <w:rFonts w:ascii="Times New Roman" w:cs="Times New Roman" w:eastAsia="Times New Roman" w:hAnsi="Times New Roman"/>
          <w:sz w:val="18"/>
          <w:szCs w:val="18"/>
          <w:color w:val="auto"/>
        </w:rPr>
      </w:pPr>
    </w:p>
    <w:p>
      <w:pPr>
        <w:ind w:left="1000" w:right="340" w:hanging="317"/>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77% of patients treated with barzolvolimab who had angioedema at baseline were angioedema free (AAS7=0) at Week 52, which we subsequently announced remained at up to 64% seven months after last dose.</w:t>
      </w:r>
    </w:p>
    <w:p>
      <w:pPr>
        <w:sectPr>
          <w:pgSz w:w="11900" w:h="16838" w:orient="portrait"/>
          <w:cols w:equalWidth="0" w:num="1">
            <w:col w:w="9900"/>
          </w:cols>
          <w:pgMar w:left="980" w:top="661" w:right="101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right="100" w:hanging="317"/>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treated with barzolvolimab were angioedema free up to 72% of the time over the 52 week treatment period. Up to 87% of patients reported clinically meaningful improvement (&gt;8 point) in AAS7 at Week 52.</w:t>
      </w:r>
    </w:p>
    <w:p>
      <w:pPr>
        <w:spacing w:after="0" w:line="162"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In June of 2025, long term follow up data from the Phase 2 CSU study were presented at the EAACI 2025 Congress. At Week 76, seven months after receiving their final dose of barzolvolimab, patients continued to experience profound clinical benefit on study. Key highlights included:</w:t>
      </w:r>
    </w:p>
    <w:p>
      <w:pPr>
        <w:spacing w:after="0" w:line="176" w:lineRule="exact"/>
        <w:rPr>
          <w:sz w:val="20"/>
          <w:szCs w:val="20"/>
          <w:color w:val="auto"/>
        </w:rPr>
      </w:pPr>
    </w:p>
    <w:p>
      <w:pPr>
        <w:ind w:left="1000" w:right="280" w:hanging="317"/>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UAS7 mean change from baseline at Week 76 was -20.42 for patients treated with 150 mg Q4W and -21.10 for patients treated with 300 mg Q8W.</w:t>
      </w:r>
    </w:p>
    <w:p>
      <w:pPr>
        <w:spacing w:after="0" w:line="161" w:lineRule="exact"/>
        <w:rPr>
          <w:rFonts w:ascii="Times New Roman" w:cs="Times New Roman" w:eastAsia="Times New Roman" w:hAnsi="Times New Roman"/>
          <w:sz w:val="18"/>
          <w:szCs w:val="18"/>
          <w:color w:val="auto"/>
        </w:rPr>
      </w:pPr>
    </w:p>
    <w:p>
      <w:pPr>
        <w:ind w:left="1000" w:right="220" w:hanging="317"/>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of patients treated with barzolvolimab 150 mg Q4W and 35% of patients treated with 300 mg Q8W had a complete response (no itch/hives; UAS7=0) at Week 76.</w:t>
      </w:r>
    </w:p>
    <w:p>
      <w:pPr>
        <w:spacing w:after="0" w:line="161" w:lineRule="exact"/>
        <w:rPr>
          <w:rFonts w:ascii="Times New Roman" w:cs="Times New Roman" w:eastAsia="Times New Roman" w:hAnsi="Times New Roman"/>
          <w:sz w:val="18"/>
          <w:szCs w:val="18"/>
          <w:color w:val="auto"/>
        </w:rPr>
      </w:pPr>
    </w:p>
    <w:p>
      <w:pPr>
        <w:ind w:left="1000" w:right="700" w:hanging="317"/>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 of patients treated with barzolvolimab 150 mg Q4W and 47% of patients treated with 300 mg Q8W had well controlled disease (UAS7≤6) at Week 76.</w:t>
      </w:r>
    </w:p>
    <w:p>
      <w:pPr>
        <w:spacing w:after="0" w:line="161" w:lineRule="exact"/>
        <w:rPr>
          <w:rFonts w:ascii="Times New Roman" w:cs="Times New Roman" w:eastAsia="Times New Roman" w:hAnsi="Times New Roman"/>
          <w:sz w:val="18"/>
          <w:szCs w:val="18"/>
          <w:color w:val="auto"/>
        </w:rPr>
      </w:pPr>
    </w:p>
    <w:p>
      <w:pPr>
        <w:ind w:left="1000" w:hanging="317"/>
        <w:spacing w:after="0" w:line="261"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 of patients treated with barzolvolimab 150 mg Q4W and 40% of patients treated with 300 mg Q8W reported that CSU had no impact on their quality of life at 76 weeks as measured by the Dermatology Life Quality Index (DLQI). Current clinical guidelines recommend complete response (UAS7=0) as the goal of treatment and achieving complete response is directly correlated to the greatest improvements in quality of life for patients.</w:t>
      </w:r>
    </w:p>
    <w:p>
      <w:pPr>
        <w:spacing w:after="0" w:line="179" w:lineRule="exact"/>
        <w:rPr>
          <w:rFonts w:ascii="Times New Roman" w:cs="Times New Roman" w:eastAsia="Times New Roman" w:hAnsi="Times New Roman"/>
          <w:sz w:val="18"/>
          <w:szCs w:val="18"/>
          <w:color w:val="auto"/>
        </w:rPr>
      </w:pPr>
    </w:p>
    <w:p>
      <w:pPr>
        <w:ind w:left="1000" w:right="280" w:hanging="317"/>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76 weeks, up to 64% of barzolvolimab treated patients remained angioedema free (AAS7=0) seven months after last dose of barzolvolimab (reported in company press release dated February 25, 2026).</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robust responses and improvements in quality of life and angioedema were observed regardless of prior omalizumab experience.</w:t>
      </w:r>
    </w:p>
    <w:p>
      <w:pPr>
        <w:spacing w:after="0" w:line="161" w:lineRule="exact"/>
        <w:rPr>
          <w:rFonts w:ascii="Times New Roman" w:cs="Times New Roman" w:eastAsia="Times New Roman" w:hAnsi="Times New Roman"/>
          <w:sz w:val="18"/>
          <w:szCs w:val="18"/>
          <w:color w:val="auto"/>
        </w:rPr>
      </w:pPr>
    </w:p>
    <w:p>
      <w:pPr>
        <w:ind w:left="1000" w:right="60" w:hanging="317"/>
        <w:spacing w:after="0" w:line="261"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Barzolvolimab was well tolerated with a favorable safety profile through 76 weeks. No new safety signals were identified during the follow-up period. As expected, neutrophil counts returned to baseline following the completion of barzolvolimab treatment and the mild hair color changes and skin hypopigmentation observed on study were demonstrated to be reversible following discontinuation of treatment.</w:t>
      </w:r>
    </w:p>
    <w:p>
      <w:pPr>
        <w:spacing w:after="0" w:line="180"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In September at EADV 2025, data were presented demonstrating rapid and strong efficacy regardless of baseline immunoglobulin E (IgE) levels. In November 2025, at the American College of Allergy, Asthma &amp; Immunology’s Annual Scientific (ACAAI) Meeting, data were presented demonstrating that barzolvolimab leads to rapid and profound improvements in UCT7 scores with sustained disease control off treatment.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these results strongly support the further development of barzolvolimab in CSU.</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July 2024, we initiated two Phase 3 studies of barzolvolimab in CSU. The studies, EMBARQ-CSU1 and EMBARQ-CSU2, are designed to establish the efficacy and safety of barzolvolimab in adult patients with CSU who remain symptomatic despite H1 antihistamine treatment. 1,939 patients were enrolled—the largest program conducted in antihistamine refractory CSU, including patients with advanced therapy experienced/refractory CSU. The studies included 43 countries and over 500 sites. Both Phase 3 trials are randomized, double-blind, placebo-controlled, parallel group, global studies where patients have been randomized evenly per trial to barzolvolimab 150 mg every 4 weeks (following 300 mg loading dose), barzolvolimab 300 mg every 8 weeks (following 450 mg loading dose) or placebo for 52 weeks. At 24 weeks, patients on placebo are re-randomized to active treatment across both dosing groups. After completion of the 52 week treatment period, patients on study are followed for 16 weeks. The primary endpoint of the studies will evaluate the clinical effect of barzolvolimab in reducing urticaria activity (weekly urticaria activity score; UAS7) at Week 12. The studies are designed to detect a clinically meaningful difference between each of the active arms versus placebo in the overall population as well as in the subpopulation of omalizumab refractory participants. The primary endpoint analysis will be performed when all patients have completed the placebo controlled portion of the study at 24 weeks. Enrollment to the studies was completed in February 2026 and topline data will be available in Q4 2026. Assuming positive Phase 3 data, the Company plans to file a BLA in 2027.</w:t>
      </w:r>
    </w:p>
    <w:p>
      <w:pPr>
        <w:spacing w:after="0" w:line="18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addition, a global Phase 3b long term extension (LTE) study has been established for patient entry after completion of the EMBARQ - CSU Phase 3 trials. The study will consist of 2 Groups: Group 1 (Observation Group), containing patients whose disease remains well controlled (UAS7&lt;16) and Group 2 (Barzolvolimab Retreatment Group) containing patients whose disease is currently moderate to severe (UAS7≥16). Patients in Group 2 will receive up to an additional year of treatment with barzolvolimab. Patients in the observation group (Group 1) whose CSU flares to a UAS7&gt;/=16 in the first 6 months of the LTE will also be able to receive treatment.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Chronic Inducible Urticaria (CIndU) Summary of Phase 1 and Phase 2 Data</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CIndUs are forms of urticaria that have an attributable cause or trigger associated with them, typically resulting in hives or wheals. The prevalence of CIndU is estimated at 0.5% of the total population and is reported to overlap in up to 36% of CSU patients (Weller et al. 2010. Hautarzt. 61(8), Bartlett et al. 2018. DermNet.Org). There are currently no approved therapies for chronic inducible urticarias other than antihistamines and patients attempt to manage symptoms associated with their disease through avoidance of triggers.</w:t>
      </w:r>
    </w:p>
    <w:p>
      <w:pPr>
        <w:spacing w:after="0" w:line="180" w:lineRule="exact"/>
        <w:rPr>
          <w:sz w:val="20"/>
          <w:szCs w:val="20"/>
          <w:color w:val="auto"/>
        </w:rPr>
      </w:pPr>
    </w:p>
    <w:p>
      <w:pPr>
        <w:ind w:right="240" w:firstLine="648"/>
        <w:spacing w:after="0" w:line="273" w:lineRule="auto"/>
        <w:rPr>
          <w:sz w:val="20"/>
          <w:szCs w:val="20"/>
          <w:color w:val="auto"/>
        </w:rPr>
      </w:pPr>
      <w:r>
        <w:rPr>
          <w:rFonts w:ascii="Times New Roman" w:cs="Times New Roman" w:eastAsia="Times New Roman" w:hAnsi="Times New Roman"/>
          <w:sz w:val="17"/>
          <w:szCs w:val="17"/>
          <w:color w:val="auto"/>
        </w:rPr>
        <w:t>We completed a Phase 1b open label clinical trial in patients with CIndU refractory to antihistamines, conducted in Germany. This study was designed to evaluate the safety of a single intravenous dose (3 mg/kg) of barzolvolimab in patients with cold urticaria (ColdU) or symptomatic dermographism (SD). The study was expanded to include a cohort (single dose, 3 mg/kg) in patients with cholinergic urticaria (“CholU”) and a cohort at a lower dose (single dose, 1.5 mg/kg) in ColdU. Patient’s symptoms were induced via provocation testing that resembles real life triggering situations. Secondary and exploratory objectives included pharmacokinetic and pharmacodynamic assessments, including changes from baseline provocation thresholds, measurement of tryptase and stem cell factor levels, clinical activity outcomes, quality of life assessments and measurement of tissue mast cells through skin biopsies.</w:t>
      </w:r>
    </w:p>
    <w:p>
      <w:pPr>
        <w:spacing w:after="0" w:line="13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Generally patients on study had high disease activity at baseline that was poorly controlled and marked impairment in quality of life. At 3 mg/kg in the ColdU and SD cohorts, safety results were reported for 21 patients and activity results were reported for the 20 patients who received a full dose of barzolvolimab. At 1.5 mg/kg in the ColdU cohort, safety results were reported for 10 patients and activity results were reported for the 9 patients who received a full dose of barzolvolimab. At 3 mg/kg in the cholinergic cohort, safety results were reported for 21 patients and activity results were reported for the 20 patients who received a full dose of barzolvolimab.</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Rapid (as early as 1 week) and durable responses were observed in patients as assessed by provocation testing.</w:t>
      </w:r>
    </w:p>
    <w:p>
      <w:pPr>
        <w:spacing w:after="0" w:line="185" w:lineRule="exact"/>
        <w:rPr>
          <w:sz w:val="20"/>
          <w:szCs w:val="20"/>
          <w:color w:val="auto"/>
        </w:rPr>
      </w:pPr>
    </w:p>
    <w:p>
      <w:pPr>
        <w:ind w:left="1000" w:right="120" w:hanging="317"/>
        <w:spacing w:after="0" w:line="254"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response was achieved in 95% (n=19/20) of patients with ColdU and SD treated with a single dose at 3 mg/kg (n=10/10 ColdU; n=9/10 SD), including 3 patients who experienced insufficient response to prior omalizumab treatment. The median duration (range) of complete response through the 12-week observation period was 77+ days (29–86; n=10) for patients with ColdU and 57+ days (16–70; n=9) for patients with SD. A UCT score of ≥12 (well controlled) was achieved by 80% (n=16/20) of the patients within Week 4 post-treatment. By Week 8, all patients (100%; n=20/20) achieved well-controlled urticaria, which was sustained to Week 12 post-dose by 80% (n=16/20) of patients. Complete urticaria control (UCT=16) was achieved by 35% (n=7/20), 65% (n=13/20), and 40% (n=8/20) at Weeks 4, 8, and 12, respectively.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right="360" w:hanging="317"/>
        <w:spacing w:after="0" w:line="261"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response was achieved in 100% (n=9 of 9) patients with ColdU treated with a single dose at 1.5 mg/kg, including 4 patients with disease refractory to omalizumab. The median duration of complete response through the 12-week observation period was 51+ days (7+ weeks). Following barzolvolimab administration, all patients achieved well controlled disease (UCT&gt;12) with 7 of 9 achieving complete control (UCT=16).</w:t>
      </w:r>
    </w:p>
    <w:p>
      <w:pPr>
        <w:spacing w:after="0" w:line="139" w:lineRule="exact"/>
        <w:rPr>
          <w:rFonts w:ascii="Times New Roman" w:cs="Times New Roman" w:eastAsia="Times New Roman" w:hAnsi="Times New Roman"/>
          <w:sz w:val="18"/>
          <w:szCs w:val="18"/>
          <w:color w:val="auto"/>
        </w:rPr>
      </w:pPr>
    </w:p>
    <w:p>
      <w:pPr>
        <w:ind w:left="1000" w:right="260" w:hanging="317"/>
        <w:spacing w:after="0" w:line="26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response was achieved in 56% (n=5 of 9) patients with cholinergic urticaria treated with a single dose at 3 mg/kg. Most responses remained durable through to Week 12. 63% (5/8) patients reported well controlled disease (UCT ≥12) at Week 8 and 50% (4/8) at Week 12, respectively.</w:t>
      </w:r>
    </w:p>
    <w:p>
      <w:pPr>
        <w:spacing w:after="0" w:line="148" w:lineRule="exact"/>
        <w:rPr>
          <w:rFonts w:ascii="Times New Roman" w:cs="Times New Roman" w:eastAsia="Times New Roman" w:hAnsi="Times New Roman"/>
          <w:sz w:val="18"/>
          <w:szCs w:val="18"/>
          <w:color w:val="auto"/>
        </w:rPr>
      </w:pPr>
    </w:p>
    <w:p>
      <w:pPr>
        <w:ind w:left="1000" w:right="40" w:hanging="317"/>
        <w:spacing w:after="0" w:line="26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also reported improvements in quality of life outcomes as assessed by the Dermatology Life Quality Index (DLQI) which surveys patients’ perceptions of symptoms and feelings, daily activities, leisure, work and school performance, personal relationships and treatment.</w:t>
      </w:r>
    </w:p>
    <w:p>
      <w:pPr>
        <w:spacing w:after="0" w:line="135" w:lineRule="exact"/>
        <w:rPr>
          <w:rFonts w:ascii="Times New Roman" w:cs="Times New Roman" w:eastAsia="Times New Roman" w:hAnsi="Times New Roman"/>
          <w:sz w:val="18"/>
          <w:szCs w:val="18"/>
          <w:color w:val="auto"/>
        </w:rPr>
      </w:pPr>
    </w:p>
    <w:p>
      <w:pPr>
        <w:ind w:left="1000" w:right="20" w:hanging="317"/>
        <w:spacing w:after="0" w:line="261"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single dose of barzolvolimab led to marked decreases in tryptase and in skin mast cells. The kinetics correlated with improvements in provocation testing and clinical activity, consistent with a central role for mast cells in the pathogenesis of ColdU and SD. This confirmed that serum tryptase level is a robust pharmacodynamic biomarker for assessing mast cell burden and clinical activity in inducible urticaria and potentially in other diseases with mast cell driven involvement.</w:t>
      </w:r>
    </w:p>
    <w:p>
      <w:pPr>
        <w:spacing w:after="0" w:line="139" w:lineRule="exact"/>
        <w:rPr>
          <w:rFonts w:ascii="Times New Roman" w:cs="Times New Roman" w:eastAsia="Times New Roman" w:hAnsi="Times New Roman"/>
          <w:sz w:val="18"/>
          <w:szCs w:val="18"/>
          <w:color w:val="auto"/>
        </w:rPr>
      </w:pPr>
    </w:p>
    <w:p>
      <w:pPr>
        <w:ind w:left="1000" w:right="20" w:hanging="317"/>
        <w:spacing w:after="0" w:line="253"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Barzolvolimab was well tolerated across all cohorts. In the 3 mg/kg ColdU and SD cohorts, most adverse events were mild, and the most common (≥3 patients) were hair color changes (76%; n=16/21), infusion reactions (43%; n=9/21), taste changes (38%; n=8/21), nasopharyngitis (24%; n=5/21), malaise (24%; n=5/21), and headache (19%; n=4/21). Hair color changes (generally small areas of hair color lightening) and taste disorders (generally partial changes of ability to taste salt or umami) are consistent with inhibiting KIT signaling in other cell types and completely resolved over time during follow-up. One patient with a history of fainting experienced loss of consciousness during infusion. The patient rapidly recovered. Importantly, no evidence of mast cell activation as measured by serum tryptase monitoring was observed in this patient. Barzolvolimab was also generally well tolerated by patients in the 1.5 mg/kg ColdU cohort and the 3.0 mg/kg cholinergic cohort with a similar safety profile to that reported previously. Across the Phase 1b inducible urticaria study, mean hematology parameters generally remained within the normal ranges—an important finding for a KIT inhibitor. Mild, transient, and asymptomatic decreases in hemoglobin and white blood cell parameters occurred for some patients.</w:t>
      </w:r>
    </w:p>
    <w:p>
      <w:pPr>
        <w:spacing w:after="0" w:line="164" w:lineRule="exact"/>
        <w:rPr>
          <w:rFonts w:ascii="Times New Roman" w:cs="Times New Roman" w:eastAsia="Times New Roman" w:hAnsi="Times New Roman"/>
          <w:sz w:val="18"/>
          <w:szCs w:val="18"/>
          <w:color w:val="auto"/>
        </w:rPr>
      </w:pPr>
    </w:p>
    <w:p>
      <w:pPr>
        <w:ind w:left="1000" w:right="100" w:hanging="317"/>
        <w:spacing w:after="0" w:line="254"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term follow up data was collected from the 3.0 mg/kg cohorts in cold urticaria and symptomatic dermographism. 14 patients consented to the optional evaluation (6 cold, 8 symptomatic dermographism); 10 of the 14 still had complete control of their disease as assessed by provocation testing at Week 12. Data were collected at one or more timepoints beyond Week 12 through Week 36. Most patients had return of symptoms and/or loss of urticaria control between 12 and 36 weeks. Remarkably, two patients remained provocation negative at 36 weeks, and four had well controlled disease (UCT ≥12) 36 weeks post dosing. Serum tryptase exhibits a similar rate of recovery as clinical symptoms, while skin mast cells return at a slower rate. Tissue KIT signaling, as approximated by SCF levels, was rapidly inhibited after dose administration and fully reactivated approximately 18 weeks after dosing. Tryptase levels return to pretreatment levels during follow up, while mast cells continue to recover. Drug related adverse events noted during the study all resolved.</w:t>
      </w:r>
    </w:p>
    <w:p>
      <w:pPr>
        <w:spacing w:after="0" w:line="14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Data from this study were reported in Allergy (Nov 2022) and across multiple medical meetings, including the GA²LEN Global Urticaria Forum (GUF) in December and the European Academy of Allergy and Clinical Immunology (EAACI) Annual Congress in June 2022.</w:t>
      </w:r>
    </w:p>
    <w:p>
      <w:pPr>
        <w:spacing w:after="0" w:line="13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completed a Phase 2 study in patients with CIndU who remain symptomatic despite antihistamine therapy. The study was conducted at approximately 85 sites across approximately 12 countries. The randomized, double-blind, placebo-controlled, parallel group Phase 2 study evaluated the efficacy and safety profile of multiple dose regimens of barzolvolimab in patients with CIndU to determine the optimal dosing strategy. 196 patients in 2 cohorts (differentiated by CIndU subtype) including 97 patients with cold urticaria and 99 patients with symptomatic dermographism were randomly assigned on a 1:1:1 ratio to receive subcutaneous injections of barzolvolimab at 150 mg every 4 weeks, 300 mg every 8 weeks or placebo during a 20-week treatment phase. Patients then entered a follow-up phase for an additional 24 weeks. In addition, the study included the option for patients who had symptoms following the treatment phase, including patients who were on placebo, to enroll in an open label extension where all patients received 300 mg of barzolvolimab every 8 weeks. The primary endpoint of the study was the percentage of patients with a negative provocation test at Week 12. Secondary endpoints included safety and other assessments of clinical activity including CTT (Critical Temperature Threshold), CFT (Critical Friction Threshold) and WI-NRS (Worst itch numeric rating scale).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Topline primary endpoint data from this study were reported in July 2024 and 12 week treatment results were presented at the American College of Allergy, Asthma &amp; Immunology’s Annual Scientific Meeting. Data from the 193 patients randomized and treated in the study showed that barzolvolimab achieved the primary efficacy endpoint, a statistically significant difference between the percent of patients with a negative provocation test compared to placebo at Week 12 as assessed by the TempTest® in ColdU and the FricTest® in SD. Secondary and exploratory endpoints in the study were also achieved at Week 12 and strongly support the primary endpoint results, including responder analyses, improvements in Critical Temperature and Critical Friction Thresholds (CFT and CFT), changes in WI-NRSprovo (itch associated with provocation test) and Urticaria Control Test. Demographics and baseline disease characteristics were well balanced across treatment groups. Patients on study had poorly controlled disease on initial provocation testing. In cold urticaria, patients presented with a mean baseline critical temperature threshold of approximately 19°C or 66°F on the TempTest on initial provocation testing. In patients with symptomatic dermographism baseline FricTest thresholds were an average of 3.6 out of 4 pins. UCT scores at baseline also reflected poorly controlled disease.</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Summary of Clinical Assessments at Week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-94615</wp:posOffset>
            </wp:positionV>
            <wp:extent cx="5023485" cy="32575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023485" cy="3257550"/>
                    </a:xfrm>
                    <a:prstGeom prst="rect">
                      <a:avLst/>
                    </a:prstGeom>
                    <a:noFill/>
                  </pic:spPr>
                </pic:pic>
              </a:graphicData>
            </a:graphic>
          </wp:anchor>
        </w:drawing>
      </w:r>
    </w:p>
    <w:tbl>
      <w:tblPr>
        <w:tblLayout w:type="fixed"/>
        <w:tblInd w:w="1000" w:type="dxa"/>
        <w:tblCellMar>
          <w:top w:w="0" w:type="dxa"/>
          <w:left w:w="0" w:type="dxa"/>
          <w:bottom w:w="0" w:type="dxa"/>
          <w:right w:w="0" w:type="dxa"/>
        </w:tblCellMar>
      </w:tblPr>
      <w:tr>
        <w:trPr>
          <w:trHeight w:val="142"/>
        </w:trPr>
        <w:tc>
          <w:tcPr>
            <w:tcW w:w="2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820" w:type="dxa"/>
            <w:vAlign w:val="bottom"/>
            <w:tcBorders>
              <w:top w:val="single" w:sz="8" w:color="auto"/>
              <w:bottom w:val="single" w:sz="8" w:color="auto"/>
              <w:right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Cold Urticaria</w:t>
            </w:r>
          </w:p>
        </w:tc>
        <w:tc>
          <w:tcPr>
            <w:tcW w:w="780" w:type="dxa"/>
            <w:vAlign w:val="bottom"/>
            <w:tcBorders>
              <w:top w:val="single" w:sz="8" w:color="auto"/>
              <w:bottom w:val="single" w:sz="8" w:color="auto"/>
              <w:right w:val="single" w:sz="8" w:color="auto"/>
            </w:tcBorders>
          </w:tcPr>
          <w:p>
            <w:pPr>
              <w:spacing w:after="0"/>
              <w:rPr>
                <w:sz w:val="12"/>
                <w:szCs w:val="12"/>
                <w:color w:val="auto"/>
              </w:rPr>
            </w:pPr>
          </w:p>
        </w:tc>
        <w:tc>
          <w:tcPr>
            <w:tcW w:w="260" w:type="dxa"/>
            <w:vAlign w:val="bottom"/>
            <w:tcBorders>
              <w:top w:val="single" w:sz="8" w:color="auto"/>
              <w:bottom w:val="single" w:sz="8" w:color="CCEEFF"/>
              <w:right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top w:val="single" w:sz="8" w:color="auto"/>
              <w:bottom w:val="single" w:sz="8" w:color="auto"/>
            </w:tcBorders>
            <w:gridSpan w:val="3"/>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Symptomatic Dermographism</w:t>
            </w:r>
          </w:p>
        </w:tc>
        <w:tc>
          <w:tcPr>
            <w:tcW w:w="2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2"/>
        </w:trPr>
        <w:tc>
          <w:tcPr>
            <w:tcW w:w="220" w:type="dxa"/>
            <w:vAlign w:val="bottom"/>
            <w:shd w:val="clear" w:color="auto" w:fill="CCEEFF"/>
          </w:tcPr>
          <w:p>
            <w:pPr>
              <w:spacing w:after="0"/>
              <w:rPr>
                <w:sz w:val="23"/>
                <w:szCs w:val="23"/>
                <w:color w:val="auto"/>
              </w:rPr>
            </w:pPr>
          </w:p>
        </w:tc>
        <w:tc>
          <w:tcPr>
            <w:tcW w:w="1920" w:type="dxa"/>
            <w:vAlign w:val="bottom"/>
            <w:tcBorders>
              <w:right w:val="single" w:sz="8" w:color="auto"/>
            </w:tcBorders>
            <w:gridSpan w:val="2"/>
            <w:vMerge w:val="restart"/>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All measurements at</w:t>
            </w:r>
          </w:p>
        </w:tc>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150 mg</w:t>
            </w:r>
          </w:p>
        </w:tc>
        <w:tc>
          <w:tcPr>
            <w:tcW w:w="100" w:type="dxa"/>
            <w:vAlign w:val="bottom"/>
            <w:tcBorders>
              <w:right w:val="single" w:sz="8" w:color="auto"/>
            </w:tcBorders>
            <w:shd w:val="clear" w:color="auto" w:fill="CCEEFF"/>
          </w:tcPr>
          <w:p>
            <w:pPr>
              <w:spacing w:after="0"/>
              <w:rPr>
                <w:sz w:val="23"/>
                <w:szCs w:val="23"/>
                <w:color w:val="auto"/>
              </w:rPr>
            </w:pPr>
          </w:p>
        </w:tc>
        <w:tc>
          <w:tcPr>
            <w:tcW w:w="880" w:type="dxa"/>
            <w:vAlign w:val="bottom"/>
            <w:tcBorders>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300 mg</w:t>
            </w:r>
          </w:p>
        </w:tc>
        <w:tc>
          <w:tcPr>
            <w:tcW w:w="780" w:type="dxa"/>
            <w:vAlign w:val="bottom"/>
            <w:tcBorders>
              <w:right w:val="single" w:sz="8" w:color="auto"/>
            </w:tcBorders>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Placebo</w:t>
            </w:r>
          </w:p>
        </w:tc>
        <w:tc>
          <w:tcPr>
            <w:tcW w:w="260" w:type="dxa"/>
            <w:vAlign w:val="bottom"/>
            <w:tcBorders>
              <w:right w:val="single" w:sz="8" w:color="auto"/>
            </w:tcBorders>
            <w:shd w:val="clear" w:color="auto" w:fill="CCEEFF"/>
          </w:tcPr>
          <w:p>
            <w:pPr>
              <w:spacing w:after="0"/>
              <w:rPr>
                <w:sz w:val="23"/>
                <w:szCs w:val="23"/>
                <w:color w:val="auto"/>
              </w:rPr>
            </w:pPr>
          </w:p>
        </w:tc>
        <w:tc>
          <w:tcPr>
            <w:tcW w:w="10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150 mg</w:t>
            </w:r>
          </w:p>
        </w:tc>
        <w:tc>
          <w:tcPr>
            <w:tcW w:w="9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300 mg</w:t>
            </w: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Placebo</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4"/>
        </w:trPr>
        <w:tc>
          <w:tcPr>
            <w:tcW w:w="220" w:type="dxa"/>
            <w:vAlign w:val="bottom"/>
            <w:shd w:val="clear" w:color="auto" w:fill="CCEEFF"/>
          </w:tcPr>
          <w:p>
            <w:pPr>
              <w:spacing w:after="0"/>
              <w:rPr>
                <w:sz w:val="9"/>
                <w:szCs w:val="9"/>
                <w:color w:val="auto"/>
              </w:rPr>
            </w:pPr>
          </w:p>
        </w:tc>
        <w:tc>
          <w:tcPr>
            <w:tcW w:w="1920" w:type="dxa"/>
            <w:vAlign w:val="bottom"/>
            <w:tcBorders>
              <w:right w:val="single" w:sz="8" w:color="auto"/>
            </w:tcBorders>
            <w:gridSpan w:val="2"/>
            <w:vMerge w:val="continue"/>
            <w:shd w:val="clear" w:color="auto" w:fill="CCEEFF"/>
          </w:tcPr>
          <w:p>
            <w:pPr>
              <w:spacing w:after="0"/>
              <w:rPr>
                <w:sz w:val="9"/>
                <w:szCs w:val="9"/>
                <w:color w:val="auto"/>
              </w:rPr>
            </w:pP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q4w</w:t>
            </w:r>
          </w:p>
        </w:tc>
        <w:tc>
          <w:tcPr>
            <w:tcW w:w="100" w:type="dxa"/>
            <w:vAlign w:val="bottom"/>
            <w:tcBorders>
              <w:right w:val="single" w:sz="8" w:color="auto"/>
            </w:tcBorders>
            <w:shd w:val="clear" w:color="auto" w:fill="CCEEFF"/>
          </w:tcPr>
          <w:p>
            <w:pPr>
              <w:spacing w:after="0"/>
              <w:rPr>
                <w:sz w:val="9"/>
                <w:szCs w:val="9"/>
                <w:color w:val="auto"/>
              </w:rPr>
            </w:pPr>
          </w:p>
        </w:tc>
        <w:tc>
          <w:tcPr>
            <w:tcW w:w="8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q8w</w:t>
            </w:r>
          </w:p>
        </w:tc>
        <w:tc>
          <w:tcPr>
            <w:tcW w:w="780" w:type="dxa"/>
            <w:vAlign w:val="bottom"/>
            <w:tcBorders>
              <w:right w:val="single" w:sz="8" w:color="auto"/>
            </w:tcBorders>
            <w:vMerge w:val="continue"/>
            <w:shd w:val="clear" w:color="auto" w:fill="CCEEFF"/>
          </w:tcPr>
          <w:p>
            <w:pPr>
              <w:spacing w:after="0"/>
              <w:rPr>
                <w:sz w:val="9"/>
                <w:szCs w:val="9"/>
                <w:color w:val="auto"/>
              </w:rPr>
            </w:pPr>
          </w:p>
        </w:tc>
        <w:tc>
          <w:tcPr>
            <w:tcW w:w="260" w:type="dxa"/>
            <w:vAlign w:val="bottom"/>
            <w:tcBorders>
              <w:right w:val="single" w:sz="8" w:color="auto"/>
            </w:tcBorders>
            <w:shd w:val="clear" w:color="auto" w:fill="CCEEFF"/>
          </w:tcPr>
          <w:p>
            <w:pPr>
              <w:spacing w:after="0"/>
              <w:rPr>
                <w:sz w:val="9"/>
                <w:szCs w:val="9"/>
                <w:color w:val="auto"/>
              </w:rPr>
            </w:pPr>
          </w:p>
        </w:tc>
        <w:tc>
          <w:tcPr>
            <w:tcW w:w="10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q4w</w:t>
            </w:r>
          </w:p>
        </w:tc>
        <w:tc>
          <w:tcPr>
            <w:tcW w:w="9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q8w</w:t>
            </w:r>
          </w:p>
        </w:tc>
        <w:tc>
          <w:tcPr>
            <w:tcW w:w="880" w:type="dxa"/>
            <w:vAlign w:val="bottom"/>
            <w:vMerge w:val="continue"/>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20" w:type="dxa"/>
            <w:vAlign w:val="bottom"/>
            <w:tcBorders>
              <w:right w:val="single" w:sz="8" w:color="auto"/>
            </w:tcBorders>
            <w:vMerge w:val="restart"/>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Week 12</w:t>
            </w:r>
          </w:p>
        </w:tc>
        <w:tc>
          <w:tcPr>
            <w:tcW w:w="820" w:type="dxa"/>
            <w:vAlign w:val="bottom"/>
            <w:vMerge w:val="continue"/>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880" w:type="dxa"/>
            <w:vAlign w:val="bottom"/>
            <w:tcBorders>
              <w:right w:val="single" w:sz="8" w:color="auto"/>
            </w:tcBorders>
            <w:vMerge w:val="continue"/>
            <w:shd w:val="clear" w:color="auto" w:fill="CCEEFF"/>
          </w:tcPr>
          <w:p>
            <w:pPr>
              <w:spacing w:after="0"/>
              <w:rPr>
                <w:sz w:val="9"/>
                <w:szCs w:val="9"/>
                <w:color w:val="auto"/>
              </w:rPr>
            </w:pPr>
          </w:p>
        </w:tc>
        <w:tc>
          <w:tcPr>
            <w:tcW w:w="7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(n=32)</w:t>
            </w:r>
          </w:p>
        </w:tc>
        <w:tc>
          <w:tcPr>
            <w:tcW w:w="260" w:type="dxa"/>
            <w:vAlign w:val="bottom"/>
            <w:tcBorders>
              <w:right w:val="single" w:sz="8" w:color="auto"/>
            </w:tcBorders>
            <w:shd w:val="clear" w:color="auto" w:fill="CCEEFF"/>
          </w:tcPr>
          <w:p>
            <w:pPr>
              <w:spacing w:after="0"/>
              <w:rPr>
                <w:sz w:val="9"/>
                <w:szCs w:val="9"/>
                <w:color w:val="auto"/>
              </w:rPr>
            </w:pPr>
          </w:p>
        </w:tc>
        <w:tc>
          <w:tcPr>
            <w:tcW w:w="1060" w:type="dxa"/>
            <w:vAlign w:val="bottom"/>
            <w:tcBorders>
              <w:right w:val="single" w:sz="8" w:color="auto"/>
            </w:tcBorders>
            <w:vMerge w:val="continue"/>
            <w:shd w:val="clear" w:color="auto" w:fill="CCEEFF"/>
          </w:tcPr>
          <w:p>
            <w:pPr>
              <w:spacing w:after="0"/>
              <w:rPr>
                <w:sz w:val="9"/>
                <w:szCs w:val="9"/>
                <w:color w:val="auto"/>
              </w:rPr>
            </w:pPr>
          </w:p>
        </w:tc>
        <w:tc>
          <w:tcPr>
            <w:tcW w:w="980" w:type="dxa"/>
            <w:vAlign w:val="bottom"/>
            <w:tcBorders>
              <w:right w:val="single" w:sz="8" w:color="auto"/>
            </w:tcBorders>
            <w:vMerge w:val="continue"/>
            <w:shd w:val="clear" w:color="auto" w:fill="CCEEFF"/>
          </w:tcPr>
          <w:p>
            <w:pPr>
              <w:spacing w:after="0"/>
              <w:rPr>
                <w:sz w:val="9"/>
                <w:szCs w:val="9"/>
                <w:color w:val="auto"/>
              </w:rPr>
            </w:pP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(n=31)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20" w:type="dxa"/>
            <w:vAlign w:val="bottom"/>
            <w:tcBorders>
              <w:right w:val="single" w:sz="8" w:color="auto"/>
            </w:tcBorders>
            <w:vMerge w:val="continue"/>
            <w:shd w:val="clear" w:color="auto" w:fill="CCEEFF"/>
          </w:tcPr>
          <w:p>
            <w:pPr>
              <w:spacing w:after="0"/>
              <w:rPr>
                <w:sz w:val="10"/>
                <w:szCs w:val="10"/>
                <w:color w:val="auto"/>
              </w:rPr>
            </w:pP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(n=32)</w:t>
            </w:r>
          </w:p>
        </w:tc>
        <w:tc>
          <w:tcPr>
            <w:tcW w:w="100" w:type="dxa"/>
            <w:vAlign w:val="bottom"/>
            <w:tcBorders>
              <w:right w:val="single" w:sz="8" w:color="auto"/>
            </w:tcBorders>
            <w:shd w:val="clear" w:color="auto" w:fill="CCEEFF"/>
          </w:tcPr>
          <w:p>
            <w:pPr>
              <w:spacing w:after="0"/>
              <w:rPr>
                <w:sz w:val="10"/>
                <w:szCs w:val="10"/>
                <w:color w:val="auto"/>
              </w:rPr>
            </w:pPr>
          </w:p>
        </w:tc>
        <w:tc>
          <w:tcPr>
            <w:tcW w:w="8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(n=32)</w:t>
            </w:r>
          </w:p>
        </w:tc>
        <w:tc>
          <w:tcPr>
            <w:tcW w:w="780" w:type="dxa"/>
            <w:vAlign w:val="bottom"/>
            <w:tcBorders>
              <w:right w:val="single" w:sz="8" w:color="auto"/>
            </w:tcBorders>
            <w:vMerge w:val="continue"/>
            <w:shd w:val="clear" w:color="auto" w:fill="CCEEFF"/>
          </w:tcPr>
          <w:p>
            <w:pPr>
              <w:spacing w:after="0"/>
              <w:rPr>
                <w:sz w:val="10"/>
                <w:szCs w:val="10"/>
                <w:color w:val="auto"/>
              </w:rPr>
            </w:pPr>
          </w:p>
        </w:tc>
        <w:tc>
          <w:tcPr>
            <w:tcW w:w="260" w:type="dxa"/>
            <w:vAlign w:val="bottom"/>
            <w:tcBorders>
              <w:right w:val="single" w:sz="8" w:color="auto"/>
            </w:tcBorders>
            <w:shd w:val="clear" w:color="auto" w:fill="CCEEFF"/>
          </w:tcPr>
          <w:p>
            <w:pPr>
              <w:spacing w:after="0"/>
              <w:rPr>
                <w:sz w:val="10"/>
                <w:szCs w:val="10"/>
                <w:color w:val="auto"/>
              </w:rPr>
            </w:pPr>
          </w:p>
        </w:tc>
        <w:tc>
          <w:tcPr>
            <w:tcW w:w="10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(n=33)</w:t>
            </w:r>
          </w:p>
        </w:tc>
        <w:tc>
          <w:tcPr>
            <w:tcW w:w="9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(n=33)</w:t>
            </w:r>
          </w:p>
        </w:tc>
        <w:tc>
          <w:tcPr>
            <w:tcW w:w="880" w:type="dxa"/>
            <w:vAlign w:val="bottom"/>
            <w:vMerge w:val="continue"/>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20" w:type="dxa"/>
            <w:vAlign w:val="bottom"/>
            <w:tcBorders>
              <w:right w:val="single" w:sz="8" w:color="auto"/>
            </w:tcBorders>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880" w:type="dxa"/>
            <w:vAlign w:val="bottom"/>
            <w:tcBorders>
              <w:right w:val="single" w:sz="8" w:color="auto"/>
            </w:tcBorders>
            <w:vMerge w:val="continue"/>
            <w:shd w:val="clear" w:color="auto" w:fill="CCEEFF"/>
          </w:tcPr>
          <w:p>
            <w:pPr>
              <w:spacing w:after="0"/>
              <w:rPr>
                <w:sz w:val="9"/>
                <w:szCs w:val="9"/>
                <w:color w:val="auto"/>
              </w:rPr>
            </w:pPr>
          </w:p>
        </w:tc>
        <w:tc>
          <w:tcPr>
            <w:tcW w:w="780" w:type="dxa"/>
            <w:vAlign w:val="bottom"/>
            <w:tcBorders>
              <w:right w:val="single" w:sz="8" w:color="auto"/>
            </w:tcBorders>
            <w:shd w:val="clear" w:color="auto" w:fill="CCEEFF"/>
          </w:tcPr>
          <w:p>
            <w:pPr>
              <w:spacing w:after="0"/>
              <w:rPr>
                <w:sz w:val="9"/>
                <w:szCs w:val="9"/>
                <w:color w:val="auto"/>
              </w:rPr>
            </w:pPr>
          </w:p>
        </w:tc>
        <w:tc>
          <w:tcPr>
            <w:tcW w:w="260" w:type="dxa"/>
            <w:vAlign w:val="bottom"/>
            <w:tcBorders>
              <w:right w:val="single" w:sz="8" w:color="auto"/>
            </w:tcBorders>
            <w:shd w:val="clear" w:color="auto" w:fill="CCEEFF"/>
          </w:tcPr>
          <w:p>
            <w:pPr>
              <w:spacing w:after="0"/>
              <w:rPr>
                <w:sz w:val="9"/>
                <w:szCs w:val="9"/>
                <w:color w:val="auto"/>
              </w:rPr>
            </w:pPr>
          </w:p>
        </w:tc>
        <w:tc>
          <w:tcPr>
            <w:tcW w:w="1060" w:type="dxa"/>
            <w:vAlign w:val="bottom"/>
            <w:tcBorders>
              <w:right w:val="single" w:sz="8" w:color="auto"/>
            </w:tcBorders>
            <w:vMerge w:val="continue"/>
            <w:shd w:val="clear" w:color="auto" w:fill="CCEEFF"/>
          </w:tcPr>
          <w:p>
            <w:pPr>
              <w:spacing w:after="0"/>
              <w:rPr>
                <w:sz w:val="9"/>
                <w:szCs w:val="9"/>
                <w:color w:val="auto"/>
              </w:rPr>
            </w:pPr>
          </w:p>
        </w:tc>
        <w:tc>
          <w:tcPr>
            <w:tcW w:w="980" w:type="dxa"/>
            <w:vAlign w:val="bottom"/>
            <w:tcBorders>
              <w:right w:val="single" w:sz="8" w:color="auto"/>
            </w:tcBorders>
            <w:vMerge w:val="continue"/>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2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1820" w:type="dxa"/>
            <w:vAlign w:val="bottom"/>
            <w:tcBorders>
              <w:bottom w:val="single" w:sz="8" w:color="auto"/>
              <w:right w:val="single" w:sz="8" w:color="auto"/>
            </w:tcBorders>
            <w:shd w:val="clear" w:color="auto" w:fill="CCEEFF"/>
          </w:tcPr>
          <w:p>
            <w:pPr>
              <w:spacing w:after="0"/>
              <w:rPr>
                <w:sz w:val="8"/>
                <w:szCs w:val="8"/>
                <w:color w:val="auto"/>
              </w:rPr>
            </w:pPr>
          </w:p>
        </w:tc>
        <w:tc>
          <w:tcPr>
            <w:tcW w:w="82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right w:val="single" w:sz="8" w:color="auto"/>
            </w:tcBorders>
            <w:shd w:val="clear" w:color="auto" w:fill="CCEEFF"/>
          </w:tcPr>
          <w:p>
            <w:pPr>
              <w:spacing w:after="0"/>
              <w:rPr>
                <w:sz w:val="8"/>
                <w:szCs w:val="8"/>
                <w:color w:val="auto"/>
              </w:rPr>
            </w:pPr>
          </w:p>
        </w:tc>
        <w:tc>
          <w:tcPr>
            <w:tcW w:w="880" w:type="dxa"/>
            <w:vAlign w:val="bottom"/>
            <w:tcBorders>
              <w:bottom w:val="single" w:sz="8" w:color="auto"/>
              <w:right w:val="single" w:sz="8" w:color="auto"/>
            </w:tcBorders>
            <w:shd w:val="clear" w:color="auto" w:fill="CCEEFF"/>
          </w:tcPr>
          <w:p>
            <w:pPr>
              <w:spacing w:after="0"/>
              <w:rPr>
                <w:sz w:val="8"/>
                <w:szCs w:val="8"/>
                <w:color w:val="auto"/>
              </w:rPr>
            </w:pPr>
          </w:p>
        </w:tc>
        <w:tc>
          <w:tcPr>
            <w:tcW w:w="780" w:type="dxa"/>
            <w:vAlign w:val="bottom"/>
            <w:tcBorders>
              <w:bottom w:val="single" w:sz="8" w:color="auto"/>
              <w:right w:val="single" w:sz="8" w:color="auto"/>
            </w:tcBorders>
            <w:shd w:val="clear" w:color="auto" w:fill="CCEEFF"/>
          </w:tcPr>
          <w:p>
            <w:pPr>
              <w:spacing w:after="0"/>
              <w:rPr>
                <w:sz w:val="8"/>
                <w:szCs w:val="8"/>
                <w:color w:val="auto"/>
              </w:rPr>
            </w:pPr>
          </w:p>
        </w:tc>
        <w:tc>
          <w:tcPr>
            <w:tcW w:w="260" w:type="dxa"/>
            <w:vAlign w:val="bottom"/>
            <w:tcBorders>
              <w:right w:val="single" w:sz="8" w:color="auto"/>
            </w:tcBorders>
            <w:shd w:val="clear" w:color="auto" w:fill="CCEEFF"/>
          </w:tcPr>
          <w:p>
            <w:pPr>
              <w:spacing w:after="0"/>
              <w:rPr>
                <w:sz w:val="8"/>
                <w:szCs w:val="8"/>
                <w:color w:val="auto"/>
              </w:rPr>
            </w:pPr>
          </w:p>
        </w:tc>
        <w:tc>
          <w:tcPr>
            <w:tcW w:w="1060" w:type="dxa"/>
            <w:vAlign w:val="bottom"/>
            <w:tcBorders>
              <w:bottom w:val="single" w:sz="8" w:color="auto"/>
              <w:right w:val="single" w:sz="8" w:color="auto"/>
            </w:tcBorders>
            <w:shd w:val="clear" w:color="auto" w:fill="CCEEFF"/>
          </w:tcPr>
          <w:p>
            <w:pPr>
              <w:spacing w:after="0"/>
              <w:rPr>
                <w:sz w:val="8"/>
                <w:szCs w:val="8"/>
                <w:color w:val="auto"/>
              </w:rPr>
            </w:pPr>
          </w:p>
        </w:tc>
        <w:tc>
          <w:tcPr>
            <w:tcW w:w="980" w:type="dxa"/>
            <w:vAlign w:val="bottom"/>
            <w:tcBorders>
              <w:bottom w:val="single" w:sz="8" w:color="auto"/>
              <w:right w:val="single" w:sz="8" w:color="auto"/>
            </w:tcBorders>
            <w:shd w:val="clear" w:color="auto" w:fill="CCEEFF"/>
          </w:tcPr>
          <w:p>
            <w:pPr>
              <w:spacing w:after="0"/>
              <w:rPr>
                <w:sz w:val="8"/>
                <w:szCs w:val="8"/>
                <w:color w:val="auto"/>
              </w:rPr>
            </w:pPr>
          </w:p>
        </w:tc>
        <w:tc>
          <w:tcPr>
            <w:tcW w:w="880" w:type="dxa"/>
            <w:vAlign w:val="bottom"/>
            <w:tcBorders>
              <w:bottom w:val="single" w:sz="8" w:color="auto"/>
            </w:tcBorders>
            <w:shd w:val="clear" w:color="auto" w:fill="CCEEFF"/>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14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Primary endpoint:</w:t>
            </w:r>
          </w:p>
        </w:tc>
        <w:tc>
          <w:tcPr>
            <w:tcW w:w="8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Borders>
              <w:righ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 of patients with</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46.9%</w:t>
            </w:r>
          </w:p>
        </w:tc>
        <w:tc>
          <w:tcPr>
            <w:tcW w:w="1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53.1%</w:t>
            </w:r>
          </w:p>
        </w:tc>
        <w:tc>
          <w:tcPr>
            <w:tcW w:w="780" w:type="dxa"/>
            <w:vAlign w:val="bottom"/>
            <w:tcBorders>
              <w:righ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57.6%</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42.4%</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2140" w:type="dxa"/>
            <w:vAlign w:val="bottom"/>
            <w:tcBorders>
              <w:right w:val="single" w:sz="8" w:color="auto"/>
            </w:tcBorders>
            <w:gridSpan w:val="3"/>
            <w:vMerge w:val="restart"/>
          </w:tcPr>
          <w:p>
            <w:pPr>
              <w:ind w:left="220"/>
              <w:spacing w:after="0"/>
              <w:rPr>
                <w:sz w:val="20"/>
                <w:szCs w:val="20"/>
                <w:color w:val="auto"/>
              </w:rPr>
            </w:pPr>
            <w:r>
              <w:rPr>
                <w:rFonts w:ascii="Times New Roman" w:cs="Times New Roman" w:eastAsia="Times New Roman" w:hAnsi="Times New Roman"/>
                <w:sz w:val="18"/>
                <w:szCs w:val="18"/>
                <w:color w:val="auto"/>
              </w:rPr>
              <w:t>negative provocation</w:t>
            </w:r>
          </w:p>
        </w:tc>
        <w:tc>
          <w:tcPr>
            <w:tcW w:w="82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vMerge w:val="continue"/>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3.2%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140" w:type="dxa"/>
            <w:vAlign w:val="bottom"/>
            <w:tcBorders>
              <w:right w:val="single" w:sz="8" w:color="auto"/>
            </w:tcBorders>
            <w:gridSpan w:val="3"/>
            <w:vMerge w:val="continue"/>
          </w:tcPr>
          <w:p>
            <w:pPr>
              <w:spacing w:after="0"/>
              <w:rPr>
                <w:sz w:val="9"/>
                <w:szCs w:val="9"/>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p=0.0023</w:t>
            </w:r>
          </w:p>
        </w:tc>
        <w:tc>
          <w:tcPr>
            <w:tcW w:w="10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p=0.0011</w:t>
            </w:r>
          </w:p>
        </w:tc>
        <w:tc>
          <w:tcPr>
            <w:tcW w:w="780" w:type="dxa"/>
            <w:vAlign w:val="bottom"/>
            <w:tcBorders>
              <w:right w:val="single" w:sz="8" w:color="auto"/>
            </w:tcBorders>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p=0.0003</w:t>
            </w:r>
          </w:p>
        </w:tc>
        <w:tc>
          <w:tcPr>
            <w:tcW w:w="8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140" w:type="dxa"/>
            <w:vAlign w:val="bottom"/>
            <w:tcBorders>
              <w:right w:val="single" w:sz="8" w:color="auto"/>
            </w:tcBorders>
            <w:gridSpan w:val="3"/>
            <w:vMerge w:val="restart"/>
          </w:tcPr>
          <w:p>
            <w:pPr>
              <w:ind w:left="220"/>
              <w:spacing w:after="0"/>
              <w:rPr>
                <w:sz w:val="20"/>
                <w:szCs w:val="20"/>
                <w:color w:val="auto"/>
              </w:rPr>
            </w:pPr>
            <w:r>
              <w:rPr>
                <w:rFonts w:ascii="Times New Roman" w:cs="Times New Roman" w:eastAsia="Times New Roman" w:hAnsi="Times New Roman"/>
                <w:sz w:val="18"/>
                <w:szCs w:val="18"/>
                <w:color w:val="auto"/>
              </w:rPr>
              <w:t>test (complete</w:t>
            </w:r>
          </w:p>
        </w:tc>
        <w:tc>
          <w:tcPr>
            <w:tcW w:w="820" w:type="dxa"/>
            <w:vAlign w:val="bottom"/>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vMerge w:val="continue"/>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980" w:type="dxa"/>
            <w:vAlign w:val="bottom"/>
            <w:tcBorders>
              <w:right w:val="single" w:sz="8" w:color="auto"/>
            </w:tcBorders>
            <w:vMerge w:val="continue"/>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140" w:type="dxa"/>
            <w:vAlign w:val="bottom"/>
            <w:tcBorders>
              <w:right w:val="single" w:sz="8" w:color="auto"/>
            </w:tcBorders>
            <w:gridSpan w:val="3"/>
            <w:vMerge w:val="continue"/>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980" w:type="dxa"/>
            <w:vAlign w:val="bottom"/>
            <w:tcBorders>
              <w:right w:val="single" w:sz="8" w:color="auto"/>
            </w:tcBorders>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140" w:type="dxa"/>
            <w:vAlign w:val="bottom"/>
            <w:tcBorders>
              <w:righ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response)</w:t>
            </w:r>
          </w:p>
        </w:tc>
        <w:tc>
          <w:tcPr>
            <w:tcW w:w="82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60" w:type="dxa"/>
            <w:vAlign w:val="bottom"/>
            <w:tcBorders>
              <w:bottom w:val="single" w:sz="8" w:color="CCEEFF"/>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9"/>
        </w:trPr>
        <w:tc>
          <w:tcPr>
            <w:tcW w:w="2140" w:type="dxa"/>
            <w:vAlign w:val="bottom"/>
            <w:tcBorders>
              <w:right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patients with complete</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62.5%</w:t>
            </w:r>
          </w:p>
        </w:tc>
        <w:tc>
          <w:tcPr>
            <w:tcW w:w="100" w:type="dxa"/>
            <w:vAlign w:val="bottom"/>
            <w:tcBorders>
              <w:right w:val="single" w:sz="8" w:color="auto"/>
            </w:tcBorders>
            <w:shd w:val="clear" w:color="auto" w:fill="CCEEFF"/>
          </w:tcPr>
          <w:p>
            <w:pPr>
              <w:spacing w:after="0"/>
              <w:rPr>
                <w:sz w:val="24"/>
                <w:szCs w:val="24"/>
                <w:color w:val="auto"/>
              </w:rPr>
            </w:pPr>
          </w:p>
        </w:tc>
        <w:tc>
          <w:tcPr>
            <w:tcW w:w="8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75%</w:t>
            </w:r>
          </w:p>
        </w:tc>
        <w:tc>
          <w:tcPr>
            <w:tcW w:w="780" w:type="dxa"/>
            <w:vAlign w:val="bottom"/>
            <w:tcBorders>
              <w:right w:val="single" w:sz="8" w:color="auto"/>
            </w:tcBorders>
            <w:shd w:val="clear" w:color="auto" w:fill="CCEEFF"/>
          </w:tcPr>
          <w:p>
            <w:pPr>
              <w:spacing w:after="0"/>
              <w:rPr>
                <w:sz w:val="24"/>
                <w:szCs w:val="24"/>
                <w:color w:val="auto"/>
              </w:rPr>
            </w:pPr>
          </w:p>
        </w:tc>
        <w:tc>
          <w:tcPr>
            <w:tcW w:w="260" w:type="dxa"/>
            <w:vAlign w:val="bottom"/>
            <w:tcBorders>
              <w:right w:val="single" w:sz="8" w:color="auto"/>
            </w:tcBorders>
            <w:shd w:val="clear" w:color="auto" w:fill="CCEEFF"/>
          </w:tcPr>
          <w:p>
            <w:pPr>
              <w:spacing w:after="0"/>
              <w:rPr>
                <w:sz w:val="24"/>
                <w:szCs w:val="24"/>
                <w:color w:val="auto"/>
              </w:rPr>
            </w:pPr>
          </w:p>
        </w:tc>
        <w:tc>
          <w:tcPr>
            <w:tcW w:w="10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66.6%</w:t>
            </w:r>
          </w:p>
        </w:tc>
        <w:tc>
          <w:tcPr>
            <w:tcW w:w="9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57.5%</w:t>
            </w:r>
          </w:p>
        </w:tc>
        <w:tc>
          <w:tcPr>
            <w:tcW w:w="88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140" w:type="dxa"/>
            <w:vAlign w:val="bottom"/>
            <w:tcBorders>
              <w:right w:val="single" w:sz="8" w:color="auto"/>
            </w:tcBorders>
            <w:gridSpan w:val="3"/>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or partial response per</w:t>
            </w:r>
          </w:p>
        </w:tc>
        <w:tc>
          <w:tcPr>
            <w:tcW w:w="820" w:type="dxa"/>
            <w:vAlign w:val="bottom"/>
            <w:vMerge w:val="continue"/>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880" w:type="dxa"/>
            <w:vAlign w:val="bottom"/>
            <w:tcBorders>
              <w:right w:val="single" w:sz="8" w:color="auto"/>
            </w:tcBorders>
            <w:vMerge w:val="continue"/>
            <w:shd w:val="clear" w:color="auto" w:fill="CCEEFF"/>
          </w:tcPr>
          <w:p>
            <w:pPr>
              <w:spacing w:after="0"/>
              <w:rPr>
                <w:sz w:val="9"/>
                <w:szCs w:val="9"/>
                <w:color w:val="auto"/>
              </w:rPr>
            </w:pPr>
          </w:p>
        </w:tc>
        <w:tc>
          <w:tcPr>
            <w:tcW w:w="7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31.3%</w:t>
            </w:r>
          </w:p>
        </w:tc>
        <w:tc>
          <w:tcPr>
            <w:tcW w:w="260" w:type="dxa"/>
            <w:vAlign w:val="bottom"/>
            <w:tcBorders>
              <w:right w:val="single" w:sz="8" w:color="auto"/>
            </w:tcBorders>
            <w:shd w:val="clear" w:color="auto" w:fill="CCEEFF"/>
          </w:tcPr>
          <w:p>
            <w:pPr>
              <w:spacing w:after="0"/>
              <w:rPr>
                <w:sz w:val="9"/>
                <w:szCs w:val="9"/>
                <w:color w:val="auto"/>
              </w:rPr>
            </w:pPr>
          </w:p>
        </w:tc>
        <w:tc>
          <w:tcPr>
            <w:tcW w:w="1060" w:type="dxa"/>
            <w:vAlign w:val="bottom"/>
            <w:tcBorders>
              <w:right w:val="single" w:sz="8" w:color="auto"/>
            </w:tcBorders>
            <w:vMerge w:val="continue"/>
            <w:shd w:val="clear" w:color="auto" w:fill="CCEEFF"/>
          </w:tcPr>
          <w:p>
            <w:pPr>
              <w:spacing w:after="0"/>
              <w:rPr>
                <w:sz w:val="9"/>
                <w:szCs w:val="9"/>
                <w:color w:val="auto"/>
              </w:rPr>
            </w:pPr>
          </w:p>
        </w:tc>
        <w:tc>
          <w:tcPr>
            <w:tcW w:w="980" w:type="dxa"/>
            <w:vAlign w:val="bottom"/>
            <w:tcBorders>
              <w:right w:val="single" w:sz="8" w:color="auto"/>
            </w:tcBorders>
            <w:vMerge w:val="continue"/>
            <w:shd w:val="clear" w:color="auto" w:fill="CCEEFF"/>
          </w:tcPr>
          <w:p>
            <w:pPr>
              <w:spacing w:after="0"/>
              <w:rPr>
                <w:sz w:val="9"/>
                <w:szCs w:val="9"/>
                <w:color w:val="auto"/>
              </w:rPr>
            </w:pP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140" w:type="dxa"/>
            <w:vAlign w:val="bottom"/>
            <w:tcBorders>
              <w:right w:val="single" w:sz="8" w:color="auto"/>
            </w:tcBorders>
            <w:gridSpan w:val="3"/>
            <w:vMerge w:val="continue"/>
            <w:shd w:val="clear" w:color="auto" w:fill="CCEEFF"/>
          </w:tcPr>
          <w:p>
            <w:pPr>
              <w:spacing w:after="0"/>
              <w:rPr>
                <w:sz w:val="9"/>
                <w:szCs w:val="9"/>
                <w:color w:val="auto"/>
              </w:rPr>
            </w:pP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p=0.0118</w:t>
            </w:r>
          </w:p>
        </w:tc>
        <w:tc>
          <w:tcPr>
            <w:tcW w:w="100" w:type="dxa"/>
            <w:vAlign w:val="bottom"/>
            <w:tcBorders>
              <w:right w:val="single" w:sz="8" w:color="auto"/>
            </w:tcBorders>
            <w:shd w:val="clear" w:color="auto" w:fill="CCEEFF"/>
          </w:tcPr>
          <w:p>
            <w:pPr>
              <w:spacing w:after="0"/>
              <w:rPr>
                <w:sz w:val="9"/>
                <w:szCs w:val="9"/>
                <w:color w:val="auto"/>
              </w:rPr>
            </w:pPr>
          </w:p>
        </w:tc>
        <w:tc>
          <w:tcPr>
            <w:tcW w:w="8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p=0.0006</w:t>
            </w:r>
          </w:p>
        </w:tc>
        <w:tc>
          <w:tcPr>
            <w:tcW w:w="780" w:type="dxa"/>
            <w:vAlign w:val="bottom"/>
            <w:tcBorders>
              <w:right w:val="single" w:sz="8" w:color="auto"/>
            </w:tcBorders>
            <w:vMerge w:val="continue"/>
            <w:shd w:val="clear" w:color="auto" w:fill="CCEEFF"/>
          </w:tcPr>
          <w:p>
            <w:pPr>
              <w:spacing w:after="0"/>
              <w:rPr>
                <w:sz w:val="9"/>
                <w:szCs w:val="9"/>
                <w:color w:val="auto"/>
              </w:rPr>
            </w:pPr>
          </w:p>
        </w:tc>
        <w:tc>
          <w:tcPr>
            <w:tcW w:w="260" w:type="dxa"/>
            <w:vAlign w:val="bottom"/>
            <w:tcBorders>
              <w:right w:val="single" w:sz="8" w:color="auto"/>
            </w:tcBorders>
            <w:shd w:val="clear" w:color="auto" w:fill="CCEEFF"/>
          </w:tcPr>
          <w:p>
            <w:pPr>
              <w:spacing w:after="0"/>
              <w:rPr>
                <w:sz w:val="9"/>
                <w:szCs w:val="9"/>
                <w:color w:val="auto"/>
              </w:rPr>
            </w:pPr>
          </w:p>
        </w:tc>
        <w:tc>
          <w:tcPr>
            <w:tcW w:w="10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9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p=0.0002</w:t>
            </w:r>
          </w:p>
        </w:tc>
        <w:tc>
          <w:tcPr>
            <w:tcW w:w="880" w:type="dxa"/>
            <w:vAlign w:val="bottom"/>
            <w:vMerge w:val="continue"/>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140" w:type="dxa"/>
            <w:vAlign w:val="bottom"/>
            <w:tcBorders>
              <w:right w:val="single" w:sz="8" w:color="auto"/>
            </w:tcBorders>
            <w:gridSpan w:val="3"/>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provocation test</w:t>
            </w:r>
          </w:p>
        </w:tc>
        <w:tc>
          <w:tcPr>
            <w:tcW w:w="820" w:type="dxa"/>
            <w:vAlign w:val="bottom"/>
            <w:vMerge w:val="continue"/>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880" w:type="dxa"/>
            <w:vAlign w:val="bottom"/>
            <w:tcBorders>
              <w:right w:val="single" w:sz="8" w:color="auto"/>
            </w:tcBorders>
            <w:vMerge w:val="continue"/>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spacing w:after="0"/>
              <w:rPr>
                <w:sz w:val="10"/>
                <w:szCs w:val="10"/>
                <w:color w:val="auto"/>
              </w:rPr>
            </w:pPr>
          </w:p>
        </w:tc>
        <w:tc>
          <w:tcPr>
            <w:tcW w:w="260" w:type="dxa"/>
            <w:vAlign w:val="bottom"/>
            <w:tcBorders>
              <w:right w:val="single" w:sz="8" w:color="auto"/>
            </w:tcBorders>
            <w:shd w:val="clear" w:color="auto" w:fill="CCEEFF"/>
          </w:tcPr>
          <w:p>
            <w:pPr>
              <w:spacing w:after="0"/>
              <w:rPr>
                <w:sz w:val="10"/>
                <w:szCs w:val="10"/>
                <w:color w:val="auto"/>
              </w:rPr>
            </w:pPr>
          </w:p>
        </w:tc>
        <w:tc>
          <w:tcPr>
            <w:tcW w:w="1060" w:type="dxa"/>
            <w:vAlign w:val="bottom"/>
            <w:tcBorders>
              <w:right w:val="single" w:sz="8" w:color="auto"/>
            </w:tcBorders>
            <w:vMerge w:val="continue"/>
            <w:shd w:val="clear" w:color="auto" w:fill="CCEEFF"/>
          </w:tcPr>
          <w:p>
            <w:pPr>
              <w:spacing w:after="0"/>
              <w:rPr>
                <w:sz w:val="10"/>
                <w:szCs w:val="10"/>
                <w:color w:val="auto"/>
              </w:rPr>
            </w:pPr>
          </w:p>
        </w:tc>
        <w:tc>
          <w:tcPr>
            <w:tcW w:w="980" w:type="dxa"/>
            <w:vAlign w:val="bottom"/>
            <w:tcBorders>
              <w:right w:val="single" w:sz="8" w:color="auto"/>
            </w:tcBorders>
            <w:vMerge w:val="continue"/>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140" w:type="dxa"/>
            <w:vAlign w:val="bottom"/>
            <w:tcBorders>
              <w:right w:val="single" w:sz="8" w:color="auto"/>
            </w:tcBorders>
            <w:gridSpan w:val="3"/>
            <w:vMerge w:val="continue"/>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880" w:type="dxa"/>
            <w:vAlign w:val="bottom"/>
            <w:tcBorders>
              <w:right w:val="single" w:sz="8" w:color="auto"/>
            </w:tcBorders>
            <w:shd w:val="clear" w:color="auto" w:fill="CCEEFF"/>
          </w:tcPr>
          <w:p>
            <w:pPr>
              <w:spacing w:after="0"/>
              <w:rPr>
                <w:sz w:val="9"/>
                <w:szCs w:val="9"/>
                <w:color w:val="auto"/>
              </w:rPr>
            </w:pPr>
          </w:p>
        </w:tc>
        <w:tc>
          <w:tcPr>
            <w:tcW w:w="780" w:type="dxa"/>
            <w:vAlign w:val="bottom"/>
            <w:tcBorders>
              <w:right w:val="single" w:sz="8" w:color="auto"/>
            </w:tcBorders>
            <w:shd w:val="clear" w:color="auto" w:fill="CCEEFF"/>
          </w:tcPr>
          <w:p>
            <w:pPr>
              <w:spacing w:after="0"/>
              <w:rPr>
                <w:sz w:val="9"/>
                <w:szCs w:val="9"/>
                <w:color w:val="auto"/>
              </w:rPr>
            </w:pPr>
          </w:p>
        </w:tc>
        <w:tc>
          <w:tcPr>
            <w:tcW w:w="260" w:type="dxa"/>
            <w:vAlign w:val="bottom"/>
            <w:tcBorders>
              <w:right w:val="single" w:sz="8" w:color="auto"/>
            </w:tcBorders>
            <w:shd w:val="clear" w:color="auto" w:fill="CCEEFF"/>
          </w:tcPr>
          <w:p>
            <w:pPr>
              <w:spacing w:after="0"/>
              <w:rPr>
                <w:sz w:val="9"/>
                <w:szCs w:val="9"/>
                <w:color w:val="auto"/>
              </w:rPr>
            </w:pPr>
          </w:p>
        </w:tc>
        <w:tc>
          <w:tcPr>
            <w:tcW w:w="1060" w:type="dxa"/>
            <w:vAlign w:val="bottom"/>
            <w:tcBorders>
              <w:right w:val="single" w:sz="8" w:color="auto"/>
            </w:tcBorders>
            <w:shd w:val="clear" w:color="auto" w:fill="CCEEFF"/>
          </w:tcPr>
          <w:p>
            <w:pPr>
              <w:spacing w:after="0"/>
              <w:rPr>
                <w:sz w:val="9"/>
                <w:szCs w:val="9"/>
                <w:color w:val="auto"/>
              </w:rPr>
            </w:pPr>
          </w:p>
        </w:tc>
        <w:tc>
          <w:tcPr>
            <w:tcW w:w="980" w:type="dxa"/>
            <w:vAlign w:val="bottom"/>
            <w:tcBorders>
              <w:right w:val="single" w:sz="8" w:color="auto"/>
            </w:tcBorders>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2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1820" w:type="dxa"/>
            <w:vAlign w:val="bottom"/>
            <w:tcBorders>
              <w:bottom w:val="single" w:sz="8" w:color="auto"/>
              <w:right w:val="single" w:sz="8" w:color="auto"/>
            </w:tcBorders>
            <w:shd w:val="clear" w:color="auto" w:fill="CCEEFF"/>
          </w:tcPr>
          <w:p>
            <w:pPr>
              <w:spacing w:after="0"/>
              <w:rPr>
                <w:sz w:val="9"/>
                <w:szCs w:val="9"/>
                <w:color w:val="auto"/>
              </w:rPr>
            </w:pPr>
          </w:p>
        </w:tc>
        <w:tc>
          <w:tcPr>
            <w:tcW w:w="82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auto"/>
              <w:right w:val="single" w:sz="8" w:color="auto"/>
            </w:tcBorders>
            <w:shd w:val="clear" w:color="auto" w:fill="CCEEFF"/>
          </w:tcPr>
          <w:p>
            <w:pPr>
              <w:spacing w:after="0"/>
              <w:rPr>
                <w:sz w:val="9"/>
                <w:szCs w:val="9"/>
                <w:color w:val="auto"/>
              </w:rPr>
            </w:pPr>
          </w:p>
        </w:tc>
        <w:tc>
          <w:tcPr>
            <w:tcW w:w="880" w:type="dxa"/>
            <w:vAlign w:val="bottom"/>
            <w:tcBorders>
              <w:bottom w:val="single" w:sz="8" w:color="auto"/>
              <w:right w:val="single" w:sz="8" w:color="auto"/>
            </w:tcBorders>
            <w:shd w:val="clear" w:color="auto" w:fill="CCEEFF"/>
          </w:tcPr>
          <w:p>
            <w:pPr>
              <w:spacing w:after="0"/>
              <w:rPr>
                <w:sz w:val="9"/>
                <w:szCs w:val="9"/>
                <w:color w:val="auto"/>
              </w:rPr>
            </w:pPr>
          </w:p>
        </w:tc>
        <w:tc>
          <w:tcPr>
            <w:tcW w:w="780" w:type="dxa"/>
            <w:vAlign w:val="bottom"/>
            <w:tcBorders>
              <w:bottom w:val="single" w:sz="8" w:color="auto"/>
              <w:right w:val="single" w:sz="8" w:color="auto"/>
            </w:tcBorders>
            <w:shd w:val="clear" w:color="auto" w:fill="CCEEFF"/>
          </w:tcPr>
          <w:p>
            <w:pPr>
              <w:spacing w:after="0"/>
              <w:rPr>
                <w:sz w:val="9"/>
                <w:szCs w:val="9"/>
                <w:color w:val="auto"/>
              </w:rPr>
            </w:pPr>
          </w:p>
        </w:tc>
        <w:tc>
          <w:tcPr>
            <w:tcW w:w="260" w:type="dxa"/>
            <w:vAlign w:val="bottom"/>
            <w:tcBorders>
              <w:right w:val="single" w:sz="8" w:color="auto"/>
            </w:tcBorders>
            <w:shd w:val="clear" w:color="auto" w:fill="CCEEFF"/>
          </w:tcPr>
          <w:p>
            <w:pPr>
              <w:spacing w:after="0"/>
              <w:rPr>
                <w:sz w:val="9"/>
                <w:szCs w:val="9"/>
                <w:color w:val="auto"/>
              </w:rPr>
            </w:pPr>
          </w:p>
        </w:tc>
        <w:tc>
          <w:tcPr>
            <w:tcW w:w="1060" w:type="dxa"/>
            <w:vAlign w:val="bottom"/>
            <w:tcBorders>
              <w:bottom w:val="single" w:sz="8" w:color="auto"/>
              <w:right w:val="single" w:sz="8" w:color="auto"/>
            </w:tcBorders>
            <w:shd w:val="clear" w:color="auto" w:fill="CCEEFF"/>
          </w:tcPr>
          <w:p>
            <w:pPr>
              <w:spacing w:after="0"/>
              <w:rPr>
                <w:sz w:val="9"/>
                <w:szCs w:val="9"/>
                <w:color w:val="auto"/>
              </w:rPr>
            </w:pPr>
          </w:p>
        </w:tc>
        <w:tc>
          <w:tcPr>
            <w:tcW w:w="980" w:type="dxa"/>
            <w:vAlign w:val="bottom"/>
            <w:tcBorders>
              <w:bottom w:val="single" w:sz="8" w:color="auto"/>
              <w:right w:val="single" w:sz="8" w:color="auto"/>
            </w:tcBorders>
            <w:shd w:val="clear" w:color="auto" w:fill="CCEEFF"/>
          </w:tcPr>
          <w:p>
            <w:pPr>
              <w:spacing w:after="0"/>
              <w:rPr>
                <w:sz w:val="9"/>
                <w:szCs w:val="9"/>
                <w:color w:val="auto"/>
              </w:rPr>
            </w:pPr>
          </w:p>
        </w:tc>
        <w:tc>
          <w:tcPr>
            <w:tcW w:w="88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2"/>
        </w:trPr>
        <w:tc>
          <w:tcPr>
            <w:tcW w:w="214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Improvement in Critical</w:t>
            </w:r>
          </w:p>
        </w:tc>
        <w:tc>
          <w:tcPr>
            <w:tcW w:w="82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1060" w:type="dxa"/>
            <w:vAlign w:val="bottom"/>
            <w:tcBorders>
              <w:right w:val="single" w:sz="8" w:color="auto"/>
            </w:tcBorders>
          </w:tcPr>
          <w:p>
            <w:pPr>
              <w:spacing w:after="0"/>
              <w:rPr>
                <w:sz w:val="23"/>
                <w:szCs w:val="23"/>
                <w:color w:val="auto"/>
              </w:rPr>
            </w:pPr>
          </w:p>
        </w:tc>
        <w:tc>
          <w:tcPr>
            <w:tcW w:w="980" w:type="dxa"/>
            <w:vAlign w:val="bottom"/>
            <w:tcBorders>
              <w:right w:val="single" w:sz="8" w:color="auto"/>
            </w:tcBorders>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2140" w:type="dxa"/>
            <w:vAlign w:val="bottom"/>
            <w:tcBorders>
              <w:righ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Temperature (CTT)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-8.82°C</w:t>
            </w:r>
          </w:p>
        </w:tc>
        <w:tc>
          <w:tcPr>
            <w:tcW w:w="1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-9.61°C</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-0.30°C</w:t>
            </w:r>
          </w:p>
        </w:tc>
        <w:tc>
          <w:tcPr>
            <w:tcW w:w="26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-2.46 pins</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-2.27 pins</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-0.82 pins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140" w:type="dxa"/>
            <w:vAlign w:val="bottom"/>
            <w:tcBorders>
              <w:right w:val="single" w:sz="8" w:color="auto"/>
            </w:tcBorders>
            <w:gridSpan w:val="3"/>
            <w:vMerge w:val="restart"/>
          </w:tcPr>
          <w:p>
            <w:pPr>
              <w:ind w:left="220"/>
              <w:spacing w:after="0"/>
              <w:rPr>
                <w:sz w:val="20"/>
                <w:szCs w:val="20"/>
                <w:color w:val="auto"/>
              </w:rPr>
            </w:pPr>
            <w:r>
              <w:rPr>
                <w:rFonts w:ascii="Times New Roman" w:cs="Times New Roman" w:eastAsia="Times New Roman" w:hAnsi="Times New Roman"/>
                <w:sz w:val="18"/>
                <w:szCs w:val="18"/>
                <w:color w:val="auto"/>
              </w:rPr>
              <w:t>and Critical Friction</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1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780" w:type="dxa"/>
            <w:vAlign w:val="bottom"/>
            <w:tcBorders>
              <w:right w:val="single" w:sz="8" w:color="auto"/>
            </w:tcBorders>
            <w:vMerge w:val="continue"/>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p=0.0002</w:t>
            </w:r>
          </w:p>
        </w:tc>
        <w:tc>
          <w:tcPr>
            <w:tcW w:w="8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140" w:type="dxa"/>
            <w:vAlign w:val="bottom"/>
            <w:tcBorders>
              <w:right w:val="single" w:sz="8" w:color="auto"/>
            </w:tcBorders>
            <w:gridSpan w:val="3"/>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88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vMerge w:val="continue"/>
          </w:tcPr>
          <w:p>
            <w:pPr>
              <w:spacing w:after="0"/>
              <w:rPr>
                <w:sz w:val="7"/>
                <w:szCs w:val="7"/>
                <w:color w:val="auto"/>
              </w:rPr>
            </w:pPr>
          </w:p>
        </w:tc>
        <w:tc>
          <w:tcPr>
            <w:tcW w:w="980" w:type="dxa"/>
            <w:vAlign w:val="bottom"/>
            <w:tcBorders>
              <w:right w:val="single" w:sz="8" w:color="auto"/>
            </w:tcBorders>
            <w:vMerge w:val="continue"/>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140" w:type="dxa"/>
            <w:vAlign w:val="bottom"/>
            <w:tcBorders>
              <w:right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(CFT) Thresholds</w:t>
            </w:r>
          </w:p>
        </w:tc>
        <w:tc>
          <w:tcPr>
            <w:tcW w:w="82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260" w:type="dxa"/>
            <w:vAlign w:val="bottom"/>
            <w:tcBorders>
              <w:bottom w:val="single" w:sz="8" w:color="CCEEFF"/>
              <w:right w:val="single" w:sz="8" w:color="auto"/>
            </w:tcBorders>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9"/>
        </w:trPr>
        <w:tc>
          <w:tcPr>
            <w:tcW w:w="2140" w:type="dxa"/>
            <w:vAlign w:val="bottom"/>
            <w:tcBorders>
              <w:right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patients with</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58.6%</w:t>
            </w:r>
          </w:p>
        </w:tc>
        <w:tc>
          <w:tcPr>
            <w:tcW w:w="100" w:type="dxa"/>
            <w:vAlign w:val="bottom"/>
            <w:tcBorders>
              <w:right w:val="single" w:sz="8" w:color="auto"/>
            </w:tcBorders>
            <w:shd w:val="clear" w:color="auto" w:fill="CCEEFF"/>
          </w:tcPr>
          <w:p>
            <w:pPr>
              <w:spacing w:after="0"/>
              <w:rPr>
                <w:sz w:val="24"/>
                <w:szCs w:val="24"/>
                <w:color w:val="auto"/>
              </w:rPr>
            </w:pPr>
          </w:p>
        </w:tc>
        <w:tc>
          <w:tcPr>
            <w:tcW w:w="8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68.8%</w:t>
            </w:r>
          </w:p>
        </w:tc>
        <w:tc>
          <w:tcPr>
            <w:tcW w:w="780" w:type="dxa"/>
            <w:vAlign w:val="bottom"/>
            <w:tcBorders>
              <w:right w:val="single" w:sz="8" w:color="auto"/>
            </w:tcBorders>
            <w:shd w:val="clear" w:color="auto" w:fill="CCEEFF"/>
          </w:tcPr>
          <w:p>
            <w:pPr>
              <w:spacing w:after="0"/>
              <w:rPr>
                <w:sz w:val="24"/>
                <w:szCs w:val="24"/>
                <w:color w:val="auto"/>
              </w:rPr>
            </w:pPr>
          </w:p>
        </w:tc>
        <w:tc>
          <w:tcPr>
            <w:tcW w:w="260" w:type="dxa"/>
            <w:vAlign w:val="bottom"/>
            <w:tcBorders>
              <w:right w:val="single" w:sz="8" w:color="auto"/>
            </w:tcBorders>
            <w:shd w:val="clear" w:color="auto" w:fill="CCEEFF"/>
          </w:tcPr>
          <w:p>
            <w:pPr>
              <w:spacing w:after="0"/>
              <w:rPr>
                <w:sz w:val="24"/>
                <w:szCs w:val="24"/>
                <w:color w:val="auto"/>
              </w:rPr>
            </w:pPr>
          </w:p>
        </w:tc>
        <w:tc>
          <w:tcPr>
            <w:tcW w:w="10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54.8%</w:t>
            </w:r>
          </w:p>
        </w:tc>
        <w:tc>
          <w:tcPr>
            <w:tcW w:w="9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65.5%</w:t>
            </w:r>
          </w:p>
        </w:tc>
        <w:tc>
          <w:tcPr>
            <w:tcW w:w="88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140" w:type="dxa"/>
            <w:vAlign w:val="bottom"/>
            <w:tcBorders>
              <w:right w:val="single" w:sz="8" w:color="auto"/>
            </w:tcBorders>
            <w:gridSpan w:val="3"/>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Urticaria Control Test</w:t>
            </w:r>
          </w:p>
        </w:tc>
        <w:tc>
          <w:tcPr>
            <w:tcW w:w="820" w:type="dxa"/>
            <w:vAlign w:val="bottom"/>
            <w:vMerge w:val="continue"/>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880" w:type="dxa"/>
            <w:vAlign w:val="bottom"/>
            <w:tcBorders>
              <w:right w:val="single" w:sz="8" w:color="auto"/>
            </w:tcBorders>
            <w:vMerge w:val="continue"/>
            <w:shd w:val="clear" w:color="auto" w:fill="CCEEFF"/>
          </w:tcPr>
          <w:p>
            <w:pPr>
              <w:spacing w:after="0"/>
              <w:rPr>
                <w:sz w:val="9"/>
                <w:szCs w:val="9"/>
                <w:color w:val="auto"/>
              </w:rPr>
            </w:pPr>
          </w:p>
        </w:tc>
        <w:tc>
          <w:tcPr>
            <w:tcW w:w="7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31.0%</w:t>
            </w:r>
          </w:p>
        </w:tc>
        <w:tc>
          <w:tcPr>
            <w:tcW w:w="260" w:type="dxa"/>
            <w:vAlign w:val="bottom"/>
            <w:tcBorders>
              <w:right w:val="single" w:sz="8" w:color="auto"/>
            </w:tcBorders>
            <w:shd w:val="clear" w:color="auto" w:fill="CCEEFF"/>
          </w:tcPr>
          <w:p>
            <w:pPr>
              <w:spacing w:after="0"/>
              <w:rPr>
                <w:sz w:val="9"/>
                <w:szCs w:val="9"/>
                <w:color w:val="auto"/>
              </w:rPr>
            </w:pPr>
          </w:p>
        </w:tc>
        <w:tc>
          <w:tcPr>
            <w:tcW w:w="1060" w:type="dxa"/>
            <w:vAlign w:val="bottom"/>
            <w:tcBorders>
              <w:right w:val="single" w:sz="8" w:color="auto"/>
            </w:tcBorders>
            <w:vMerge w:val="continue"/>
            <w:shd w:val="clear" w:color="auto" w:fill="CCEEFF"/>
          </w:tcPr>
          <w:p>
            <w:pPr>
              <w:spacing w:after="0"/>
              <w:rPr>
                <w:sz w:val="9"/>
                <w:szCs w:val="9"/>
                <w:color w:val="auto"/>
              </w:rPr>
            </w:pPr>
          </w:p>
        </w:tc>
        <w:tc>
          <w:tcPr>
            <w:tcW w:w="980" w:type="dxa"/>
            <w:vAlign w:val="bottom"/>
            <w:tcBorders>
              <w:right w:val="single" w:sz="8" w:color="auto"/>
            </w:tcBorders>
            <w:vMerge w:val="continue"/>
            <w:shd w:val="clear" w:color="auto" w:fill="CCEEFF"/>
          </w:tcPr>
          <w:p>
            <w:pPr>
              <w:spacing w:after="0"/>
              <w:rPr>
                <w:sz w:val="9"/>
                <w:szCs w:val="9"/>
                <w:color w:val="auto"/>
              </w:rPr>
            </w:pP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140" w:type="dxa"/>
            <w:vAlign w:val="bottom"/>
            <w:tcBorders>
              <w:right w:val="single" w:sz="8" w:color="auto"/>
            </w:tcBorders>
            <w:gridSpan w:val="3"/>
            <w:vMerge w:val="continue"/>
            <w:shd w:val="clear" w:color="auto" w:fill="CCEEFF"/>
          </w:tcPr>
          <w:p>
            <w:pPr>
              <w:spacing w:after="0"/>
              <w:rPr>
                <w:sz w:val="9"/>
                <w:szCs w:val="9"/>
                <w:color w:val="auto"/>
              </w:rPr>
            </w:pP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p=0.0048</w:t>
            </w:r>
          </w:p>
        </w:tc>
        <w:tc>
          <w:tcPr>
            <w:tcW w:w="100" w:type="dxa"/>
            <w:vAlign w:val="bottom"/>
            <w:tcBorders>
              <w:right w:val="single" w:sz="8" w:color="auto"/>
            </w:tcBorders>
            <w:shd w:val="clear" w:color="auto" w:fill="CCEEFF"/>
          </w:tcPr>
          <w:p>
            <w:pPr>
              <w:spacing w:after="0"/>
              <w:rPr>
                <w:sz w:val="9"/>
                <w:szCs w:val="9"/>
                <w:color w:val="auto"/>
              </w:rPr>
            </w:pPr>
          </w:p>
        </w:tc>
        <w:tc>
          <w:tcPr>
            <w:tcW w:w="8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780" w:type="dxa"/>
            <w:vAlign w:val="bottom"/>
            <w:tcBorders>
              <w:right w:val="single" w:sz="8" w:color="auto"/>
            </w:tcBorders>
            <w:vMerge w:val="continue"/>
            <w:shd w:val="clear" w:color="auto" w:fill="CCEEFF"/>
          </w:tcPr>
          <w:p>
            <w:pPr>
              <w:spacing w:after="0"/>
              <w:rPr>
                <w:sz w:val="9"/>
                <w:szCs w:val="9"/>
                <w:color w:val="auto"/>
              </w:rPr>
            </w:pPr>
          </w:p>
        </w:tc>
        <w:tc>
          <w:tcPr>
            <w:tcW w:w="260" w:type="dxa"/>
            <w:vAlign w:val="bottom"/>
            <w:tcBorders>
              <w:right w:val="single" w:sz="8" w:color="auto"/>
            </w:tcBorders>
            <w:shd w:val="clear" w:color="auto" w:fill="CCEEFF"/>
          </w:tcPr>
          <w:p>
            <w:pPr>
              <w:spacing w:after="0"/>
              <w:rPr>
                <w:sz w:val="9"/>
                <w:szCs w:val="9"/>
                <w:color w:val="auto"/>
              </w:rPr>
            </w:pPr>
          </w:p>
        </w:tc>
        <w:tc>
          <w:tcPr>
            <w:tcW w:w="10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p=0.0015</w:t>
            </w:r>
          </w:p>
        </w:tc>
        <w:tc>
          <w:tcPr>
            <w:tcW w:w="9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880" w:type="dxa"/>
            <w:vAlign w:val="bottom"/>
            <w:vMerge w:val="continue"/>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140" w:type="dxa"/>
            <w:vAlign w:val="bottom"/>
            <w:tcBorders>
              <w:right w:val="single" w:sz="8" w:color="auto"/>
            </w:tcBorders>
            <w:gridSpan w:val="3"/>
            <w:vMerge w:val="restart"/>
            <w:shd w:val="clear" w:color="auto" w:fill="CCEEFF"/>
          </w:tcPr>
          <w:p>
            <w:pPr>
              <w:ind w:left="220"/>
              <w:spacing w:after="0" w:line="194" w:lineRule="exact"/>
              <w:rPr>
                <w:sz w:val="20"/>
                <w:szCs w:val="20"/>
                <w:color w:val="auto"/>
              </w:rPr>
            </w:pPr>
            <w:r>
              <w:rPr>
                <w:rFonts w:ascii="Times New Roman" w:cs="Times New Roman" w:eastAsia="Times New Roman" w:hAnsi="Times New Roman"/>
                <w:sz w:val="18"/>
                <w:szCs w:val="18"/>
                <w:color w:val="auto"/>
              </w:rPr>
              <w:t>&gt;12</w:t>
            </w:r>
          </w:p>
        </w:tc>
        <w:tc>
          <w:tcPr>
            <w:tcW w:w="820" w:type="dxa"/>
            <w:vAlign w:val="bottom"/>
            <w:vMerge w:val="continue"/>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880" w:type="dxa"/>
            <w:vAlign w:val="bottom"/>
            <w:tcBorders>
              <w:right w:val="single" w:sz="8" w:color="auto"/>
            </w:tcBorders>
            <w:vMerge w:val="continue"/>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spacing w:after="0"/>
              <w:rPr>
                <w:sz w:val="10"/>
                <w:szCs w:val="10"/>
                <w:color w:val="auto"/>
              </w:rPr>
            </w:pPr>
          </w:p>
        </w:tc>
        <w:tc>
          <w:tcPr>
            <w:tcW w:w="260" w:type="dxa"/>
            <w:vAlign w:val="bottom"/>
            <w:tcBorders>
              <w:right w:val="single" w:sz="8" w:color="auto"/>
            </w:tcBorders>
            <w:shd w:val="clear" w:color="auto" w:fill="CCEEFF"/>
          </w:tcPr>
          <w:p>
            <w:pPr>
              <w:spacing w:after="0"/>
              <w:rPr>
                <w:sz w:val="10"/>
                <w:szCs w:val="10"/>
                <w:color w:val="auto"/>
              </w:rPr>
            </w:pPr>
          </w:p>
        </w:tc>
        <w:tc>
          <w:tcPr>
            <w:tcW w:w="1060" w:type="dxa"/>
            <w:vAlign w:val="bottom"/>
            <w:tcBorders>
              <w:right w:val="single" w:sz="8" w:color="auto"/>
            </w:tcBorders>
            <w:vMerge w:val="continue"/>
            <w:shd w:val="clear" w:color="auto" w:fill="CCEEFF"/>
          </w:tcPr>
          <w:p>
            <w:pPr>
              <w:spacing w:after="0"/>
              <w:rPr>
                <w:sz w:val="10"/>
                <w:szCs w:val="10"/>
                <w:color w:val="auto"/>
              </w:rPr>
            </w:pPr>
          </w:p>
        </w:tc>
        <w:tc>
          <w:tcPr>
            <w:tcW w:w="980" w:type="dxa"/>
            <w:vAlign w:val="bottom"/>
            <w:tcBorders>
              <w:right w:val="single" w:sz="8" w:color="auto"/>
            </w:tcBorders>
            <w:vMerge w:val="continue"/>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140" w:type="dxa"/>
            <w:vAlign w:val="bottom"/>
            <w:tcBorders>
              <w:right w:val="single" w:sz="8" w:color="auto"/>
            </w:tcBorders>
            <w:gridSpan w:val="3"/>
            <w:vMerge w:val="continue"/>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00" w:type="dxa"/>
            <w:vAlign w:val="bottom"/>
            <w:tcBorders>
              <w:right w:val="single" w:sz="8" w:color="auto"/>
            </w:tcBorders>
            <w:shd w:val="clear" w:color="auto" w:fill="CCEEFF"/>
          </w:tcPr>
          <w:p>
            <w:pPr>
              <w:spacing w:after="0"/>
              <w:rPr>
                <w:sz w:val="5"/>
                <w:szCs w:val="5"/>
                <w:color w:val="auto"/>
              </w:rPr>
            </w:pPr>
          </w:p>
        </w:tc>
        <w:tc>
          <w:tcPr>
            <w:tcW w:w="880" w:type="dxa"/>
            <w:vAlign w:val="bottom"/>
            <w:tcBorders>
              <w:right w:val="single" w:sz="8" w:color="auto"/>
            </w:tcBorders>
            <w:shd w:val="clear" w:color="auto" w:fill="CCEEFF"/>
          </w:tcPr>
          <w:p>
            <w:pPr>
              <w:spacing w:after="0"/>
              <w:rPr>
                <w:sz w:val="5"/>
                <w:szCs w:val="5"/>
                <w:color w:val="auto"/>
              </w:rPr>
            </w:pPr>
          </w:p>
        </w:tc>
        <w:tc>
          <w:tcPr>
            <w:tcW w:w="780" w:type="dxa"/>
            <w:vAlign w:val="bottom"/>
            <w:tcBorders>
              <w:right w:val="single" w:sz="8" w:color="auto"/>
            </w:tcBorders>
            <w:shd w:val="clear" w:color="auto" w:fill="CCEEFF"/>
          </w:tcPr>
          <w:p>
            <w:pPr>
              <w:spacing w:after="0"/>
              <w:rPr>
                <w:sz w:val="5"/>
                <w:szCs w:val="5"/>
                <w:color w:val="auto"/>
              </w:rPr>
            </w:pPr>
          </w:p>
        </w:tc>
        <w:tc>
          <w:tcPr>
            <w:tcW w:w="260" w:type="dxa"/>
            <w:vAlign w:val="bottom"/>
            <w:tcBorders>
              <w:right w:val="single" w:sz="8" w:color="auto"/>
            </w:tcBorders>
            <w:shd w:val="clear" w:color="auto" w:fill="CCEEFF"/>
          </w:tcPr>
          <w:p>
            <w:pPr>
              <w:spacing w:after="0"/>
              <w:rPr>
                <w:sz w:val="5"/>
                <w:szCs w:val="5"/>
                <w:color w:val="auto"/>
              </w:rPr>
            </w:pPr>
          </w:p>
        </w:tc>
        <w:tc>
          <w:tcPr>
            <w:tcW w:w="1060" w:type="dxa"/>
            <w:vAlign w:val="bottom"/>
            <w:tcBorders>
              <w:right w:val="single" w:sz="8" w:color="auto"/>
            </w:tcBorders>
            <w:shd w:val="clear" w:color="auto" w:fill="CCEEFF"/>
          </w:tcPr>
          <w:p>
            <w:pPr>
              <w:spacing w:after="0"/>
              <w:rPr>
                <w:sz w:val="5"/>
                <w:szCs w:val="5"/>
                <w:color w:val="auto"/>
              </w:rPr>
            </w:pPr>
          </w:p>
        </w:tc>
        <w:tc>
          <w:tcPr>
            <w:tcW w:w="980" w:type="dxa"/>
            <w:vAlign w:val="bottom"/>
            <w:tcBorders>
              <w:right w:val="single" w:sz="8" w:color="auto"/>
            </w:tcBorders>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20" w:type="dxa"/>
            <w:vAlign w:val="bottom"/>
            <w:tcBorders>
              <w:top w:val="single" w:sz="8" w:color="CCEEFF"/>
              <w:bottom w:val="single" w:sz="8" w:color="auto"/>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1820" w:type="dxa"/>
            <w:vAlign w:val="bottom"/>
            <w:tcBorders>
              <w:top w:val="single" w:sz="8" w:color="CCEEFF"/>
              <w:bottom w:val="single" w:sz="8" w:color="auto"/>
              <w:right w:val="single" w:sz="8" w:color="auto"/>
            </w:tcBorders>
            <w:shd w:val="clear" w:color="auto" w:fill="CCEEFF"/>
          </w:tcPr>
          <w:p>
            <w:pPr>
              <w:spacing w:after="0"/>
              <w:rPr>
                <w:sz w:val="11"/>
                <w:szCs w:val="11"/>
                <w:color w:val="auto"/>
              </w:rPr>
            </w:pPr>
          </w:p>
        </w:tc>
        <w:tc>
          <w:tcPr>
            <w:tcW w:w="820" w:type="dxa"/>
            <w:vAlign w:val="bottom"/>
            <w:tcBorders>
              <w:top w:val="single" w:sz="8" w:color="CCEEFF"/>
              <w:bottom w:val="single" w:sz="8" w:color="auto"/>
            </w:tcBorders>
            <w:shd w:val="clear" w:color="auto" w:fill="CCEEFF"/>
          </w:tcPr>
          <w:p>
            <w:pPr>
              <w:spacing w:after="0"/>
              <w:rPr>
                <w:sz w:val="11"/>
                <w:szCs w:val="11"/>
                <w:color w:val="auto"/>
              </w:rPr>
            </w:pPr>
          </w:p>
        </w:tc>
        <w:tc>
          <w:tcPr>
            <w:tcW w:w="100" w:type="dxa"/>
            <w:vAlign w:val="bottom"/>
            <w:tcBorders>
              <w:top w:val="single" w:sz="8" w:color="CCEEFF"/>
              <w:bottom w:val="single" w:sz="8" w:color="auto"/>
              <w:right w:val="single" w:sz="8" w:color="auto"/>
            </w:tcBorders>
            <w:shd w:val="clear" w:color="auto" w:fill="CCEEFF"/>
          </w:tcPr>
          <w:p>
            <w:pPr>
              <w:spacing w:after="0"/>
              <w:rPr>
                <w:sz w:val="11"/>
                <w:szCs w:val="11"/>
                <w:color w:val="auto"/>
              </w:rPr>
            </w:pPr>
          </w:p>
        </w:tc>
        <w:tc>
          <w:tcPr>
            <w:tcW w:w="880" w:type="dxa"/>
            <w:vAlign w:val="bottom"/>
            <w:tcBorders>
              <w:top w:val="single" w:sz="8" w:color="CCEEFF"/>
              <w:bottom w:val="single" w:sz="8" w:color="auto"/>
              <w:right w:val="single" w:sz="8" w:color="auto"/>
            </w:tcBorders>
            <w:shd w:val="clear" w:color="auto" w:fill="CCEEFF"/>
          </w:tcPr>
          <w:p>
            <w:pPr>
              <w:spacing w:after="0"/>
              <w:rPr>
                <w:sz w:val="11"/>
                <w:szCs w:val="11"/>
                <w:color w:val="auto"/>
              </w:rPr>
            </w:pPr>
          </w:p>
        </w:tc>
        <w:tc>
          <w:tcPr>
            <w:tcW w:w="780" w:type="dxa"/>
            <w:vAlign w:val="bottom"/>
            <w:tcBorders>
              <w:top w:val="single" w:sz="8" w:color="CCEEFF"/>
              <w:bottom w:val="single" w:sz="8" w:color="auto"/>
              <w:right w:val="single" w:sz="8" w:color="auto"/>
            </w:tcBorders>
            <w:shd w:val="clear" w:color="auto" w:fill="CCEEFF"/>
          </w:tcPr>
          <w:p>
            <w:pPr>
              <w:spacing w:after="0"/>
              <w:rPr>
                <w:sz w:val="11"/>
                <w:szCs w:val="11"/>
                <w:color w:val="auto"/>
              </w:rPr>
            </w:pPr>
          </w:p>
        </w:tc>
        <w:tc>
          <w:tcPr>
            <w:tcW w:w="260" w:type="dxa"/>
            <w:vAlign w:val="bottom"/>
            <w:tcBorders>
              <w:top w:val="single" w:sz="8" w:color="CCEEFF"/>
              <w:bottom w:val="single" w:sz="8" w:color="auto"/>
              <w:right w:val="single" w:sz="8" w:color="auto"/>
            </w:tcBorders>
            <w:shd w:val="clear" w:color="auto" w:fill="CCEEFF"/>
          </w:tcPr>
          <w:p>
            <w:pPr>
              <w:spacing w:after="0"/>
              <w:rPr>
                <w:sz w:val="11"/>
                <w:szCs w:val="11"/>
                <w:color w:val="auto"/>
              </w:rPr>
            </w:pPr>
          </w:p>
        </w:tc>
        <w:tc>
          <w:tcPr>
            <w:tcW w:w="1060" w:type="dxa"/>
            <w:vAlign w:val="bottom"/>
            <w:tcBorders>
              <w:top w:val="single" w:sz="8" w:color="CCEEFF"/>
              <w:bottom w:val="single" w:sz="8" w:color="auto"/>
              <w:right w:val="single" w:sz="8" w:color="auto"/>
            </w:tcBorders>
            <w:shd w:val="clear" w:color="auto" w:fill="CCEEFF"/>
          </w:tcPr>
          <w:p>
            <w:pPr>
              <w:spacing w:after="0"/>
              <w:rPr>
                <w:sz w:val="11"/>
                <w:szCs w:val="11"/>
                <w:color w:val="auto"/>
              </w:rPr>
            </w:pPr>
          </w:p>
        </w:tc>
        <w:tc>
          <w:tcPr>
            <w:tcW w:w="980" w:type="dxa"/>
            <w:vAlign w:val="bottom"/>
            <w:tcBorders>
              <w:top w:val="single" w:sz="8" w:color="CCEEFF"/>
              <w:bottom w:val="single" w:sz="8" w:color="auto"/>
              <w:right w:val="single" w:sz="8" w:color="auto"/>
            </w:tcBorders>
            <w:shd w:val="clear" w:color="auto" w:fill="CCEEFF"/>
          </w:tcPr>
          <w:p>
            <w:pPr>
              <w:spacing w:after="0"/>
              <w:rPr>
                <w:sz w:val="11"/>
                <w:szCs w:val="11"/>
                <w:color w:val="auto"/>
              </w:rPr>
            </w:pPr>
          </w:p>
        </w:tc>
        <w:tc>
          <w:tcPr>
            <w:tcW w:w="880" w:type="dxa"/>
            <w:vAlign w:val="bottom"/>
            <w:tcBorders>
              <w:top w:val="single" w:sz="8" w:color="CCEEFF"/>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Patients experienced rapid disease improvement as early as two weeks (the first assessment) after receiving the initial dose of barzolvolimab as demonstrated by reductions in critical temperature and friction thresholds resulting in hives and rapid reduction in itch at the time of provocation testing (WI-NRSprovo).</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Barzolvolimab was well tolerated with a favorable safety profile consistent with prior studies. Most adverse events were grade 1 (mild). Through 12 weeks, the most common treatment emergent adverse events in barzolvolimab treated patients were hair color changes (13%; Grade 1, n=15 / Grade 2, n=2) and neutropenia (10%; Grade 1, n=7 / Grade 2, n=6), which are mechanism related (KIT) and expected to be reversible. The rate of infections was similar between barzolvolimab-treated patients and placebo with no association between neutropenia and infections.</w:t>
      </w:r>
    </w:p>
    <w:p>
      <w:pPr>
        <w:spacing w:after="0" w:line="183" w:lineRule="exact"/>
        <w:rPr>
          <w:sz w:val="20"/>
          <w:szCs w:val="20"/>
          <w:color w:val="auto"/>
        </w:rPr>
      </w:pPr>
    </w:p>
    <w:p>
      <w:pPr>
        <w:jc w:val="both"/>
        <w:ind w:right="180" w:firstLine="648"/>
        <w:spacing w:after="0" w:line="261" w:lineRule="auto"/>
        <w:rPr>
          <w:sz w:val="20"/>
          <w:szCs w:val="20"/>
          <w:color w:val="auto"/>
        </w:rPr>
      </w:pPr>
      <w:r>
        <w:rPr>
          <w:rFonts w:ascii="Times New Roman" w:cs="Times New Roman" w:eastAsia="Times New Roman" w:hAnsi="Times New Roman"/>
          <w:sz w:val="18"/>
          <w:szCs w:val="18"/>
          <w:color w:val="auto"/>
        </w:rPr>
        <w:t>In March 2025, quality of life data were presented at the AAAAI Annual Meeting 2025. A marked and rapid improvement in urticaria control (UCT) and quality of life (DLQI) was observed and sustained through the 12-week period in patients with ColdU and SD. Up to 60% of patients reported that CIndU symptoms no longer had an impact on their quality of life at Week 12 and up to 69% of patients reported well-controlled urticaria based on UCT at Week 12.</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Patients on study continued to receive barzolvolimab for up to 20 weeks. Data from this longer term treatment period were presented in November 2025 at the ACAAI Annual Scientific Meeting. The data demonstrated sustained efficacy and a favorable safety profile over the 20 week placebo controlled treatment period. Key highlights at 20 weeks included:</w:t>
      </w:r>
    </w:p>
    <w:p>
      <w:pPr>
        <w:spacing w:after="0" w:line="176" w:lineRule="exact"/>
        <w:rPr>
          <w:sz w:val="20"/>
          <w:szCs w:val="20"/>
          <w:color w:val="auto"/>
        </w:rPr>
      </w:pPr>
    </w:p>
    <w:p>
      <w:pPr>
        <w:ind w:left="1000" w:right="120" w:hanging="317"/>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66% of patients with ColdU and 49% of patients with SD obtained a complete response compared to 16% and 10% of patients on placebo, respectively.</w:t>
      </w:r>
    </w:p>
    <w:p>
      <w:pPr>
        <w:spacing w:after="0" w:line="161" w:lineRule="exact"/>
        <w:rPr>
          <w:rFonts w:ascii="Times New Roman" w:cs="Times New Roman" w:eastAsia="Times New Roman" w:hAnsi="Times New Roman"/>
          <w:sz w:val="18"/>
          <w:szCs w:val="18"/>
          <w:color w:val="auto"/>
        </w:rPr>
      </w:pPr>
    </w:p>
    <w:p>
      <w:pPr>
        <w:ind w:left="1000" w:right="100" w:hanging="317"/>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78% of patients with ColdU and 58% of patients with SD obtained a partial or complete response compared to 25% and 16% of patients on placebo, respectively.</w:t>
      </w:r>
    </w:p>
    <w:p>
      <w:pPr>
        <w:spacing w:after="0" w:line="161" w:lineRule="exact"/>
        <w:rPr>
          <w:rFonts w:ascii="Times New Roman" w:cs="Times New Roman" w:eastAsia="Times New Roman" w:hAnsi="Times New Roman"/>
          <w:sz w:val="18"/>
          <w:szCs w:val="18"/>
          <w:color w:val="auto"/>
        </w:rPr>
      </w:pPr>
    </w:p>
    <w:p>
      <w:pPr>
        <w:ind w:left="1000" w:hanging="317"/>
        <w:spacing w:after="0" w:line="25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Marked improvement in critical temperature threshold (from baseline values of 18.7°C and 20.7°C to Week 20 values of 10.7°C and 9.2°C for barzolvolimab 150 mg Q4W and 300 mg Q8W, respectively compared to baseline values of 18.6°C to Week 20 values of 18.2°C for placebo) and friction thresholds (from baseline values of 3.6 and 3.6 pins to 1.5 and 1.4 pins for barzolvolimab 150 mg Q4W and 300 mg Q8W, respectively compared to baseline values of 3.6 pins to 2.9 pins for placebo) were observed over the course of the 20 week treatment period. Sustained improvement in itch reduction at the time of provocation testing (WI-NRSprovo) was also observed at Week 20.</w:t>
      </w:r>
    </w:p>
    <w:p>
      <w:pPr>
        <w:spacing w:after="0" w:line="187" w:lineRule="exact"/>
        <w:rPr>
          <w:rFonts w:ascii="Times New Roman" w:cs="Times New Roman" w:eastAsia="Times New Roman" w:hAnsi="Times New Roman"/>
          <w:sz w:val="18"/>
          <w:szCs w:val="18"/>
          <w:color w:val="auto"/>
        </w:rPr>
      </w:pPr>
    </w:p>
    <w:p>
      <w:pPr>
        <w:ind w:left="1000" w:right="240" w:hanging="317"/>
        <w:spacing w:after="0" w:line="26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completing the treatment period, patients were eligible to enter a 24 week open label extension (OLE) upon resumption/continuation of symptoms. Consistent with the clinical endpoint results at Week 20, placebo-treated patients entered the OLE at a faster rate compared to barzolvolimab-treated patients.</w:t>
      </w:r>
    </w:p>
    <w:p>
      <w:pPr>
        <w:spacing w:after="0" w:line="175" w:lineRule="exact"/>
        <w:rPr>
          <w:rFonts w:ascii="Times New Roman" w:cs="Times New Roman" w:eastAsia="Times New Roman" w:hAnsi="Times New Roman"/>
          <w:sz w:val="18"/>
          <w:szCs w:val="18"/>
          <w:color w:val="auto"/>
        </w:rPr>
      </w:pPr>
    </w:p>
    <w:p>
      <w:pPr>
        <w:ind w:left="1000" w:right="60" w:hanging="317"/>
        <w:spacing w:after="0" w:line="255"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Barzolvolimab was well tolerated with a favorable safety profile over the 20 week treatment period consistent with previous studies. There was no difference between active treatment (2%) and placebo groups (3%) in rate of discontinuations due to adverse events. Most adverse events for patients on study drug were grade 1 (mild), mechanism related (KIT) and, as demonstrated in previous studies, expected to be reversible. The most common adverse events occurring in greater than 10% of patients in any treatment group through Week 20 were hair color changes (18%; Grade 1, n=22 / Grade 2, n=2) and neutropenia (12%; Grade 1, n=9 / Grade 2, n=6). Neutropenia was transient and there was no association with infections.</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March 2026, data from the Phase 2 ColdU and SD Open Label Extension (OLE) were presented at the AAAAI Annual Meeting 2026 demonstrating that retreatment with barzolvolimab leads to rapid improvement in urticaria control after symptom recurrence. Patients with disease recurrence during the main study follow-up period qualified for the OLE. 121 patients entered the OLE, 61 patients with ColdU and 60 patients with SD, and 116 patients completed treatment in the OLE. Patients treated with placebo in the main study entered the OLE faster than patients treated with barzolvolimab (median time of 56 days versus 105 days from last dose in main study). Barzolvolimab re-treatment achieved similar profound efficacy to first exposure in patients with ColdU and SD.</w:t>
      </w:r>
    </w:p>
    <w:p>
      <w:pPr>
        <w:spacing w:after="0" w:line="187" w:lineRule="exact"/>
        <w:rPr>
          <w:sz w:val="20"/>
          <w:szCs w:val="20"/>
          <w:color w:val="auto"/>
        </w:rPr>
      </w:pPr>
    </w:p>
    <w:p>
      <w:pPr>
        <w:ind w:left="1000" w:right="300" w:hanging="317"/>
        <w:spacing w:after="0" w:line="266"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barzolvolimab re-treatment, 62% of patients with ColdU and 60% of patients with SD had a complete response at Week 20 in the OLE. These findings are consistent with the complete response rates in these patients to their initial treatment of 66% for ColdU and 49% for SD at Week 20 in the main study.</w:t>
      </w:r>
    </w:p>
    <w:p>
      <w:pPr>
        <w:spacing w:after="0" w:line="175" w:lineRule="exact"/>
        <w:rPr>
          <w:rFonts w:ascii="Times New Roman" w:cs="Times New Roman" w:eastAsia="Times New Roman" w:hAnsi="Times New Roman"/>
          <w:sz w:val="18"/>
          <w:szCs w:val="18"/>
          <w:color w:val="auto"/>
        </w:rPr>
      </w:pPr>
    </w:p>
    <w:p>
      <w:pPr>
        <w:ind w:left="1000" w:right="460" w:hanging="317"/>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Among patients with ColdU who achieved a complete response in the main study (n = 22), in the OLE, 82% of these patients achieved a complete response again and 95% achieved complete or partial response at Week 20.</w:t>
      </w:r>
    </w:p>
    <w:p>
      <w:pPr>
        <w:spacing w:after="0" w:line="161" w:lineRule="exact"/>
        <w:rPr>
          <w:rFonts w:ascii="Times New Roman" w:cs="Times New Roman" w:eastAsia="Times New Roman" w:hAnsi="Times New Roman"/>
          <w:sz w:val="18"/>
          <w:szCs w:val="18"/>
          <w:color w:val="auto"/>
        </w:rPr>
      </w:pPr>
    </w:p>
    <w:p>
      <w:pPr>
        <w:ind w:left="1000" w:right="380" w:hanging="317"/>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Among patients with SD who achieved a complete response in main study (n = 21), in the OLE, 86% of these patients achieved a complete response again and 100% achieved either a complete or partial response at Week 20.</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Marked, rapid reduction in critical temperature and friction thresholds were observed upon re-treatment.</w:t>
      </w:r>
    </w:p>
    <w:p>
      <w:pPr>
        <w:spacing w:after="0" w:line="225" w:lineRule="exact"/>
        <w:rPr>
          <w:rFonts w:ascii="Times New Roman" w:cs="Times New Roman" w:eastAsia="Times New Roman" w:hAnsi="Times New Roman"/>
          <w:sz w:val="18"/>
          <w:szCs w:val="18"/>
          <w:color w:val="auto"/>
        </w:rPr>
      </w:pPr>
    </w:p>
    <w:p>
      <w:pPr>
        <w:ind w:left="1000" w:right="260" w:hanging="317"/>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Barzolvolimab re-treatment resulted in clinically meaningful improvements in urticaria control, achieving a high rate of well controlled disease: up to 68% of patients with ColdU and 69% of patients with SD.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Barzolvolimab was well tolerated with a safety profile consistent with prior studies.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re-treat facilitates a real-world paradigm in which treatment for CIndU may be intermittent.</w:t>
      </w:r>
    </w:p>
    <w:p>
      <w:pPr>
        <w:sectPr>
          <w:pgSz w:w="11900" w:h="16838" w:orient="portrait"/>
          <w:cols w:equalWidth="0" w:num="1">
            <w:col w:w="9880"/>
          </w:cols>
          <w:pgMar w:left="980" w:top="661" w:right="10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these results strongly support the further development of barzolvolimab in ColdU and SD.</w:t>
      </w:r>
    </w:p>
    <w:p>
      <w:pPr>
        <w:spacing w:after="0" w:line="22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December 2025, we initiated a Phase 3 study of barzolvolimab in adult patients with ColdU and SD who remain symptomatic despite H1 antihistamine treatment. The Phase 3 trial (EMBARQ-ColdU and SD) is a randomized, double-blind, placebo-controlled, parallel group, global Phase 3 study (approximately 75 clinical trial sites across 7 countries) where approximately 240 participants will be enrolled to 2 separate cohorts (differentiated by subtype) to include approximately 120 participants with ColdU and 120 participants with SD. Participants in each cohort will be randomized in a 1:1 ratio to one of two treatment arms: cohort 1: barzolvolimab 150 mg every 4 weeks (Q4W) following a loading dose of 450 mg on Day 1 or cohort 2: matching placebo for 24 weeks. At 24 weeks, all patients will receive open label barzolvolimab 300mg every 8 weeks (Q8W) for an additional 28 weeks for a total treatment duration of 52 weeks in the study. The primary endpoint of the study will evaluate the percentage of patients with complete response (negative provocation test) at Week 12 as assessed by the TempTest® in ColdU and the FricTest® in SD. After completing the 52 week treatment period, participants will continue to be followed for 16 weeks.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Prurigo Nodularis (PN)</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have expanded clinical development of barzolvolimab into prurigo nodularis (PN). PN is a chronic skin disease characterized by the development of hard, intensely itchy (pruritic) nodules on the skin. Mast cells through their interactions with sensory neurons and other immune cells are believed to play an important role in amplifying chronic itch and neuroinflammation, both of which are a hallmark of PN. There is currently only one FDA approved therapy for PN, representing an area of significant unmet need. Industry sources estimate there are approximately 154,000 patients in the United States with PN who have undergone treatment within the last 12 months and, of these, approximately 75,000 would be biologic-eligible.</w:t>
      </w:r>
    </w:p>
    <w:p>
      <w:pPr>
        <w:spacing w:after="0" w:line="18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have completed a Phase 1b multi-center, randomized, double-blind, placebo-controlled intravenous study in PN. Data from the study, including 24 weeks of follow-up, were presented at the 12th World Congress on Itch (WCI) held in November 2023. 24 adults (evaluable: n=23 safety; n=22 efficacy) with moderate to severe PN were randomized across three arms: (1) barzolvolimab 3.0 mg/kg (n=9), barzolvolimab 1.5 mg/kg (n=7) and placebo (n=8). The primary endpoint of the study was safety; key secondary endpoints include changes from baseline in Worst Itch-Numerical Rating Scale (WI-NRS) &amp; Investigator Global Assessment (IGA). The primary timepoint for evaluation of clinical activity was 8 weeks; patients were followed for safety and efficacy endpoints to 24 weeks. Patients on study generally had moderate to severe disease with mean baseline scores across all arms of 8.6 for WI-NRS and 3.3 for IGA.</w:t>
      </w:r>
    </w:p>
    <w:p>
      <w:pPr>
        <w:spacing w:after="0" w:line="148"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A single IV dose of 3.0 mg/kg barzolvolimab resulted in rapid and durable reductions in itch and healing of skin lesions in patients with moderate to severe PN and that barzolvolimab was generally well tolerated.</w:t>
      </w:r>
    </w:p>
    <w:p>
      <w:pPr>
        <w:spacing w:after="0" w:line="135" w:lineRule="exact"/>
        <w:rPr>
          <w:sz w:val="20"/>
          <w:szCs w:val="20"/>
          <w:color w:val="auto"/>
        </w:rPr>
      </w:pPr>
    </w:p>
    <w:p>
      <w:pPr>
        <w:ind w:left="1000" w:right="40" w:hanging="317"/>
        <w:spacing w:after="0" w:line="261"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Week 8, the percentage of patients with ≥4-point decrease in WI-NRS was 57% and 43% for the single dose 3.0 or 1.5 mg/kg barzolvolimab arms, respectively, and 25% for the placebo arm; this level of response generally persisted out to Week 16. In the 3.0 mg/kg arm, a ≥4-point decrease in WI-NRS reduction was seen as early as the first week and reached a high of 71% of patients at Week 6 which was distinct from both the 1.5 mg/kg barzolvolimab and placebo 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99695</wp:posOffset>
            </wp:positionV>
            <wp:extent cx="5023485" cy="7543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023485" cy="754380"/>
                    </a:xfrm>
                    <a:prstGeom prst="rect">
                      <a:avLst/>
                    </a:prstGeom>
                    <a:noFill/>
                  </pic:spPr>
                </pic:pic>
              </a:graphicData>
            </a:graphic>
          </wp:anchor>
        </w:drawing>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of Subjects with ≥4-point decrease in WI-NRS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000" w:type="dxa"/>
            <w:vAlign w:val="bottom"/>
          </w:tcPr>
          <w:p>
            <w:pPr>
              <w:spacing w:after="0"/>
              <w:rPr>
                <w:sz w:val="20"/>
                <w:szCs w:val="20"/>
                <w:color w:val="auto"/>
              </w:rPr>
            </w:pPr>
          </w:p>
        </w:tc>
        <w:tc>
          <w:tcPr>
            <w:tcW w:w="2080" w:type="dxa"/>
            <w:vAlign w:val="bottom"/>
            <w:tcBorders>
              <w:top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Dose</w:t>
            </w:r>
          </w:p>
        </w:tc>
        <w:tc>
          <w:tcPr>
            <w:tcW w:w="7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Week 1</w:t>
            </w:r>
          </w:p>
        </w:tc>
        <w:tc>
          <w:tcPr>
            <w:tcW w:w="7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Week 2</w:t>
            </w:r>
          </w:p>
        </w:tc>
        <w:tc>
          <w:tcPr>
            <w:tcW w:w="740" w:type="dxa"/>
            <w:vAlign w:val="bottom"/>
            <w:tcBorders>
              <w:top w:val="single" w:sz="8" w:color="auto"/>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Week 3</w:t>
            </w:r>
          </w:p>
        </w:tc>
        <w:tc>
          <w:tcPr>
            <w:tcW w:w="720" w:type="dxa"/>
            <w:vAlign w:val="bottom"/>
            <w:tcBorders>
              <w:top w:val="single" w:sz="8" w:color="auto"/>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Week 4</w:t>
            </w:r>
          </w:p>
        </w:tc>
        <w:tc>
          <w:tcPr>
            <w:tcW w:w="740" w:type="dxa"/>
            <w:vAlign w:val="bottom"/>
            <w:tcBorders>
              <w:top w:val="single" w:sz="8" w:color="auto"/>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Week 5</w:t>
            </w:r>
          </w:p>
        </w:tc>
        <w:tc>
          <w:tcPr>
            <w:tcW w:w="720" w:type="dxa"/>
            <w:vAlign w:val="bottom"/>
            <w:tcBorders>
              <w:top w:val="single" w:sz="8" w:color="auto"/>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Week 6</w:t>
            </w:r>
          </w:p>
        </w:tc>
        <w:tc>
          <w:tcPr>
            <w:tcW w:w="720" w:type="dxa"/>
            <w:vAlign w:val="bottom"/>
            <w:tcBorders>
              <w:top w:val="single" w:sz="8" w:color="auto"/>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Week 7</w:t>
            </w:r>
          </w:p>
        </w:tc>
        <w:tc>
          <w:tcPr>
            <w:tcW w:w="76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Week 8</w:t>
            </w:r>
          </w:p>
        </w:tc>
        <w:tc>
          <w:tcPr>
            <w:tcW w:w="1000" w:type="dxa"/>
            <w:vAlign w:val="bottom"/>
          </w:tcPr>
          <w:p>
            <w:pPr>
              <w:spacing w:after="0"/>
              <w:rPr>
                <w:sz w:val="20"/>
                <w:szCs w:val="20"/>
                <w:color w:val="auto"/>
              </w:rPr>
            </w:pPr>
          </w:p>
        </w:tc>
      </w:tr>
      <w:tr>
        <w:trPr>
          <w:trHeight w:val="223"/>
        </w:trPr>
        <w:tc>
          <w:tcPr>
            <w:tcW w:w="1000" w:type="dxa"/>
            <w:vAlign w:val="bottom"/>
          </w:tcPr>
          <w:p>
            <w:pPr>
              <w:spacing w:after="0"/>
              <w:rPr>
                <w:sz w:val="19"/>
                <w:szCs w:val="19"/>
                <w:color w:val="auto"/>
              </w:rPr>
            </w:pPr>
          </w:p>
        </w:tc>
        <w:tc>
          <w:tcPr>
            <w:tcW w:w="208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1.5 mg/kg</w:t>
            </w:r>
          </w:p>
        </w:tc>
        <w:tc>
          <w:tcPr>
            <w:tcW w:w="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740" w:type="dxa"/>
            <w:vAlign w:val="bottom"/>
            <w:tcBorders>
              <w:bottom w:val="single" w:sz="8" w:color="auto"/>
              <w:right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29</w:t>
            </w:r>
          </w:p>
        </w:tc>
        <w:tc>
          <w:tcPr>
            <w:tcW w:w="720" w:type="dxa"/>
            <w:vAlign w:val="bottom"/>
            <w:tcBorders>
              <w:bottom w:val="single" w:sz="8" w:color="auto"/>
              <w:right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14</w:t>
            </w:r>
          </w:p>
        </w:tc>
        <w:tc>
          <w:tcPr>
            <w:tcW w:w="740" w:type="dxa"/>
            <w:vAlign w:val="bottom"/>
            <w:tcBorders>
              <w:bottom w:val="single" w:sz="8" w:color="auto"/>
              <w:right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29</w:t>
            </w:r>
          </w:p>
        </w:tc>
        <w:tc>
          <w:tcPr>
            <w:tcW w:w="720" w:type="dxa"/>
            <w:vAlign w:val="bottom"/>
            <w:tcBorders>
              <w:bottom w:val="single" w:sz="8" w:color="auto"/>
              <w:right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29</w:t>
            </w:r>
          </w:p>
        </w:tc>
        <w:tc>
          <w:tcPr>
            <w:tcW w:w="720" w:type="dxa"/>
            <w:vAlign w:val="bottom"/>
            <w:tcBorders>
              <w:bottom w:val="single" w:sz="8" w:color="auto"/>
              <w:right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29</w:t>
            </w:r>
          </w:p>
        </w:tc>
        <w:tc>
          <w:tcPr>
            <w:tcW w:w="7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Borders>
              <w:bottom w:val="single" w:sz="8" w:color="auto"/>
            </w:tcBorders>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000" w:type="dxa"/>
            <w:vAlign w:val="bottom"/>
          </w:tcPr>
          <w:p>
            <w:pPr>
              <w:spacing w:after="0"/>
              <w:rPr>
                <w:sz w:val="19"/>
                <w:szCs w:val="19"/>
                <w:color w:val="auto"/>
              </w:rPr>
            </w:pPr>
          </w:p>
        </w:tc>
        <w:tc>
          <w:tcPr>
            <w:tcW w:w="20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3.0 mg/kg</w:t>
            </w:r>
          </w:p>
        </w:tc>
        <w:tc>
          <w:tcPr>
            <w:tcW w:w="72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29</w:t>
            </w:r>
          </w:p>
        </w:tc>
        <w:tc>
          <w:tcPr>
            <w:tcW w:w="74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29</w:t>
            </w:r>
          </w:p>
        </w:tc>
        <w:tc>
          <w:tcPr>
            <w:tcW w:w="72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29</w:t>
            </w:r>
          </w:p>
        </w:tc>
        <w:tc>
          <w:tcPr>
            <w:tcW w:w="74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57</w:t>
            </w:r>
          </w:p>
        </w:tc>
        <w:tc>
          <w:tcPr>
            <w:tcW w:w="72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71</w:t>
            </w:r>
          </w:p>
        </w:tc>
        <w:tc>
          <w:tcPr>
            <w:tcW w:w="720" w:type="dxa"/>
            <w:vAlign w:val="bottom"/>
            <w:tcBorders>
              <w:bottom w:val="single" w:sz="8" w:color="auto"/>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57</w:t>
            </w: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57</w:t>
            </w:r>
          </w:p>
        </w:tc>
        <w:tc>
          <w:tcPr>
            <w:tcW w:w="20" w:type="dxa"/>
            <w:vAlign w:val="bottom"/>
            <w:tcBorders>
              <w:bottom w:val="single" w:sz="8" w:color="auto"/>
            </w:tcBorders>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000" w:type="dxa"/>
            <w:vAlign w:val="bottom"/>
          </w:tcPr>
          <w:p>
            <w:pPr>
              <w:spacing w:after="0"/>
              <w:rPr>
                <w:sz w:val="19"/>
                <w:szCs w:val="19"/>
                <w:color w:val="auto"/>
              </w:rPr>
            </w:pPr>
          </w:p>
        </w:tc>
        <w:tc>
          <w:tcPr>
            <w:tcW w:w="208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placebo</w:t>
            </w:r>
          </w:p>
        </w:tc>
        <w:tc>
          <w:tcPr>
            <w:tcW w:w="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740" w:type="dxa"/>
            <w:vAlign w:val="bottom"/>
            <w:tcBorders>
              <w:bottom w:val="single" w:sz="8" w:color="auto"/>
              <w:right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13</w:t>
            </w:r>
          </w:p>
        </w:tc>
        <w:tc>
          <w:tcPr>
            <w:tcW w:w="720" w:type="dxa"/>
            <w:vAlign w:val="bottom"/>
            <w:tcBorders>
              <w:bottom w:val="single" w:sz="8" w:color="auto"/>
              <w:right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13</w:t>
            </w:r>
          </w:p>
        </w:tc>
        <w:tc>
          <w:tcPr>
            <w:tcW w:w="740" w:type="dxa"/>
            <w:vAlign w:val="bottom"/>
            <w:tcBorders>
              <w:bottom w:val="single" w:sz="8" w:color="auto"/>
              <w:right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25</w:t>
            </w:r>
          </w:p>
        </w:tc>
        <w:tc>
          <w:tcPr>
            <w:tcW w:w="720" w:type="dxa"/>
            <w:vAlign w:val="bottom"/>
            <w:tcBorders>
              <w:bottom w:val="single" w:sz="8" w:color="auto"/>
              <w:right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38</w:t>
            </w:r>
          </w:p>
        </w:tc>
        <w:tc>
          <w:tcPr>
            <w:tcW w:w="720" w:type="dxa"/>
            <w:vAlign w:val="bottom"/>
            <w:tcBorders>
              <w:bottom w:val="single" w:sz="8" w:color="auto"/>
              <w:right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38</w:t>
            </w:r>
          </w:p>
        </w:tc>
        <w:tc>
          <w:tcPr>
            <w:tcW w:w="7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Borders>
              <w:bottom w:val="single" w:sz="8" w:color="auto"/>
            </w:tcBorders>
          </w:tcPr>
          <w:p>
            <w:pPr>
              <w:spacing w:after="0"/>
              <w:rPr>
                <w:sz w:val="19"/>
                <w:szCs w:val="19"/>
                <w:color w:val="auto"/>
              </w:rPr>
            </w:pPr>
          </w:p>
        </w:tc>
        <w:tc>
          <w:tcPr>
            <w:tcW w:w="1000" w:type="dxa"/>
            <w:vAlign w:val="bottom"/>
          </w:tcPr>
          <w:p>
            <w:pPr>
              <w:spacing w:after="0"/>
              <w:rPr>
                <w:sz w:val="19"/>
                <w:szCs w:val="19"/>
                <w:color w:val="auto"/>
              </w:rPr>
            </w:pPr>
          </w:p>
        </w:tc>
      </w:tr>
      <w:tr>
        <w:trPr>
          <w:trHeight w:val="858"/>
        </w:trPr>
        <w:tc>
          <w:tcPr>
            <w:tcW w:w="10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29</w:t>
            </w: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right="80" w:hanging="317"/>
        <w:spacing w:after="0" w:line="258"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Week 8, 29% of patients achieved clear or almost clear skin according to IGA following a single dose of barzolvolimab 3.0 mg/kg. This effect was noted as early as Week 2 (the first clinic visit) and was maintained out to week 12/16. No patients treated at 1.5 mg/kg barzolvolimab or placebo achieved clear or almost clear skin according to IGA through Week 8. 2 additional patients in the 1.5 mg/kg arm, 2 additional patients in the 3.0 mg/kg arm and 1 patient on placebo had IGA 0/1 at timepoints between Weeks 8 and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102235</wp:posOffset>
            </wp:positionV>
            <wp:extent cx="5023485" cy="7543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023485" cy="754380"/>
                    </a:xfrm>
                    <a:prstGeom prst="rect">
                      <a:avLst/>
                    </a:prstGeom>
                    <a:noFill/>
                  </pic:spPr>
                </pic:pic>
              </a:graphicData>
            </a:graphic>
          </wp:anchor>
        </w:drawing>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of Subjects with IGA 0/1</w:t>
      </w:r>
    </w:p>
    <w:p>
      <w:pPr>
        <w:spacing w:after="0" w:line="29" w:lineRule="exact"/>
        <w:rPr>
          <w:sz w:val="20"/>
          <w:szCs w:val="20"/>
          <w:color w:val="auto"/>
        </w:rPr>
      </w:pPr>
    </w:p>
    <w:tbl>
      <w:tblPr>
        <w:tblLayout w:type="fixed"/>
        <w:tblInd w:w="1000" w:type="dxa"/>
        <w:tblCellMar>
          <w:top w:w="0" w:type="dxa"/>
          <w:left w:w="0" w:type="dxa"/>
          <w:bottom w:w="0" w:type="dxa"/>
          <w:right w:w="0" w:type="dxa"/>
        </w:tblCellMar>
      </w:tblPr>
      <w:tr>
        <w:trPr>
          <w:trHeight w:val="233"/>
        </w:trPr>
        <w:tc>
          <w:tcPr>
            <w:tcW w:w="3200" w:type="dxa"/>
            <w:vAlign w:val="bottom"/>
            <w:tcBorders>
              <w:top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Dose</w:t>
            </w:r>
          </w:p>
        </w:tc>
        <w:tc>
          <w:tcPr>
            <w:tcW w:w="1180" w:type="dxa"/>
            <w:vAlign w:val="bottom"/>
            <w:tcBorders>
              <w:top w:val="single" w:sz="8" w:color="auto"/>
              <w:bottom w:val="single" w:sz="8" w:color="auto"/>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Baseline</w:t>
            </w:r>
          </w:p>
        </w:tc>
        <w:tc>
          <w:tcPr>
            <w:tcW w:w="1160" w:type="dxa"/>
            <w:vAlign w:val="bottom"/>
            <w:tcBorders>
              <w:top w:val="single" w:sz="8" w:color="auto"/>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Week 2</w:t>
            </w:r>
          </w:p>
        </w:tc>
        <w:tc>
          <w:tcPr>
            <w:tcW w:w="1200" w:type="dxa"/>
            <w:vAlign w:val="bottom"/>
            <w:tcBorders>
              <w:top w:val="single" w:sz="8" w:color="auto"/>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Week 4</w:t>
            </w:r>
          </w:p>
        </w:tc>
        <w:tc>
          <w:tcPr>
            <w:tcW w:w="116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Week 8</w:t>
            </w:r>
          </w:p>
        </w:tc>
        <w:tc>
          <w:tcPr>
            <w:tcW w:w="20" w:type="dxa"/>
            <w:vAlign w:val="bottom"/>
            <w:tcBorders>
              <w:top w:val="single" w:sz="8" w:color="auto"/>
              <w:bottom w:val="single" w:sz="8" w:color="auto"/>
            </w:tcBorders>
          </w:tcPr>
          <w:p>
            <w:pPr>
              <w:spacing w:after="0"/>
              <w:rPr>
                <w:sz w:val="20"/>
                <w:szCs w:val="20"/>
                <w:color w:val="auto"/>
              </w:rPr>
            </w:pPr>
          </w:p>
        </w:tc>
      </w:tr>
      <w:tr>
        <w:trPr>
          <w:trHeight w:val="223"/>
        </w:trPr>
        <w:tc>
          <w:tcPr>
            <w:tcW w:w="320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1.5 mg/kg</w:t>
            </w:r>
          </w:p>
        </w:tc>
        <w:tc>
          <w:tcPr>
            <w:tcW w:w="1180" w:type="dxa"/>
            <w:vAlign w:val="bottom"/>
            <w:tcBorders>
              <w:bottom w:val="single" w:sz="8" w:color="auto"/>
              <w:right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auto"/>
            </w:tcBorders>
          </w:tcPr>
          <w:p>
            <w:pPr>
              <w:spacing w:after="0"/>
              <w:rPr>
                <w:sz w:val="19"/>
                <w:szCs w:val="19"/>
                <w:color w:val="auto"/>
              </w:rPr>
            </w:pPr>
          </w:p>
        </w:tc>
      </w:tr>
      <w:tr>
        <w:trPr>
          <w:trHeight w:val="223"/>
        </w:trPr>
        <w:tc>
          <w:tcPr>
            <w:tcW w:w="32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3.0 mg/kg</w:t>
            </w:r>
          </w:p>
        </w:tc>
        <w:tc>
          <w:tcPr>
            <w:tcW w:w="1180" w:type="dxa"/>
            <w:vAlign w:val="bottom"/>
            <w:tcBorders>
              <w:bottom w:val="single" w:sz="8" w:color="auto"/>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0</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29</w:t>
            </w:r>
          </w:p>
        </w:tc>
        <w:tc>
          <w:tcPr>
            <w:tcW w:w="20" w:type="dxa"/>
            <w:vAlign w:val="bottom"/>
            <w:tcBorders>
              <w:bottom w:val="single" w:sz="8" w:color="auto"/>
            </w:tcBorders>
          </w:tcPr>
          <w:p>
            <w:pPr>
              <w:spacing w:after="0"/>
              <w:rPr>
                <w:sz w:val="19"/>
                <w:szCs w:val="19"/>
                <w:color w:val="auto"/>
              </w:rPr>
            </w:pPr>
          </w:p>
        </w:tc>
      </w:tr>
      <w:tr>
        <w:trPr>
          <w:trHeight w:val="223"/>
        </w:trPr>
        <w:tc>
          <w:tcPr>
            <w:tcW w:w="320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Placebo</w:t>
            </w:r>
          </w:p>
        </w:tc>
        <w:tc>
          <w:tcPr>
            <w:tcW w:w="1180" w:type="dxa"/>
            <w:vAlign w:val="bottom"/>
            <w:tcBorders>
              <w:bottom w:val="single" w:sz="8" w:color="auto"/>
              <w:right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auto"/>
            </w:tcBorders>
          </w:tcPr>
          <w:p>
            <w:pPr>
              <w:spacing w:after="0"/>
              <w:rPr>
                <w:sz w:val="19"/>
                <w:szCs w:val="19"/>
                <w:color w:val="auto"/>
              </w:rPr>
            </w:pPr>
          </w:p>
        </w:tc>
      </w:tr>
    </w:tbl>
    <w:p>
      <w:pPr>
        <w:spacing w:after="0" w:line="198" w:lineRule="exact"/>
        <w:rPr>
          <w:sz w:val="20"/>
          <w:szCs w:val="20"/>
          <w:color w:val="auto"/>
        </w:rPr>
      </w:pPr>
    </w:p>
    <w:p>
      <w:pPr>
        <w:ind w:left="1000" w:right="240" w:hanging="317"/>
        <w:spacing w:after="0" w:line="266"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activity was associated with profound serum tryptase reduction. At the 3.0 mg/kg dose, tryptase was profoundly reduced to, or below, the level of quantification and this level of reduction was maintained at least through 8 weeks. Tryptase reduction was observed in the 1.5 mg/kg arm but to a lesser extent.</w:t>
      </w:r>
    </w:p>
    <w:p>
      <w:pPr>
        <w:spacing w:after="0" w:line="148" w:lineRule="exact"/>
        <w:rPr>
          <w:rFonts w:ascii="Times New Roman" w:cs="Times New Roman" w:eastAsia="Times New Roman" w:hAnsi="Times New Roman"/>
          <w:sz w:val="18"/>
          <w:szCs w:val="18"/>
          <w:color w:val="auto"/>
        </w:rPr>
      </w:pPr>
    </w:p>
    <w:p>
      <w:pPr>
        <w:ind w:left="1000" w:right="320" w:hanging="317"/>
        <w:spacing w:after="0" w:line="261"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Events were generally mild to moderate in intensity and considered unrelated to treatment. During the initial 8 week observation period in the 3.0 mg/kg dosing arm, an anaphylactic reaction occurred in a complicated patient with multiple comorbidities; the event fully resolved without sequelae. Generally, adverse events seen during the 24-week follow-up period were consistent with comorbidities commonly observed in the PN population.</w:t>
      </w:r>
    </w:p>
    <w:p>
      <w:pPr>
        <w:spacing w:after="0" w:line="139" w:lineRule="exact"/>
        <w:rPr>
          <w:sz w:val="20"/>
          <w:szCs w:val="20"/>
          <w:color w:val="auto"/>
        </w:rPr>
      </w:pPr>
    </w:p>
    <w:p>
      <w:pPr>
        <w:ind w:firstLine="648"/>
        <w:spacing w:after="0" w:line="217" w:lineRule="exact"/>
        <w:rPr>
          <w:sz w:val="20"/>
          <w:szCs w:val="20"/>
          <w:color w:val="auto"/>
        </w:rPr>
      </w:pPr>
      <w:r>
        <w:rPr>
          <w:rFonts w:ascii="Times New Roman" w:cs="Times New Roman" w:eastAsia="Times New Roman" w:hAnsi="Times New Roman"/>
          <w:sz w:val="18"/>
          <w:szCs w:val="18"/>
          <w:color w:val="auto"/>
        </w:rPr>
        <w:t>In April 2024, we initiated a Phase 2 subcutaneous study in PN. This randomized, double-blind, placebo-controlled, parallel group study is evaluating the efficacy and safety profile of 2 dose levels of barzolvolimab compared to placebo in patients with moderate to severe PN who had inadequate response to prescription topical medications, or for whom topical medications are medically inadvisable (such as concerns for safety). 140 patients were randomly assigned on a 1:1:1 ratio to receive barzolvolimab injections of 150 mg Q4W after an initial loading dose of 450 mg, 300 mg Q4W after an initial loading dose of 450 mg, or placebo during a 24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week Treatment Phase. Participants then entered a follow-up phase with no study treatment for an additional 16 weeks through Week 40. The primary objective of this study is to evaluate the clinical effect of barzolvolimab, compared to placebo, on itch response as measured by the proportion of participants with ≥ 4-point improvement in the worst intensity itch per a numeric rating scale (WI-NRS). Secondary objectives include but are not limited to additional measures of itch response from baseline compared to different timepoints, the assessment of skin lesions as measured by the Investigator Global Assessment (IGA), QoL outcomes and safety. In addition, the study included the option for patients who had symptoms following the treatment phase, including patients who were on placebo, to enroll in an open label extension where all patients received 300 mg of barzolvolimab every 4 weeks following a loading dose of barzolvolimab 450 mg. The study included the United States and 5 additional countries and approximately 75 clinical trial centers. Enrollment was completed in December 2025. Topline data from the study is expected in summer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Atopic Dermatitis (AD)</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December of 2024, we announced the initiation of a Phase 2 study in atopic dermatitis (AD). AD is one of the most common chronic inflammatory skin diseases, with a lifetime prevalence of up to 20% of the US population and a substantial impact on quality of life (Kawakami, et al. 2009). Mast cells are strongly implicated in all facets of AD pathophysiology and the fundamental processes that characterize AD, including epithelial barrier dysfunction, immune cell recruitment, neuroinflammation (Keith, et al. 2023) and multiple other mast cell-associated factors that correlate with disease severity. Activated mast cells are also found in increased numbers in lesional biopsies. Two-thirds of patients treated with first line systemic therapy (1.7 million patients in the US) do not achieve complete control of their atopic dermatitis (Simpson, Bieber, Guttman-Yassky, et al. 2016) and new therapies that offer rapid, meaningful relief from the severe itching and breakdown of the skin associated with AD are needed. Given barzolvolimab’s potential as a mast cell depleting agent, we believe AD is an important indication for future study.</w:t>
      </w:r>
    </w:p>
    <w:p>
      <w:pPr>
        <w:spacing w:after="0" w:line="188" w:lineRule="exact"/>
        <w:rPr>
          <w:sz w:val="20"/>
          <w:szCs w:val="20"/>
          <w:color w:val="auto"/>
        </w:rPr>
      </w:pPr>
    </w:p>
    <w:p>
      <w:pPr>
        <w:ind w:firstLine="648"/>
        <w:spacing w:after="0" w:line="220" w:lineRule="exact"/>
        <w:rPr>
          <w:sz w:val="20"/>
          <w:szCs w:val="20"/>
          <w:color w:val="auto"/>
        </w:rPr>
      </w:pPr>
      <w:r>
        <w:rPr>
          <w:rFonts w:ascii="Times New Roman" w:cs="Times New Roman" w:eastAsia="Times New Roman" w:hAnsi="Times New Roman"/>
          <w:sz w:val="18"/>
          <w:szCs w:val="18"/>
          <w:color w:val="auto"/>
        </w:rPr>
        <w:t>The randomized, double-blind, placebo-controlled, parallel group Phase 2 study is evaluating the efficacy and safety profile of subcutaneous barzolvolimab in patients with moderate to severe AD. 131 patients were randomly assigned on a 1:1:1 ratio to receive subcutaneous injections of barzolvolimab at either 150 or 300 mg or placebo every 4 weeks after an initial loading dose of 450 mg or placebo during a 16-week placebo-controlled treatment phase. Participants randomized into the placebo arm were re-randomized at Week 16 into 1 of the 2 active treatment arms. Patients then entered a 16-week active treatment phase, in which all patients will receive barzolvolimab every 4 weeks. The primary endpoint of the study is to evaluate the clinical efficacy of the two dose levels compared to placebo using the Peak Pruritus Numerical Rating Scale (PP-NRS) at Week 16, a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defined, reliable,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ind w:right="80"/>
        <w:spacing w:after="0" w:line="226" w:lineRule="exact"/>
        <w:rPr>
          <w:sz w:val="20"/>
          <w:szCs w:val="20"/>
          <w:color w:val="auto"/>
        </w:rPr>
      </w:pPr>
      <w:r>
        <w:rPr>
          <w:rFonts w:ascii="Times New Roman" w:cs="Times New Roman" w:eastAsia="Times New Roman" w:hAnsi="Times New Roman"/>
          <w:sz w:val="18"/>
          <w:szCs w:val="18"/>
          <w:color w:val="auto"/>
        </w:rPr>
        <w:t>sensitive and valid scale for evaluating worst itch intensity in adults with moderate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severe AD. Secondary endpoints include the evaluation of the clinical efficacy of barzolvolimab, compared to placebo across multiple patient-reported outcomes, including assessing impressions of disease change and severity and improvements in quality of life. The study included approximately 40 clinical trial centers in the United States. Enrollment was completed in January 2026. Topline data from the study is expected in late 2026.</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Barzolvolimab Development Activities</w:t>
      </w:r>
    </w:p>
    <w:p>
      <w:pPr>
        <w:spacing w:after="0" w:line="227"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The barzolvolimab manufacturing process has been successfully transferred and scaled up to produce larger cGMP batches at both Drug Substance (DS) and Drug Product (DP) commercial Contract Development and Manufacturing Organizations in support of late-stage trials and to prepare for potential commercialization. Drug product manufacturing into 1 mL pre-filled syringes has been completed and pre-filled syringes are actively being used in Phase 3 trials. In 2025, we initiated the Process Performance Qualification (PPQ) manufacturing runs for DS and anticipate the completion of those activities in 2026. We are currently preparing for the DP PPQ activities and expect to complete these activities in 2026.</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February 2022, we reported interim data after completing the in-life dosing portion of our six-month chronic toxicology study in non-human primates. The only clinically adverse finding at the completion of dosing was a profound impact on spermatogenesis, an expected and well understood effect of KIT inhibition. As a standard part of toxicology studies, some animals from each group continued to be observed through a recovery period to understand the reversibility of any adverse findings. Due to the very high concentrations of barzolvolimab at the end of dosing, the recovery period was approximately one year. As we expected, and consistent with previous findings with KIT blocking antibodies, we were pleased to report in December 2022, that during this recovery period spermatogenesis fully recovered in all male animals as measured by both sperm count and motility. The final histologic analysis and study report were completed in early 2023 and were consistent with previously reported results. We are encouraged with these findings and believe these data strongly support continued development of barzolvolimab.</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Bispecific Platform</w:t>
      </w:r>
    </w:p>
    <w:p>
      <w:pPr>
        <w:spacing w:after="0" w:line="227"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Our next generation bispecific antibody platform is supporting the expansion of our pipeline with additional candidates for inflammatory diseases. Targets are being selected based on new science as well as their compatibility to be used in bispecific antibody formats with our existing antibody programs. Development is focused on emerging, important pathways controlling inflammatory diseases.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CDX-622</w:t>
      </w:r>
    </w:p>
    <w:p>
      <w:pPr>
        <w:spacing w:after="0" w:line="227"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 xml:space="preserve">CDX-622 is a bispecific antibody that targets two complementary pathways that drive chronic inflammation, potently neutralizing the alarmin thymic stromal lymphopoietin (TSLP) and depleting mast cells via stem cell factor (SCF) starvation. TSLP has been directly implicated in several respiratory and dermatological disorders, such as asthma, chronic obstructive pulmonary disease (COPD), eosinophilic esophagitis, atopic dermatitis and chronic spontaneous urticaria, and in fibrotic diseases such as systemic sclerosis and idiopathic pulmonary fibrosis. In these disorders, TSLP is often upregulated and associated with disease severity. Similarly, mast cells drive or contribute to the pathophysiology of allergic, inflammatory, autoimmune and fibrotic disorders and CDX-622 contains a unique SCF neutralizing function that is expected to inhibit and deplete mast cells. Combined neutralization of SCF and TSLP with CDX-622 is expected to simultaneously reduce tissue mast cells and inhibit Type 2 inflammatory responses to potentially offer enhanced therapeutic benefit in inflammatory and fibrotic disorders. CDX-622 has been engineered to disable effector function (AQQ) and reduce clearance (YTE). In preclinical studies, CDX-622 inhibits TSLP and SCF with similar potency to both its respective parental mAbs and comparator mAbs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preferentially inhibits the soluble over the membrane form of SCF, which may lead to differential impact on KIT-dependent processes. CDX-622 was well tolerated in a multi-dose 8 week toxicology study in non-human primates and led to a profound mast cell depletion in several tissues. The No Adverse Event Level (NOAEL) was established to be 75 mg/kg, the highest dose level tested.</w:t>
      </w:r>
    </w:p>
    <w:p>
      <w:pPr>
        <w:spacing w:after="0" w:line="19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November 2024, we initiated a multi-part Phase 1 study of CDX-622 in healthy volunteers and enrollment was completed across all parts in January 2026. The Phase 1a clinical trial is a three-part, randomized, double-blind, placebo-controlled, dose escalation study designed to assess the safety, pharmacokinetics, and pharmacodynamics of CDX-622 in up to 80 healthy participants. A single dose of CDX-622 or placebo was administered intravenously (IV) once during Part 1. In Part 2, CDX-622 or placebo was administered IV every 2 weeks (Q2W) for up to 6 weeks following the first dose, for a total of 4 doses. In Part 3, a single dose of CDX-622 or placebo was administered subcutaneously once. Participants are followed for 12 weeks in all Parts following the last dose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of study drug. The pharmacodynamic biomarkers from blood and skin will be highly informative on the ability of CDX-622 to engage and neutralize SCF and TSLP.</w:t>
      </w:r>
    </w:p>
    <w:p>
      <w:pPr>
        <w:spacing w:after="0" w:line="16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presented positive data from the Phase 1 single ascending dose portion of the study (Part 1) at the CIA (Collegium Internationale Allergologicum) Biennial Symposium in October 2025. CDX-622 was well tolerated with no dose limiting toxicities and no emergent events related to systemic KIT inhibition. CDX-622 exhibited a good pharmacokinetic profile and induced rapid and sustained dose dependent reductions in serum tryptase, indicative of mast cell inhibition and depletion. Data from the multiple ascending doses portion of the study (Part 2) and subcutaneous administration (Part 3) are expected in the third quarter of 2026.</w:t>
      </w:r>
    </w:p>
    <w:p>
      <w:pPr>
        <w:spacing w:after="0" w:line="183"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In January 2026, we initiated an open-label, single-dose Phase 1 proof of mechanism study to assess the safety, pharmacodynamics, and pharmacokinetics of CDX-622 in adults with mild to moderate asthma. Participants will receive a single IV infusion of CDX-622 and be followed for 12 weeks. PD effects of CDX-622 on fractional exhaled nitric oxide (FeNO), absolute eosinophil count (AEC) and serum biomarkers, including TSLP- and SCF-related biomarkers, will be evaluated.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See Note 2 to the unaudited condensed consolidated financial statements included elsewhere in this Quarterly Report on Form 10-Q for information regarding newly adopted and recent accounting pronouncements. See also Note 2 to our financial statements included in our Annual Report on Form 10-K for the year ended December 31, 2025 for a discussion of our critical accounting policies and estimates. There have been no material changes to such critical accounting policies or estimates. We believe our most critical accounting policies include accounting for contingent consideration, revenue recognition, intangible and long-lived assets, research and development expenses and stock-based compensation expense.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2026 Compared with Three Months Ended March 31, 2025</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8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Increase/</w:t>
            </w: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1380" w:type="dxa"/>
            <w:vAlign w:val="bottom"/>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360" w:type="dxa"/>
            <w:vAlign w:val="bottom"/>
            <w:gridSpan w:val="2"/>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240" w:type="dxa"/>
            <w:vAlign w:val="bottom"/>
            <w:gridSpan w:val="2"/>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18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40" w:type="dxa"/>
            <w:vAlign w:val="bottom"/>
            <w:gridSpan w:val="5"/>
          </w:tcPr>
          <w:p>
            <w:pPr>
              <w:jc w:val="right"/>
              <w:ind w:right="49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 and licensing agreements</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Contracts and grants</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(630)</w:t>
            </w:r>
          </w:p>
        </w:tc>
        <w:tc>
          <w:tcPr>
            <w:tcW w:w="18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1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197"/>
        </w:trPr>
        <w:tc>
          <w:tcPr>
            <w:tcW w:w="45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73,001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52,614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10"/>
        </w:trPr>
        <w:tc>
          <w:tcPr>
            <w:tcW w:w="4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84,450</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63,434</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21,016</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(84,435)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21,696</w:t>
            </w: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Investment and other income, net</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(3,193)</w:t>
            </w: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(78,685)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jc w:val="both"/>
        <w:ind w:right="460" w:firstLine="648"/>
        <w:spacing w:after="0" w:line="266" w:lineRule="auto"/>
        <w:rPr>
          <w:sz w:val="20"/>
          <w:szCs w:val="20"/>
          <w:color w:val="auto"/>
        </w:rPr>
      </w:pPr>
      <w:r>
        <w:rPr>
          <w:rFonts w:ascii="Times New Roman" w:cs="Times New Roman" w:eastAsia="Times New Roman" w:hAnsi="Times New Roman"/>
          <w:sz w:val="18"/>
          <w:szCs w:val="18"/>
          <w:color w:val="auto"/>
        </w:rPr>
        <w:t>The $24.9 million increase in net loss for the three months ended March 31, 2026, as compared to the three months ended March 31, 2025, was primarily due to an increase in research and development expenses related to barzolvolimab and a decrease in investment and other income, net.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$0.6 million decrease in contracts and grants revenue for the three months ended March 31, 2026, as compared to the three months ended March 31, 2025, was primarily due to a decrease in revenue from our contract manufacturing and research and development agreements with Rockefeller University. We expect revenue to increase over the next twelve months as a result of an</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increase in services expected to be performed under our contract manufacturing and research and development agreements with Rockefeller University, although there may be fluctuations on a quarterly basis.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4"/>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Increase/</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35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5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3580" w:type="dxa"/>
            <w:vAlign w:val="bottom"/>
          </w:tcPr>
          <w:p>
            <w:pPr>
              <w:spacing w:after="0"/>
              <w:rPr>
                <w:sz w:val="12"/>
                <w:szCs w:val="12"/>
                <w:color w:val="auto"/>
              </w:rPr>
            </w:pPr>
          </w:p>
        </w:tc>
        <w:tc>
          <w:tcPr>
            <w:tcW w:w="232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3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2"/>
                <w:szCs w:val="12"/>
                <w:color w:val="auto"/>
              </w:rPr>
            </w:pPr>
          </w:p>
        </w:tc>
        <w:tc>
          <w:tcPr>
            <w:tcW w:w="4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r>
      <w:tr>
        <w:trPr>
          <w:trHeight w:val="20"/>
        </w:trPr>
        <w:tc>
          <w:tcPr>
            <w:tcW w:w="3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28"/>
        </w:trPr>
        <w:tc>
          <w:tcPr>
            <w:tcW w:w="35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w:t>
            </w:r>
          </w:p>
        </w:tc>
        <w:tc>
          <w:tcPr>
            <w:tcW w:w="2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15,569</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13,600</w:t>
            </w: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14 %</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Laboratory supplies</w:t>
            </w: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w w:val="97"/>
              </w:rPr>
              <w:t>(710)</w:t>
            </w:r>
          </w:p>
        </w:tc>
        <w:tc>
          <w:tcPr>
            <w:tcW w:w="2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w:t>
            </w:r>
          </w:p>
        </w:tc>
        <w:tc>
          <w:tcPr>
            <w:tcW w:w="2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w w:val="97"/>
              </w:rPr>
              <w:t>(466)</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2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50,158</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32,166</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17,992</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56 %</w:t>
            </w:r>
          </w:p>
        </w:tc>
      </w:tr>
    </w:tbl>
    <w:p>
      <w:pPr>
        <w:spacing w:after="0" w:line="17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Personnel expenses primarily include salary, benefits, stock-based compensation and payroll taxes. The $2.0 million increase in personnel expenses for the three months ended March 31, 2026, as compared to the three months ended March 31, 2025, was primarily due to an increase in employee headcount. We expect personnel expenses to increase over the next twelve months as a result of additional headcount to support the expanded development of barzolvolimab.</w:t>
      </w:r>
    </w:p>
    <w:p>
      <w:pPr>
        <w:spacing w:after="0" w:line="18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Laboratory supplies expenses include laboratory materials and supplies, services, and other related expenses incurred in the development of our technology. The $0.7 million decrease in laboratory supply expenses for the three months ended March 31, 2026, as compared to the three months ended March 31, 2025, was primarily due to lower laboratory materials and supplies purchases. We expect laboratory supplies expenses to remain relatively consistent over the next twelve months, although there may be fluctuations on a quarterly basis.</w:t>
      </w:r>
    </w:p>
    <w:p>
      <w:pPr>
        <w:spacing w:after="0" w:line="18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Facility expenses include depreciation, amortization, utilities, rent, maintenance and other related expenses incurred at our facilities. The $0.5 million decrease in facility expenses for the three months ended March 31, 2026, as compared to the three months ended March 31, 2025, was primarily due to lower expense related to our leased facilities. In 2025, we signed a new lease in New Haven, Connecticut to which we will relocate our existing New Haven operations to in 2026. As a result, we expect facility expenses to increase over the next twelve months, although there may be fluctuations on a quarterly basis.</w:t>
      </w:r>
    </w:p>
    <w:p>
      <w:pPr>
        <w:spacing w:after="0" w:line="18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Product development expenses include clinical investigator site fees, external trial monitoring costs, data accumulation costs, contracted research and outside clinical drug product manufacturing. The $18.0 million increase in product development expenses for the three months ended March 31, 2026, as compared to the three months ended March 31, 2025, was primarily due to an increase in barzolvolimab clinical trial and contract manufacturing expenses. We expect product development expenses to remain relatively consistent over the next twelve months, although there may be fluctuations on a quarterly basis.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$0.6 million increase in general and administrative expenses for the three months ended March 31, 2026, as compared to the three months ended March 31, 2025, was primarily due to higher commercial planning expenses. We expect general and administrative expenses to increase over the next twelve months as a result of the expanded development of barzolvolimab and an increase in commercial planning efforts, although there may be fluctuations on a quarterly basis.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and Other Income, Net</w:t>
      </w:r>
    </w:p>
    <w:p>
      <w:pPr>
        <w:spacing w:after="0" w:line="2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$3.2 million decrease in investment and other income, net for the three months ended March 31, 2026, as compared to the three months ended March 31, 2025, was primarily due to lower levels of cash and investment balances. We expect investment and other income to increase over the next twelve months due to higher levels of cash and investment balances as a result of our April 2026 underwritten public offering, although there may be fluctuations on a quarterly basis.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8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and consulting, legal and other professional fees. We anticipate that our cash flows from operations will continue to be focused in these areas as we progress our current drug candidates through the clinical trial process and develop additional drug candidates. To date, the primary sources of cash flows from operations have been payments received from our collaborative partners and from government entities and payments received for contract manufacturing and research and development services provided by us. The timing of any new contract manufacturing and research and development agreements, collaboration agreements, government contracts or grants and any payments under these agreements, contracts or grants cannot be easily predicted and may vary significantly from quarter to quarter.</w:t>
      </w:r>
    </w:p>
    <w:p>
      <w:pPr>
        <w:spacing w:after="0" w:line="188"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At March 31, 2026, our principal sources of liquidity consisted of cash, cash equivalents and marketable securities of $451.5 million. We have had recurring losses and incurred a loss of $78.7 million for the three months ended March 31, 2026. Net cash used in operations for the three months ended March 31, 2026 was $65.6 million. We believe that the cash, cash equivalents and marketable securities at March 31, 2026, along with the approximately $323.9 million in net proceeds from our April 2026 underwritten public offering, are sufficient to meet estimated working capital requirements and fund current planned operations through 2028. This could be impacted if we elect to pay the future milestone under the Settlement Agreement with SRS in cash, in the event that we achieve the milestone related to that payment.</w:t>
      </w:r>
    </w:p>
    <w:p>
      <w:pPr>
        <w:spacing w:after="0" w:line="189" w:lineRule="exact"/>
        <w:rPr>
          <w:sz w:val="20"/>
          <w:szCs w:val="20"/>
          <w:color w:val="auto"/>
        </w:rPr>
      </w:pPr>
    </w:p>
    <w:p>
      <w:pPr>
        <w:ind w:right="140" w:firstLine="648"/>
        <w:spacing w:after="0" w:line="252" w:lineRule="auto"/>
        <w:rPr>
          <w:sz w:val="20"/>
          <w:szCs w:val="20"/>
          <w:color w:val="auto"/>
        </w:rPr>
      </w:pPr>
      <w:r>
        <w:rPr>
          <w:rFonts w:ascii="Times New Roman" w:cs="Times New Roman" w:eastAsia="Times New Roman" w:hAnsi="Times New Roman"/>
          <w:sz w:val="18"/>
          <w:szCs w:val="18"/>
          <w:color w:val="auto"/>
        </w:rPr>
        <w:t>During the next twelve months, we may take further steps to raise additional capital to meet our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we have been successful in raising capital in the past, there can be no assurance that additional financing will be available on acceptable terms, if at all, and our negotiating position in capital raising efforts may worsen as existing resources are used. There is also no assurance that we will be able to enter into further collaborative relationships. Additional equity financings may be dilutive to our stockholders; debt financings, if available, may involve significant cash payment obligations and covenants that restrict our ability to operate as a business; and licensing or strategic collaborations may result in royalties or other terms which reduce our economic potential from products under development. Our ability to continue funding our planned operations into and beyond twelve months from the issuance date is also dependent on the timing and manner of payment of the future milestone under the Settlement Agreement with SRS, in the event that we achieve the milestone related to that payment. We may decide to pay that milestone payment in cash, shares of our common stock or a combination thereof. If we are unable to raise the funds necessary to meet our long-term liquidity needs, we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our business.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$65.6 million for the three months ended March 31, 2026 as compared to $54.4 million for the three months ended March 31, 2025. The increase in net cash used in operating activities was primarily due to an increase in research and development expenses related to barzolvolimab. We expect that cash used in operating activities will increase over the next twelve months as a result of the expanded development of barzolvolimab.</w:t>
      </w:r>
    </w:p>
    <w:p>
      <w:pPr>
        <w:spacing w:after="0" w:line="13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have incurred and will continue to incur significant costs in the area of research and development, including preclinical and clinical trials and clinical drug product manufacturing as our drug candidates are developed. We plan to spend significant amounts to progress our current drug candidates through the clinical trial process as well as to develop additional drug candidates. As our drug candidates progress through the clinical trial process, we may be obligated to make significant milestone payments, pursuant to our existing arrangements and arrangements we may enter in the future.</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was $72.1 million for the three months ended March 31, 2026 compared to $43.0 million for the three months ended March 31, 2025. The increase in net cash provided by investing activities was primarily due to net sales and maturities of marketable securities of $73.8 million for the three months ended March 31, 2026 as compared to $43.2 million for the three months ended March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$0.3 million for the three months ended March 31, 2026 as compared to $0.2 million for the three months ended March 31, 2025. The increase in net cash provided by financing activities was primarily due to an increase in proceeds from issuance of stock from employee benefit plans.</w:t>
      </w:r>
    </w:p>
    <w:p>
      <w:pPr>
        <w:spacing w:after="0" w:line="176"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In April 2026, we issued 11,896,750 shares of common stock in an underwritten public offering resulting in net proceeds of approximately $323.9 million, after deducting underwriting fees and offering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utilize derivative financial instruments. The carrying amounts reflected in the consolidated balance sheet of cash and cash equivalents, accounts receivables and accounts payable approximate fair value at March 31, 2026 due to the short-term maturities of these instruments.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As of March 31, 2026,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March 31, 2026.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I, “Item 1A. Risk Factors” in our Annual Report on Form 10-K for the year ended December 31, 2025, which could materially affect our business, financial condition or future results. The risks described in our Annual Report on Form 10-K may not be the only risks facing us. Additional risks and uncertainties not currently known to us or that we currently deem to be immaterial also may materially adversely affect our business, financial condition and/or operating results.</w:t>
      </w:r>
    </w:p>
    <w:p>
      <w:pPr>
        <w:spacing w:after="0" w:line="183"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the risk factors previously disclosed in our Annual Report on Form 10-K filed with the SEC on February 25,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During the period covered by this Quarterly Report on Form 10-Q, no director or officer of the Company adopted or terminated a “Rule 10b5-1 trading arrangement” or “non-Rule 10b5-1 trading arrangement,” as each term is defined in Item 408(a)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35"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The exhibits filed as part of this Quarterly Report on Form 10-Q are listed in the exhibit index included herewith and are incorporated by reference herein.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820" w:type="dxa"/>
            <w:vAlign w:val="bottom"/>
            <w:gridSpan w:val="3"/>
          </w:tcPr>
          <w:p>
            <w:pPr>
              <w:ind w:left="11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40"/>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00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3"/>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4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69"/>
        </w:trPr>
        <w:tc>
          <w:tcPr>
            <w:tcW w:w="20" w:type="dxa"/>
            <w:vAlign w:val="bottom"/>
          </w:tcPr>
          <w:p>
            <w:pPr>
              <w:spacing w:after="0"/>
              <w:rPr>
                <w:sz w:val="14"/>
                <w:szCs w:val="14"/>
                <w:color w:val="auto"/>
              </w:rPr>
            </w:pPr>
          </w:p>
        </w:tc>
        <w:tc>
          <w:tcPr>
            <w:tcW w:w="9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3940" w:type="dxa"/>
            <w:vAlign w:val="bottom"/>
            <w:tcBorders>
              <w:top w:val="single" w:sz="8" w:color="auto"/>
              <w:bottom w:val="single" w:sz="8" w:color="0000EE"/>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w w:val="99"/>
              </w:rPr>
              <w:t>Certification of President and Chief Executive Officer</w:t>
            </w:r>
            <w:r>
              <w:rPr>
                <w:rFonts w:ascii="Arial" w:cs="Arial" w:eastAsia="Arial" w:hAnsi="Arial"/>
                <w:sz w:val="18"/>
                <w:szCs w:val="18"/>
                <w:color w:val="0000EE"/>
                <w:w w:val="99"/>
              </w:rPr>
              <w:t>.</w:t>
            </w:r>
          </w:p>
        </w:tc>
        <w:tc>
          <w:tcPr>
            <w:tcW w:w="4880" w:type="dxa"/>
            <w:vAlign w:val="bottom"/>
            <w:tcBorders>
              <w:top w:val="single" w:sz="8" w:color="auto"/>
            </w:tcBorders>
            <w:gridSpan w:val="2"/>
          </w:tcPr>
          <w:p>
            <w:pPr>
              <w:spacing w:after="0"/>
              <w:rPr>
                <w:sz w:val="14"/>
                <w:szCs w:val="14"/>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17"/>
                <w:szCs w:val="17"/>
                <w:color w:val="auto"/>
              </w:rPr>
            </w:pPr>
          </w:p>
        </w:tc>
        <w:tc>
          <w:tcPr>
            <w:tcW w:w="48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Senior Vice President and Chief Financial Officer</w:t>
            </w:r>
            <w:r>
              <w:rPr>
                <w:rFonts w:ascii="Arial" w:cs="Arial" w:eastAsia="Arial" w:hAnsi="Arial"/>
                <w:sz w:val="18"/>
                <w:szCs w:val="18"/>
                <w:color w:val="0000EE"/>
                <w:w w:val="99"/>
              </w:rPr>
              <w:t>.</w:t>
            </w:r>
          </w:p>
        </w:tc>
        <w:tc>
          <w:tcPr>
            <w:tcW w:w="4040" w:type="dxa"/>
            <w:vAlign w:val="bottom"/>
          </w:tcPr>
          <w:p>
            <w:pPr>
              <w:spacing w:after="0"/>
              <w:rPr>
                <w:sz w:val="17"/>
                <w:szCs w:val="17"/>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17"/>
                <w:szCs w:val="17"/>
                <w:color w:val="auto"/>
              </w:rPr>
            </w:pPr>
          </w:p>
        </w:tc>
        <w:tc>
          <w:tcPr>
            <w:tcW w:w="88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Section 1350 Certifications</w:t>
            </w:r>
            <w:r>
              <w:rPr>
                <w:rFonts w:ascii="Arial" w:cs="Arial" w:eastAsia="Arial" w:hAnsi="Arial"/>
                <w:sz w:val="18"/>
                <w:szCs w:val="18"/>
                <w:color w:val="0000EE"/>
              </w:rPr>
              <w:t>.</w:t>
            </w:r>
          </w:p>
        </w:tc>
      </w:tr>
      <w:tr>
        <w:trPr>
          <w:trHeight w:val="20"/>
        </w:trPr>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6820" w:type="dxa"/>
            <w:vAlign w:val="bottom"/>
            <w:gridSpan w:val="3"/>
          </w:tcPr>
          <w:p>
            <w:pPr>
              <w:spacing w:after="0" w:line="20" w:lineRule="exact"/>
              <w:rPr>
                <w:sz w:val="1"/>
                <w:szCs w:val="1"/>
                <w:color w:val="auto"/>
              </w:rPr>
            </w:pPr>
          </w:p>
        </w:tc>
      </w:tr>
      <w:tr>
        <w:trPr>
          <w:trHeight w:val="21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60" w:type="dxa"/>
            <w:vAlign w:val="bottom"/>
          </w:tcPr>
          <w:p>
            <w:pPr>
              <w:spacing w:after="0"/>
              <w:rPr>
                <w:sz w:val="18"/>
                <w:szCs w:val="18"/>
                <w:color w:val="auto"/>
              </w:rPr>
            </w:pPr>
          </w:p>
        </w:tc>
        <w:tc>
          <w:tcPr>
            <w:tcW w:w="8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216"/>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60" w:type="dxa"/>
            <w:vAlign w:val="bottom"/>
          </w:tcPr>
          <w:p>
            <w:pPr>
              <w:spacing w:after="0"/>
              <w:rPr>
                <w:sz w:val="18"/>
                <w:szCs w:val="18"/>
                <w:color w:val="auto"/>
              </w:rPr>
            </w:pPr>
          </w:p>
        </w:tc>
        <w:tc>
          <w:tcPr>
            <w:tcW w:w="8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60" w:type="dxa"/>
            <w:vAlign w:val="bottom"/>
          </w:tcPr>
          <w:p>
            <w:pPr>
              <w:spacing w:after="0"/>
              <w:rPr>
                <w:sz w:val="18"/>
                <w:szCs w:val="18"/>
                <w:color w:val="auto"/>
              </w:rPr>
            </w:pPr>
          </w:p>
        </w:tc>
        <w:tc>
          <w:tcPr>
            <w:tcW w:w="8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60" w:type="dxa"/>
            <w:vAlign w:val="bottom"/>
          </w:tcPr>
          <w:p>
            <w:pPr>
              <w:spacing w:after="0"/>
              <w:rPr>
                <w:sz w:val="18"/>
                <w:szCs w:val="18"/>
                <w:color w:val="auto"/>
              </w:rPr>
            </w:pPr>
          </w:p>
        </w:tc>
        <w:tc>
          <w:tcPr>
            <w:tcW w:w="8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60" w:type="dxa"/>
            <w:vAlign w:val="bottom"/>
          </w:tcPr>
          <w:p>
            <w:pPr>
              <w:spacing w:after="0"/>
              <w:rPr>
                <w:sz w:val="18"/>
                <w:szCs w:val="18"/>
                <w:color w:val="auto"/>
              </w:rPr>
            </w:pPr>
          </w:p>
        </w:tc>
        <w:tc>
          <w:tcPr>
            <w:tcW w:w="8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60" w:type="dxa"/>
            <w:vAlign w:val="bottom"/>
          </w:tcPr>
          <w:p>
            <w:pPr>
              <w:spacing w:after="0"/>
              <w:rPr>
                <w:sz w:val="20"/>
                <w:szCs w:val="20"/>
                <w:color w:val="auto"/>
              </w:rPr>
            </w:pPr>
          </w:p>
        </w:tc>
        <w:tc>
          <w:tcPr>
            <w:tcW w:w="8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1080" w:right="20" w:hanging="1071"/>
        <w:spacing w:after="0" w:line="260" w:lineRule="auto"/>
        <w:tabs>
          <w:tab w:leader="none" w:pos="10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18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-336550</wp:posOffset>
            </wp:positionV>
            <wp:extent cx="15684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tabs>
          <w:tab w:leader="none" w:pos="4940" w:val="left"/>
        </w:tabs>
        <w:rPr>
          <w:sz w:val="20"/>
          <w:szCs w:val="20"/>
          <w:color w:val="auto"/>
        </w:rPr>
      </w:pPr>
      <w:r>
        <w:rPr>
          <w:rFonts w:ascii="Times New Roman" w:cs="Times New Roman" w:eastAsia="Times New Roman" w:hAnsi="Times New Roman"/>
          <w:sz w:val="18"/>
          <w:szCs w:val="18"/>
          <w:color w:val="auto"/>
        </w:rPr>
        <w:t>Dated: May 7, 2026</w:t>
      </w:r>
      <w:r>
        <w:rPr>
          <w:sz w:val="20"/>
          <w:szCs w:val="20"/>
          <w:color w:val="auto"/>
        </w:rPr>
        <w:tab/>
      </w:r>
      <w:r>
        <w:rPr>
          <w:rFonts w:ascii="Times New Roman" w:cs="Times New Roman" w:eastAsia="Times New Roman" w:hAnsi="Times New Roman"/>
          <w:sz w:val="17"/>
          <w:szCs w:val="17"/>
          <w:color w:val="auto"/>
        </w:rPr>
        <w:t>Anthony S. Marucci</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SAM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tabs>
          <w:tab w:leader="none" w:pos="4940" w:val="left"/>
        </w:tabs>
        <w:rPr>
          <w:sz w:val="20"/>
          <w:szCs w:val="20"/>
          <w:color w:val="auto"/>
        </w:rPr>
      </w:pPr>
      <w:r>
        <w:rPr>
          <w:rFonts w:ascii="Times New Roman" w:cs="Times New Roman" w:eastAsia="Times New Roman" w:hAnsi="Times New Roman"/>
          <w:sz w:val="18"/>
          <w:szCs w:val="18"/>
          <w:color w:val="auto"/>
        </w:rPr>
        <w:t>Dated: May 7, 2026</w:t>
      </w:r>
      <w:r>
        <w:rPr>
          <w:sz w:val="20"/>
          <w:szCs w:val="20"/>
          <w:color w:val="auto"/>
        </w:rPr>
        <w:tab/>
      </w:r>
      <w:r>
        <w:rPr>
          <w:rFonts w:ascii="Times New Roman" w:cs="Times New Roman" w:eastAsia="Times New Roman" w:hAnsi="Times New Roman"/>
          <w:sz w:val="18"/>
          <w:szCs w:val="18"/>
          <w:color w:val="auto"/>
        </w:rPr>
        <w:t>Sam Martin</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980" w:top="661" w:right="117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S. Marucci, certify that:</w:t>
      </w:r>
    </w:p>
    <w:p>
      <w:pPr>
        <w:spacing w:after="0" w:line="22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Celldex Therapeutics, Inc.;</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644"/>
        <w:spacing w:after="0" w:line="289" w:lineRule="auto"/>
        <w:tabs>
          <w:tab w:leader="none" w:pos="130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80" w:hanging="644"/>
        <w:spacing w:after="0" w:line="261"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60" w:right="5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00" w:right="440" w:hanging="644"/>
        <w:spacing w:after="0" w:line="266"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67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By:   /s/ ANTHONY S. MARUCCI</w:t>
            </w:r>
          </w:p>
        </w:tc>
      </w:tr>
      <w:tr>
        <w:trPr>
          <w:trHeight w:val="20"/>
        </w:trPr>
        <w:tc>
          <w:tcPr>
            <w:tcW w:w="3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460" w:type="dxa"/>
            <w:vAlign w:val="bottom"/>
            <w:shd w:val="clear" w:color="auto" w:fill="000000"/>
          </w:tcPr>
          <w:p>
            <w:pPr>
              <w:spacing w:after="0" w:line="20" w:lineRule="exact"/>
              <w:rPr>
                <w:sz w:val="1"/>
                <w:szCs w:val="1"/>
                <w:color w:val="auto"/>
              </w:rPr>
            </w:pPr>
          </w:p>
        </w:tc>
      </w:tr>
      <w:tr>
        <w:trPr>
          <w:trHeight w:val="191"/>
        </w:trPr>
        <w:tc>
          <w:tcPr>
            <w:tcW w:w="3160" w:type="dxa"/>
            <w:vAlign w:val="bottom"/>
          </w:tcPr>
          <w:p>
            <w:pPr>
              <w:spacing w:after="0"/>
              <w:rPr>
                <w:sz w:val="16"/>
                <w:szCs w:val="16"/>
                <w:color w:val="auto"/>
              </w:rPr>
            </w:pPr>
          </w:p>
        </w:tc>
        <w:tc>
          <w:tcPr>
            <w:tcW w:w="6760" w:type="dxa"/>
            <w:vAlign w:val="bottom"/>
            <w:gridSpan w:val="2"/>
          </w:tcPr>
          <w:p>
            <w:pPr>
              <w:ind w:left="1820"/>
              <w:spacing w:after="0" w:line="191" w:lineRule="exact"/>
              <w:rPr>
                <w:sz w:val="20"/>
                <w:szCs w:val="20"/>
                <w:color w:val="auto"/>
              </w:rPr>
            </w:pPr>
            <w:r>
              <w:rPr>
                <w:rFonts w:ascii="Times New Roman" w:cs="Times New Roman" w:eastAsia="Times New Roman" w:hAnsi="Times New Roman"/>
                <w:sz w:val="18"/>
                <w:szCs w:val="18"/>
                <w:color w:val="auto"/>
              </w:rPr>
              <w:t>Name:Anthony S. Marucci</w:t>
            </w:r>
          </w:p>
        </w:tc>
      </w:tr>
      <w:tr>
        <w:trPr>
          <w:trHeight w:val="234"/>
        </w:trPr>
        <w:tc>
          <w:tcPr>
            <w:tcW w:w="3160" w:type="dxa"/>
            <w:vAlign w:val="bottom"/>
          </w:tcPr>
          <w:p>
            <w:pPr>
              <w:spacing w:after="0"/>
              <w:rPr>
                <w:sz w:val="20"/>
                <w:szCs w:val="20"/>
                <w:color w:val="auto"/>
              </w:rPr>
            </w:pPr>
          </w:p>
        </w:tc>
        <w:tc>
          <w:tcPr>
            <w:tcW w:w="67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r>
        <w:trPr>
          <w:trHeight w:val="776"/>
        </w:trPr>
        <w:tc>
          <w:tcPr>
            <w:tcW w:w="31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Sam Martin, certify that:</w:t>
      </w:r>
    </w:p>
    <w:p>
      <w:pPr>
        <w:spacing w:after="0" w:line="22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Celldex Therapeutics, Inc.;</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644"/>
        <w:spacing w:after="0" w:line="289" w:lineRule="auto"/>
        <w:tabs>
          <w:tab w:leader="none" w:pos="130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80" w:hanging="644"/>
        <w:spacing w:after="0" w:line="261"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60" w:right="5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00" w:right="440" w:hanging="644"/>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67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By:   /s/ SAM MARTIN</w:t>
            </w:r>
          </w:p>
        </w:tc>
      </w:tr>
      <w:tr>
        <w:trPr>
          <w:trHeight w:val="20"/>
        </w:trPr>
        <w:tc>
          <w:tcPr>
            <w:tcW w:w="3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460" w:type="dxa"/>
            <w:vAlign w:val="bottom"/>
            <w:shd w:val="clear" w:color="auto" w:fill="000000"/>
          </w:tcPr>
          <w:p>
            <w:pPr>
              <w:spacing w:after="0" w:line="20" w:lineRule="exact"/>
              <w:rPr>
                <w:sz w:val="1"/>
                <w:szCs w:val="1"/>
                <w:color w:val="auto"/>
              </w:rPr>
            </w:pPr>
          </w:p>
        </w:tc>
      </w:tr>
      <w:tr>
        <w:trPr>
          <w:trHeight w:val="191"/>
        </w:trPr>
        <w:tc>
          <w:tcPr>
            <w:tcW w:w="3160" w:type="dxa"/>
            <w:vAlign w:val="bottom"/>
          </w:tcPr>
          <w:p>
            <w:pPr>
              <w:spacing w:after="0"/>
              <w:rPr>
                <w:sz w:val="16"/>
                <w:szCs w:val="16"/>
                <w:color w:val="auto"/>
              </w:rPr>
            </w:pPr>
          </w:p>
        </w:tc>
        <w:tc>
          <w:tcPr>
            <w:tcW w:w="6760" w:type="dxa"/>
            <w:vAlign w:val="bottom"/>
            <w:gridSpan w:val="2"/>
          </w:tcPr>
          <w:p>
            <w:pPr>
              <w:ind w:left="1820"/>
              <w:spacing w:after="0" w:line="191" w:lineRule="exact"/>
              <w:rPr>
                <w:sz w:val="20"/>
                <w:szCs w:val="20"/>
                <w:color w:val="auto"/>
              </w:rPr>
            </w:pPr>
            <w:r>
              <w:rPr>
                <w:rFonts w:ascii="Times New Roman" w:cs="Times New Roman" w:eastAsia="Times New Roman" w:hAnsi="Times New Roman"/>
                <w:sz w:val="18"/>
                <w:szCs w:val="18"/>
                <w:color w:val="auto"/>
              </w:rPr>
              <w:t>Name:Sam Martin</w:t>
            </w:r>
          </w:p>
        </w:tc>
      </w:tr>
      <w:tr>
        <w:trPr>
          <w:trHeight w:val="234"/>
        </w:trPr>
        <w:tc>
          <w:tcPr>
            <w:tcW w:w="3160" w:type="dxa"/>
            <w:vAlign w:val="bottom"/>
          </w:tcPr>
          <w:p>
            <w:pPr>
              <w:spacing w:after="0"/>
              <w:rPr>
                <w:sz w:val="20"/>
                <w:szCs w:val="20"/>
                <w:color w:val="auto"/>
              </w:rPr>
            </w:pPr>
          </w:p>
        </w:tc>
        <w:tc>
          <w:tcPr>
            <w:tcW w:w="67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Title: Senior Vice President and Chief Financial Officer</w:t>
            </w:r>
          </w:p>
        </w:tc>
      </w:tr>
      <w:tr>
        <w:trPr>
          <w:trHeight w:val="776"/>
        </w:trPr>
        <w:tc>
          <w:tcPr>
            <w:tcW w:w="31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1350 CERTIFICATIONS</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3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 ANTHONY S. MARUCCI</w:t>
            </w:r>
          </w:p>
        </w:tc>
      </w:tr>
      <w:tr>
        <w:trPr>
          <w:trHeight w:val="216"/>
        </w:trPr>
        <w:tc>
          <w:tcPr>
            <w:tcW w:w="3200" w:type="dxa"/>
            <w:vAlign w:val="bottom"/>
          </w:tcPr>
          <w:p>
            <w:pPr>
              <w:spacing w:after="0"/>
              <w:rPr>
                <w:sz w:val="18"/>
                <w:szCs w:val="18"/>
                <w:color w:val="auto"/>
              </w:rPr>
            </w:pPr>
          </w:p>
        </w:tc>
        <w:tc>
          <w:tcPr>
            <w:tcW w:w="672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Name:Anthony S. Marucci</w:t>
            </w:r>
          </w:p>
        </w:tc>
      </w:tr>
      <w:tr>
        <w:trPr>
          <w:trHeight w:val="234"/>
        </w:trPr>
        <w:tc>
          <w:tcPr>
            <w:tcW w:w="3200" w:type="dxa"/>
            <w:vAlign w:val="bottom"/>
          </w:tcPr>
          <w:p>
            <w:pPr>
              <w:spacing w:after="0"/>
              <w:rPr>
                <w:sz w:val="20"/>
                <w:szCs w:val="20"/>
                <w:color w:val="auto"/>
              </w:rPr>
            </w:pPr>
          </w:p>
        </w:tc>
        <w:tc>
          <w:tcPr>
            <w:tcW w:w="672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r>
        <w:trPr>
          <w:trHeight w:val="432"/>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3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SAM MARTIN</w:t>
            </w:r>
          </w:p>
        </w:tc>
      </w:tr>
      <w:tr>
        <w:trPr>
          <w:trHeight w:val="191"/>
        </w:trPr>
        <w:tc>
          <w:tcPr>
            <w:tcW w:w="3200" w:type="dxa"/>
            <w:vAlign w:val="bottom"/>
          </w:tcPr>
          <w:p>
            <w:pPr>
              <w:spacing w:after="0"/>
              <w:rPr>
                <w:sz w:val="16"/>
                <w:szCs w:val="16"/>
                <w:color w:val="auto"/>
              </w:rPr>
            </w:pPr>
          </w:p>
        </w:tc>
        <w:tc>
          <w:tcPr>
            <w:tcW w:w="6720" w:type="dxa"/>
            <w:vAlign w:val="bottom"/>
            <w:gridSpan w:val="2"/>
          </w:tcPr>
          <w:p>
            <w:pPr>
              <w:ind w:left="1860"/>
              <w:spacing w:after="0" w:line="191" w:lineRule="exact"/>
              <w:rPr>
                <w:sz w:val="20"/>
                <w:szCs w:val="20"/>
                <w:color w:val="auto"/>
              </w:rPr>
            </w:pPr>
            <w:r>
              <w:rPr>
                <w:rFonts w:ascii="Times New Roman" w:cs="Times New Roman" w:eastAsia="Times New Roman" w:hAnsi="Times New Roman"/>
                <w:sz w:val="18"/>
                <w:szCs w:val="18"/>
                <w:color w:val="auto"/>
              </w:rPr>
              <w:t>Name:Sam Martin</w:t>
            </w:r>
          </w:p>
        </w:tc>
      </w:tr>
      <w:tr>
        <w:trPr>
          <w:trHeight w:val="234"/>
        </w:trPr>
        <w:tc>
          <w:tcPr>
            <w:tcW w:w="3200" w:type="dxa"/>
            <w:vAlign w:val="bottom"/>
          </w:tcPr>
          <w:p>
            <w:pPr>
              <w:spacing w:after="0"/>
              <w:rPr>
                <w:sz w:val="20"/>
                <w:szCs w:val="20"/>
                <w:color w:val="auto"/>
              </w:rPr>
            </w:pPr>
          </w:p>
        </w:tc>
        <w:tc>
          <w:tcPr>
            <w:tcW w:w="672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Title: Senior Vice President and Chief Financial Officer</w:t>
            </w:r>
          </w:p>
        </w:tc>
      </w:tr>
    </w:tbl>
    <w:p>
      <w:pPr>
        <w:spacing w:after="0" w:line="19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334010</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lowerLetter"/>
      <w:start w:val="1"/>
    </w:lvl>
  </w:abstractNum>
  <w:abstractNum w:abstractNumId="3">
    <w:nsid w:val="41A7C4C9"/>
    <w:multiLevelType w:val="hybridMultilevel"/>
    <w:lvl w:ilvl="0">
      <w:lvlJc w:val="left"/>
      <w:lvlText w:val="%1"/>
      <w:numFmt w:val="decimal"/>
      <w:start w:val="1"/>
    </w:lvl>
    <w:lvl w:ilvl="1">
      <w:lvlJc w:val="left"/>
      <w:lvlText w:val="(%2)"/>
      <w:numFmt w:val="lowerLetter"/>
      <w:start w:val="2"/>
    </w:lvl>
  </w:abstractNum>
  <w:abstractNum w:abstractNumId="4">
    <w:nsid w:val="6B68079A"/>
    <w:multiLevelType w:val="hybridMultilevel"/>
    <w:lvl w:ilvl="0">
      <w:lvlJc w:val="left"/>
      <w:lvlText w:val="(%1)"/>
      <w:numFmt w:val="decimal"/>
      <w:start w:val="4"/>
    </w:lvl>
    <w:lvl w:ilvl="1">
      <w:lvlJc w:val="left"/>
      <w:lvlText w:val="%2"/>
      <w:numFmt w:val="lowerLetter"/>
      <w:start w:val="1"/>
    </w:lvl>
  </w:abstractNum>
  <w:abstractNum w:abstractNumId="5">
    <w:nsid w:val="4E6AFB66"/>
    <w:multiLevelType w:val="hybridMultilevel"/>
    <w:lvl w:ilvl="0">
      <w:lvlJc w:val="left"/>
      <w:lvlText w:val="(%1)"/>
      <w:numFmt w:val="lowerRoman"/>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lvl w:ilvl="1">
      <w:lvlJc w:val="left"/>
      <w:lvlText w:val="-"/>
      <w:numFmt w:val="bullet"/>
      <w:start w:val="1"/>
    </w:lvl>
  </w:abstractNum>
  <w:abstractNum w:abstractNumId="9">
    <w:nsid w:val="3F2DBA31"/>
    <w:multiLevelType w:val="hybridMultilevel"/>
    <w:lvl w:ilvl="0">
      <w:lvlJc w:val="left"/>
      <w:lvlText w:val="●"/>
      <w:numFmt w:val="bullet"/>
      <w:start w:val="1"/>
    </w:lvl>
    <w:lvl w:ilvl="1">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lvl w:ilvl="1">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lvl w:ilvl="1">
      <w:lvlJc w:val="left"/>
      <w:lvlText w:val="%2"/>
      <w:numFmt w:val="decimal"/>
      <w:start w:val="104"/>
    </w:lvl>
  </w:abstractNum>
  <w:abstractNum w:abstractNumId="24">
    <w:nsid w:val="B03E0C6"/>
    <w:multiLevelType w:val="hybridMultilevel"/>
    <w:lvl w:ilvl="0">
      <w:lvlJc w:val="left"/>
      <w:lvlText w:val="**"/>
      <w:numFmt w:val="bullet"/>
      <w:start w:val="1"/>
    </w:lvl>
    <w:lvl w:ilvl="1">
      <w:lvlJc w:val="left"/>
      <w:lvlText w:val="%2"/>
      <w:numFmt w:val="decimal"/>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2026-05-07T15:22:19Z</dcterms:created>
  <dcterms:modified xsi:type="dcterms:W3CDTF">2026-05-07T15:22:19Z</dcterms:modified>
</cp:coreProperties>
</file>