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cldx-20211231x10k.htm"/>
        <w:bookmarkStart w:id="1" w:name="kscldx2021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top w:val="single" w:sz="24" w:space="1" w:color="000000"/>
          <w:bottom w:val="single" w:sz="2"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0"/>
        </w:rPr>
      </w:pPr>
      <w:bookmarkStart w:id="2" w:name="_11ec1861_d94a_4042_9f6b_19690e7a30a1"/>
      <w:bookmarkEnd w:id="2"/>
      <w:r>
        <w:rPr>
          <w:rFonts w:ascii="Times New Roman;Times;serif" w:hAnsi="Times New Roman;Times;serif"/>
          <w:b/>
          <w:sz w:val="30"/>
        </w:rPr>
        <w:t>UNITED STATES</w:t>
      </w:r>
    </w:p>
    <w:p>
      <w:pPr>
        <w:pStyle w:val="TextBody"/>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10-K</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before="0" w:after="0"/>
        <w:ind w:left="72" w:right="0" w:hanging="0"/>
        <w:jc w:val="center"/>
        <w:rPr/>
      </w:pPr>
      <w:r>
        <w:rPr/>
        <w:t>​</w:t>
      </w:r>
    </w:p>
    <w:tbl>
      <w:tblPr>
        <w:tblW w:w="10056" w:type="dxa"/>
        <w:jc w:val="left"/>
        <w:tblInd w:w="0" w:type="dxa"/>
        <w:tblCellMar>
          <w:top w:w="0" w:type="dxa"/>
          <w:left w:w="0" w:type="dxa"/>
          <w:bottom w:w="0" w:type="dxa"/>
          <w:right w:w="0" w:type="dxa"/>
        </w:tblCellMar>
      </w:tblPr>
      <w:tblGrid>
        <w:gridCol w:w="124"/>
        <w:gridCol w:w="316"/>
        <w:gridCol w:w="9616"/>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616"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pBdr/>
        <w:spacing w:before="0" w:after="0"/>
        <w:ind w:left="360" w:right="0" w:hanging="72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765"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000-15006</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0"/>
        </w:rPr>
      </w:pPr>
      <w:r>
        <w:rPr>
          <w:rFonts w:ascii="Times New Roman;Times;serif" w:hAnsi="Times New Roman;Times;serif"/>
          <w:b/>
          <w:sz w:val="30"/>
        </w:rPr>
        <w:t>CELLDEX THERAPEUTICS, INC.</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F-6JKy7dw0qsEZE4Ytvbtw_1_1"/>
      <w:bookmarkStart w:id="4" w:name="Tc_FKNXgCO6E0Kw_LzaYIa1ZA_1_0"/>
      <w:bookmarkStart w:id="5" w:name="_36811a8e_6b79_437e_9553_ee362924e4ca"/>
      <w:bookmarkStart w:id="6" w:name="Tc_F-6JKy7dw0qsEZE4Ytvbtw_1_1"/>
      <w:bookmarkStart w:id="7" w:name="Tc_FKNXgCO6E0Kw_LzaYIa1ZA_1_0"/>
      <w:bookmarkStart w:id="8" w:name="_36811a8e_6b79_437e_9553_ee362924e4ca"/>
      <w:bookmarkEnd w:id="6"/>
      <w:bookmarkEnd w:id="7"/>
      <w:bookmarkEnd w:id="8"/>
    </w:p>
    <w:tbl>
      <w:tblPr>
        <w:tblW w:w="3677" w:type="dxa"/>
        <w:jc w:val="left"/>
        <w:tblInd w:w="0" w:type="dxa"/>
        <w:tblCellMar>
          <w:top w:w="0" w:type="dxa"/>
          <w:left w:w="0" w:type="dxa"/>
          <w:bottom w:w="0" w:type="dxa"/>
          <w:right w:w="0" w:type="dxa"/>
        </w:tblCellMar>
      </w:tblPr>
      <w:tblGrid>
        <w:gridCol w:w="2236"/>
        <w:gridCol w:w="1441"/>
      </w:tblGrid>
      <w:tr>
        <w:trPr/>
        <w:tc>
          <w:tcPr>
            <w:tcW w:w="2236" w:type="dxa"/>
            <w:tcBorders/>
            <w:shd w:fill="auto"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13-3191702</w:t>
            </w:r>
          </w:p>
        </w:tc>
      </w:tr>
      <w:tr>
        <w:trPr/>
        <w:tc>
          <w:tcPr>
            <w:tcW w:w="22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6"/>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16"/>
        </w:rPr>
        <w:t>08827</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(908) 200-7500</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9" w:name="Tc_ODUPY0Gtj0acDfDm2ch_Ew_2_4"/>
      <w:bookmarkStart w:id="10" w:name="Tc_XUP6UuQMmkmhEbiA3fdcGw_1_4"/>
      <w:bookmarkStart w:id="11" w:name="Tc_CaUkl1r-EUqLFDbEbCWxDQ_1_2"/>
      <w:bookmarkStart w:id="12" w:name="Tc_0P-0Tbfy7EOhdD1820YvdA_1_0"/>
      <w:bookmarkStart w:id="13" w:name="_a95f6697_2ff8_441a_a189_9dba469cb006"/>
      <w:bookmarkStart w:id="14" w:name="Tc_ODUPY0Gtj0acDfDm2ch_Ew_2_4"/>
      <w:bookmarkStart w:id="15" w:name="Tc_XUP6UuQMmkmhEbiA3fdcGw_1_4"/>
      <w:bookmarkStart w:id="16" w:name="Tc_CaUkl1r-EUqLFDbEbCWxDQ_1_2"/>
      <w:bookmarkStart w:id="17" w:name="Tc_0P-0Tbfy7EOhdD1820YvdA_1_0"/>
      <w:bookmarkStart w:id="18" w:name="_a95f6697_2ff8_441a_a189_9dba469cb006"/>
      <w:bookmarkEnd w:id="14"/>
      <w:bookmarkEnd w:id="15"/>
      <w:bookmarkEnd w:id="16"/>
      <w:bookmarkEnd w:id="17"/>
      <w:bookmarkEnd w:id="18"/>
    </w:p>
    <w:tbl>
      <w:tblPr>
        <w:tblW w:w="6970" w:type="dxa"/>
        <w:jc w:val="left"/>
        <w:tblInd w:w="0" w:type="dxa"/>
        <w:tblCellMar>
          <w:top w:w="0" w:type="dxa"/>
          <w:left w:w="0" w:type="dxa"/>
          <w:bottom w:w="0" w:type="dxa"/>
          <w:right w:w="0" w:type="dxa"/>
        </w:tblCellMar>
      </w:tblPr>
      <w:tblGrid>
        <w:gridCol w:w="2386"/>
        <w:gridCol w:w="326"/>
        <w:gridCol w:w="1231"/>
        <w:gridCol w:w="326"/>
        <w:gridCol w:w="2701"/>
      </w:tblGrid>
      <w:tr>
        <w:trPr/>
        <w:tc>
          <w:tcPr>
            <w:tcW w:w="2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15110" cy="175260"/>
                      <wp:effectExtent l="0" t="0" r="0" b="0"/>
                      <wp:wrapNone/>
                      <wp:docPr id="1" name="Frame1"/>
                      <a:graphic xmlns:a="http://schemas.openxmlformats.org/drawingml/2006/main">
                        <a:graphicData uri="http://schemas.microsoft.com/office/word/2010/wordprocessingShape">
                          <wps:wsp>
                            <wps:cNvSpPr txBox="1"/>
                            <wps:spPr>
                              <a:xfrm>
                                <a:off x="0" y="0"/>
                                <a:ext cx="151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15135" cy="175260"/>
                      <wp:effectExtent l="0" t="0" r="0" b="0"/>
                      <wp:wrapNone/>
                      <wp:docPr id="2" name="Frame2"/>
                      <a:graphic xmlns:a="http://schemas.openxmlformats.org/drawingml/2006/main">
                        <a:graphicData uri="http://schemas.microsoft.com/office/word/2010/wordprocessingShape">
                          <wps:wsp>
                            <wps:cNvSpPr txBox="1"/>
                            <wps:spPr>
                              <a:xfrm>
                                <a:off x="0" y="0"/>
                                <a:ext cx="171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shd w:fill="auto" w:val="clear"/>
            <w:vAlign w:val="center"/>
          </w:tcPr>
          <w:p>
            <w:pPr>
              <w:pStyle w:val="TableContents"/>
              <w:spacing w:before="0" w:after="0"/>
              <w:ind w:left="0" w:right="0" w:hanging="0"/>
              <w:jc w:val="both"/>
              <w:rPr/>
            </w:pPr>
            <w:r>
              <w:rPr/>
              <w:t>    </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26" w:type="dxa"/>
            <w:tcBorders/>
            <w:shd w:fill="auto" w:val="clear"/>
            <w:vAlign w:val="center"/>
          </w:tcPr>
          <w:p>
            <w:pPr>
              <w:pStyle w:val="TableContents"/>
              <w:spacing w:before="0" w:after="0"/>
              <w:ind w:left="0" w:right="0" w:hanging="0"/>
              <w:jc w:val="both"/>
              <w:rPr/>
            </w:pPr>
            <w:r>
              <w:rPr/>
              <w:t>    </w:t>
            </w:r>
          </w:p>
        </w:tc>
        <w:tc>
          <w:tcPr>
            <w:tcW w:w="27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Where Registered:</w:t>
            </w:r>
          </w:p>
        </w:tc>
      </w:tr>
      <w:tr>
        <w:trPr/>
        <w:tc>
          <w:tcPr>
            <w:tcW w:w="238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$.001</w:t>
            </w:r>
          </w:p>
        </w:tc>
        <w:tc>
          <w:tcPr>
            <w:tcW w:w="326" w:type="dxa"/>
            <w:tcBorders/>
            <w:shd w:fill="auto" w:val="clear"/>
            <w:vAlign w:val="center"/>
          </w:tcPr>
          <w:p>
            <w:pPr>
              <w:pStyle w:val="TableContents"/>
              <w:spacing w:before="0" w:after="0"/>
              <w:ind w:left="0" w:right="0" w:hanging="0"/>
              <w:jc w:val="both"/>
              <w:rPr/>
            </w:pPr>
            <w:r>
              <w:rPr/>
              <w:t>​</w:t>
            </w:r>
          </w:p>
        </w:tc>
        <w:tc>
          <w:tcPr>
            <w:tcW w:w="123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CLDX</w:t>
            </w:r>
          </w:p>
        </w:tc>
        <w:tc>
          <w:tcPr>
            <w:tcW w:w="326" w:type="dxa"/>
            <w:tcBorders/>
            <w:shd w:fill="auto" w:val="clear"/>
            <w:vAlign w:val="center"/>
          </w:tcPr>
          <w:p>
            <w:pPr>
              <w:pStyle w:val="TableContents"/>
              <w:spacing w:before="0" w:after="0"/>
              <w:ind w:left="0" w:right="0" w:hanging="0"/>
              <w:jc w:val="both"/>
              <w:rPr/>
            </w:pPr>
            <w:r>
              <w:rPr/>
              <w:t>​</w:t>
            </w:r>
          </w:p>
        </w:tc>
        <w:tc>
          <w:tcPr>
            <w:tcW w:w="27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NASDAQ Capital Market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spacing w:before="0" w:after="0"/>
        <w:ind w:left="0" w:right="0" w:hanging="0"/>
        <w:jc w:val="center"/>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spacing w:before="0" w:after="0"/>
        <w:ind w:left="0" w:right="0" w:firstLine="360"/>
        <w:rPr/>
      </w:pPr>
      <w:r>
        <w:rPr/>
        <w:t>​</w:t>
      </w:r>
    </w:p>
    <w:tbl>
      <w:tblPr>
        <w:tblW w:w="7429" w:type="dxa"/>
        <w:jc w:val="left"/>
        <w:tblInd w:w="0" w:type="dxa"/>
        <w:tblCellMar>
          <w:top w:w="0" w:type="dxa"/>
          <w:left w:w="0" w:type="dxa"/>
          <w:bottom w:w="0" w:type="dxa"/>
          <w:right w:w="0" w:type="dxa"/>
        </w:tblCellMar>
      </w:tblPr>
      <w:tblGrid>
        <w:gridCol w:w="1891"/>
        <w:gridCol w:w="1486"/>
        <w:gridCol w:w="1756"/>
        <w:gridCol w:w="2296"/>
      </w:tblGrid>
      <w:tr>
        <w:trPr/>
        <w:tc>
          <w:tcPr>
            <w:tcW w:w="1891"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486" w:type="dxa"/>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56" w:type="dxa"/>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14"/>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4"/>
        </w:rPr>
        <w: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The aggregate market value of the registrant’s common stock held by non-affiliates as of June 30, 2021 was $1.3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The number of shares of common stock outstanding at February 17, 2022 was 46,735,026 shares.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spacing w:before="0" w:after="0"/>
        <w:ind w:left="0" w:right="0" w:firstLine="360"/>
        <w:rPr/>
      </w:pPr>
      <w:r>
        <w:rPr/>
        <w:t>​</w:t>
      </w:r>
    </w:p>
    <w:p>
      <w:pPr>
        <w:pStyle w:val="TextBody"/>
        <w:spacing w:before="0" w:after="60"/>
        <w:ind w:left="0" w:right="0" w:firstLine="360"/>
        <w:rPr>
          <w:rFonts w:ascii="Times New Roman;Times;serif" w:hAnsi="Times New Roman;Times;serif"/>
          <w:sz w:val="16"/>
        </w:rPr>
      </w:pPr>
      <w:r>
        <w:rPr>
          <w:rFonts w:ascii="Times New Roman;Times;serif" w:hAnsi="Times New Roman;Times;serif"/>
          <w:sz w:val="16"/>
        </w:rPr>
        <w:t>Portions of the definitive Proxy Statement for our 2022 Annual Meeting of Stockholders are incorporated by reference into Part III of this Report.</w:t>
      </w:r>
    </w:p>
    <w:tbl>
      <w:tblPr>
        <w:tblW w:w="7818" w:type="dxa"/>
        <w:jc w:val="left"/>
        <w:tblInd w:w="0" w:type="dxa"/>
        <w:tblCellMar>
          <w:top w:w="0" w:type="dxa"/>
          <w:left w:w="0" w:type="dxa"/>
          <w:bottom w:w="0" w:type="dxa"/>
          <w:right w:w="0" w:type="dxa"/>
        </w:tblCellMar>
      </w:tblPr>
      <w:tblGrid>
        <w:gridCol w:w="1621"/>
        <w:gridCol w:w="3226"/>
        <w:gridCol w:w="2971"/>
      </w:tblGrid>
      <w:tr>
        <w:trPr/>
        <w:tc>
          <w:tcPr>
            <w:tcW w:w="1621" w:type="dxa"/>
            <w:tcBorders/>
            <w:shd w:fill="auto" w:val="clear"/>
            <w:vAlign w:val="center"/>
          </w:tcPr>
          <w:p>
            <w:pPr>
              <w:pStyle w:val="TableContents"/>
              <w:spacing w:before="0" w:after="0"/>
              <w:ind w:left="0" w:right="0" w:hanging="0"/>
              <w:rPr/>
            </w:pPr>
            <w:r>
              <w:rPr/>
              <w:t>​</w:t>
            </w:r>
          </w:p>
        </w:tc>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48510" cy="175260"/>
                      <wp:effectExtent l="0" t="0" r="0" b="0"/>
                      <wp:wrapNone/>
                      <wp:docPr id="3" name="Frame3"/>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86585" cy="175260"/>
                      <wp:effectExtent l="0" t="0" r="0" b="0"/>
                      <wp:wrapNone/>
                      <wp:docPr id="4" name="Frame4"/>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Auditor Firm ID: 238</w:t>
            </w:r>
          </w:p>
        </w:tc>
        <w:tc>
          <w:tcPr>
            <w:tcW w:w="32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z w:val="16"/>
              </w:rPr>
              <w:t>Auditor Name:</w:t>
            </w:r>
            <w:r>
              <w:rPr>
                <w:rFonts w:ascii="Times New Roman;Times;serif" w:hAnsi="Times New Roman;Times;serif"/>
                <w:sz w:val="20"/>
              </w:rPr>
              <w:t xml:space="preserve"> </w:t>
            </w:r>
            <w:r>
              <w:rPr>
                <w:rFonts w:ascii="Times New Roman;Times;serif" w:hAnsi="Times New Roman;Times;serif"/>
                <w:color w:val="231F20"/>
                <w:sz w:val="16"/>
              </w:rPr>
              <w:t>PricewaterhouseCoopers LLP</w:t>
            </w:r>
          </w:p>
        </w:tc>
        <w:tc>
          <w:tcPr>
            <w:tcW w:w="29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Auditor Location: Boston, Massachusetts</w:t>
            </w:r>
          </w:p>
        </w:tc>
      </w:tr>
    </w:tbl>
    <w:p>
      <w:pPr>
        <w:pStyle w:val="TextBody"/>
        <w:pBdr/>
        <w:spacing w:before="0" w:after="0"/>
        <w:ind w:left="158" w:right="346" w:hanging="29"/>
        <w:jc w:val="both"/>
        <w:rPr/>
      </w:pPr>
      <w:r>
        <w:rPr/>
        <w:t>​</w:t>
      </w:r>
    </w:p>
    <w:p>
      <w:pPr>
        <w:pStyle w:val="TextBody"/>
        <w:spacing w:before="0" w:after="0"/>
        <w:ind w:left="0" w:right="0" w:firstLine="360"/>
        <w:rPr/>
      </w:pPr>
      <w:r>
        <w:rPr/>
        <w:t>​</w:t>
      </w:r>
    </w:p>
    <w:p>
      <w:pPr>
        <w:pStyle w:val="TextBody"/>
        <w:pBdr>
          <w:top w:val="single" w:sz="8" w:space="1" w:color="000000"/>
          <w:bottom w:val="single" w:sz="24" w:space="1" w:color="000000"/>
        </w:pBdr>
        <w:spacing w:before="0" w:after="0"/>
        <w:ind w:left="0" w:right="0" w:firstLine="576"/>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 w:name="_b81a6f0e_c411_48b7_9f91_ebd318f8d6a0"/>
      <w:bookmarkEnd w:id="19"/>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ANNUAL REPORT ON FORM 10-K</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2021</w:t>
      </w:r>
    </w:p>
    <w:p>
      <w:pPr>
        <w:pStyle w:val="TextBody"/>
        <w:spacing w:before="0" w:after="0"/>
        <w:ind w:left="0" w:right="0" w:hanging="0"/>
        <w:jc w:val="center"/>
        <w:rPr>
          <w:rFonts w:ascii="Times New Roman;Times;serif" w:hAnsi="Times New Roman;Times;serif"/>
          <w:b/>
          <w:sz w:val="20"/>
        </w:rPr>
      </w:pPr>
      <w:bookmarkStart w:id="20" w:name="TOC"/>
      <w:bookmarkEnd w:id="20"/>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76"/>
        <w:gridCol w:w="326"/>
        <w:gridCol w:w="8066"/>
        <w:gridCol w:w="326"/>
        <w:gridCol w:w="511"/>
      </w:tblGrid>
      <w:tr>
        <w:trPr/>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19760" cy="175260"/>
                      <wp:effectExtent l="0" t="0" r="0" b="0"/>
                      <wp:wrapNone/>
                      <wp:docPr id="5" name="Frame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121910" cy="175260"/>
                      <wp:effectExtent l="0" t="0" r="0" b="0"/>
                      <wp:wrapNone/>
                      <wp:docPr id="6" name="Frame6"/>
                      <a:graphic xmlns:a="http://schemas.openxmlformats.org/drawingml/2006/main">
                        <a:graphicData uri="http://schemas.microsoft.com/office/word/2010/wordprocessingShape">
                          <wps:wsp>
                            <wps:cNvSpPr txBox="1"/>
                            <wps:spPr>
                              <a:xfrm>
                                <a:off x="0" y="0"/>
                                <a:ext cx="5121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24485" cy="175260"/>
                      <wp:effectExtent l="0" t="0" r="0" b="0"/>
                      <wp:wrapNone/>
                      <wp:docPr id="7" name="Frame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Page</w:t>
            </w:r>
          </w:p>
        </w:tc>
      </w:tr>
      <w:tr>
        <w:trPr/>
        <w:tc>
          <w:tcPr>
            <w:tcW w:w="976" w:type="dxa"/>
            <w:tcBorders/>
            <w:shd w:fill="auto" w:val="clear"/>
            <w:vAlign w:val="center"/>
          </w:tcPr>
          <w:p>
            <w:pPr>
              <w:pStyle w:val="TableContents"/>
              <w:spacing w:before="0" w:after="0"/>
              <w:ind w:left="0" w:right="0" w:hanging="0"/>
              <w:rPr/>
            </w:pPr>
            <w:hyperlink w:anchor="PARTI_713253">
              <w:r>
                <w:rPr>
                  <w:rStyle w:val="InternetLink"/>
                  <w:rFonts w:ascii="Times New Roman;Times;serif" w:hAnsi="Times New Roman;Times;serif"/>
                  <w:b w:val="false"/>
                  <w:i w:val="false"/>
                  <w:caps w:val="false"/>
                  <w:smallCaps w:val="false"/>
                  <w:sz w:val="20"/>
                </w:rPr>
                <w:t>Part I</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976" w:type="dxa"/>
            <w:tcBorders/>
            <w:shd w:fill="auto" w:val="clear"/>
            <w:vAlign w:val="center"/>
          </w:tcPr>
          <w:p>
            <w:pPr>
              <w:pStyle w:val="TableContents"/>
              <w:spacing w:before="0" w:after="0"/>
              <w:ind w:left="0" w:right="0" w:hanging="0"/>
              <w:rPr/>
            </w:pPr>
            <w:hyperlink w:anchor="Item1BUSINESS_454764">
              <w:r>
                <w:rPr>
                  <w:rStyle w:val="InternetLink"/>
                  <w:rFonts w:ascii="Times New Roman;Times;serif" w:hAnsi="Times New Roman;Times;serif"/>
                  <w:b w:val="false"/>
                  <w:i w:val="false"/>
                  <w:caps w:val="false"/>
                  <w:smallCaps w:val="false"/>
                  <w:sz w:val="20"/>
                </w:rPr>
                <w:t>Item 1.</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BUSINESS_454764">
              <w:r>
                <w:rPr>
                  <w:rStyle w:val="InternetLink"/>
                  <w:rFonts w:ascii="Times New Roman;Times;serif" w:hAnsi="Times New Roman;Times;serif"/>
                  <w:b w:val="false"/>
                  <w:i w:val="false"/>
                  <w:caps w:val="false"/>
                  <w:smallCaps w:val="false"/>
                  <w:sz w:val="20"/>
                </w:rPr>
                <w:t>Business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76" w:type="dxa"/>
            <w:tcBorders/>
            <w:shd w:fill="auto" w:val="clear"/>
            <w:vAlign w:val="center"/>
          </w:tcPr>
          <w:p>
            <w:pPr>
              <w:pStyle w:val="TableContents"/>
              <w:spacing w:before="0" w:after="0"/>
              <w:ind w:left="0" w:right="0" w:hanging="0"/>
              <w:rPr/>
            </w:pPr>
            <w:hyperlink w:anchor="Item1ARISKFACTORS_59438">
              <w:r>
                <w:rPr>
                  <w:rStyle w:val="InternetLink"/>
                  <w:rFonts w:ascii="Times New Roman;Times;serif" w:hAnsi="Times New Roman;Times;serif"/>
                  <w:b w:val="false"/>
                  <w:i w:val="false"/>
                  <w:caps w:val="false"/>
                  <w:smallCaps w:val="false"/>
                  <w:sz w:val="20"/>
                </w:rPr>
                <w:t>Item 1A.</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ARISKFACTORS_59438">
              <w:r>
                <w:rPr>
                  <w:rStyle w:val="InternetLink"/>
                  <w:rFonts w:ascii="Times New Roman;Times;serif" w:hAnsi="Times New Roman;Times;serif"/>
                  <w:b w:val="false"/>
                  <w:i w:val="false"/>
                  <w:caps w:val="false"/>
                  <w:smallCaps w:val="false"/>
                  <w:sz w:val="20"/>
                </w:rPr>
                <w:t>Risk Factors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76" w:type="dxa"/>
            <w:tcBorders/>
            <w:shd w:fill="auto" w:val="clear"/>
            <w:vAlign w:val="center"/>
          </w:tcPr>
          <w:p>
            <w:pPr>
              <w:pStyle w:val="TableContents"/>
              <w:spacing w:before="0" w:after="0"/>
              <w:ind w:left="0" w:right="0" w:hanging="0"/>
              <w:rPr/>
            </w:pPr>
            <w:hyperlink w:anchor="Item1BUNRESOLVEDSTAFFCOMMENTS_750393">
              <w:r>
                <w:rPr>
                  <w:rStyle w:val="InternetLink"/>
                  <w:rFonts w:ascii="Times New Roman;Times;serif" w:hAnsi="Times New Roman;Times;serif"/>
                  <w:b w:val="false"/>
                  <w:i w:val="false"/>
                  <w:caps w:val="false"/>
                  <w:smallCaps w:val="false"/>
                  <w:sz w:val="20"/>
                </w:rPr>
                <w:t>Item 1B.</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BUNRESOLVEDSTAFFCOMMENTS_750393">
              <w:r>
                <w:rPr>
                  <w:rStyle w:val="InternetLink"/>
                  <w:rFonts w:ascii="Times New Roman;Times;serif" w:hAnsi="Times New Roman;Times;serif"/>
                  <w:b w:val="false"/>
                  <w:i w:val="false"/>
                  <w:caps w:val="false"/>
                  <w:smallCaps w:val="false"/>
                  <w:sz w:val="20"/>
                </w:rPr>
                <w:t>Unresolved Staff Comments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shd w:fill="auto" w:val="clear"/>
            <w:vAlign w:val="center"/>
          </w:tcPr>
          <w:p>
            <w:pPr>
              <w:pStyle w:val="TableContents"/>
              <w:spacing w:before="0" w:after="0"/>
              <w:ind w:left="0" w:right="0" w:hanging="0"/>
              <w:rPr/>
            </w:pPr>
            <w:hyperlink w:anchor="Item2PROPERTIES_225470">
              <w:r>
                <w:rPr>
                  <w:rStyle w:val="InternetLink"/>
                  <w:rFonts w:ascii="Times New Roman;Times;serif" w:hAnsi="Times New Roman;Times;serif"/>
                  <w:b w:val="false"/>
                  <w:i w:val="false"/>
                  <w:caps w:val="false"/>
                  <w:smallCaps w:val="false"/>
                  <w:sz w:val="20"/>
                </w:rPr>
                <w:t>Item 2.</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2PROPERTIES_225470">
              <w:r>
                <w:rPr>
                  <w:rStyle w:val="InternetLink"/>
                  <w:rFonts w:ascii="Times New Roman;Times;serif" w:hAnsi="Times New Roman;Times;serif"/>
                  <w:b w:val="false"/>
                  <w:i w:val="false"/>
                  <w:caps w:val="false"/>
                  <w:smallCaps w:val="false"/>
                  <w:sz w:val="20"/>
                </w:rPr>
                <w:t>Properties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shd w:fill="auto" w:val="clear"/>
            <w:vAlign w:val="center"/>
          </w:tcPr>
          <w:p>
            <w:pPr>
              <w:pStyle w:val="TableContents"/>
              <w:spacing w:before="0" w:after="0"/>
              <w:ind w:left="0" w:right="0" w:hanging="0"/>
              <w:rPr/>
            </w:pPr>
            <w:hyperlink w:anchor="Item3LEGALPROCEEDINGS_101934">
              <w:r>
                <w:rPr>
                  <w:rStyle w:val="InternetLink"/>
                  <w:rFonts w:ascii="Times New Roman;Times;serif" w:hAnsi="Times New Roman;Times;serif"/>
                  <w:b w:val="false"/>
                  <w:i w:val="false"/>
                  <w:caps w:val="false"/>
                  <w:smallCaps w:val="false"/>
                  <w:sz w:val="20"/>
                </w:rPr>
                <w:t>Item 3.</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3LEGALPROCEEDINGS_101934">
              <w:r>
                <w:rPr>
                  <w:rStyle w:val="InternetLink"/>
                  <w:rFonts w:ascii="Times New Roman;Times;serif" w:hAnsi="Times New Roman;Times;serif"/>
                  <w:b w:val="false"/>
                  <w:i w:val="false"/>
                  <w:caps w:val="false"/>
                  <w:smallCaps w:val="false"/>
                  <w:sz w:val="20"/>
                </w:rPr>
                <w:t>Legal Proceedings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76" w:type="dxa"/>
            <w:tcBorders/>
            <w:shd w:fill="auto" w:val="clear"/>
            <w:vAlign w:val="center"/>
          </w:tcPr>
          <w:p>
            <w:pPr>
              <w:pStyle w:val="TableContents"/>
              <w:spacing w:before="0" w:after="0"/>
              <w:ind w:left="0" w:right="0" w:hanging="0"/>
              <w:rPr/>
            </w:pPr>
            <w:hyperlink w:anchor="Item4MINESAFETYDISCLOSURES_355906">
              <w:r>
                <w:rPr>
                  <w:rStyle w:val="InternetLink"/>
                  <w:rFonts w:ascii="Times New Roman;Times;serif" w:hAnsi="Times New Roman;Times;serif"/>
                  <w:b w:val="false"/>
                  <w:i w:val="false"/>
                  <w:caps w:val="false"/>
                  <w:smallCaps w:val="false"/>
                  <w:sz w:val="20"/>
                </w:rPr>
                <w:t>Item 4.</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4MINESAFETYDISCLOSURES_355906">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76" w:type="dxa"/>
            <w:tcBorders/>
            <w:shd w:fill="auto" w:val="clear"/>
            <w:vAlign w:val="center"/>
          </w:tcPr>
          <w:p>
            <w:pPr>
              <w:pStyle w:val="TableContents"/>
              <w:spacing w:before="0" w:after="0"/>
              <w:ind w:left="0" w:right="0" w:hanging="0"/>
              <w:rPr/>
            </w:pPr>
            <w:hyperlink w:anchor="PARTII_68508">
              <w:r>
                <w:rPr>
                  <w:rStyle w:val="InternetLink"/>
                  <w:rFonts w:ascii="Times New Roman;Times;serif" w:hAnsi="Times New Roman;Times;serif"/>
                  <w:b w:val="false"/>
                  <w:i w:val="false"/>
                  <w:caps w:val="false"/>
                  <w:smallCaps w:val="false"/>
                  <w:sz w:val="20"/>
                </w:rPr>
                <w:t>Part II</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76" w:type="dxa"/>
            <w:tcBorders/>
            <w:shd w:fill="auto" w:val="clear"/>
            <w:vAlign w:val="center"/>
          </w:tcPr>
          <w:p>
            <w:pPr>
              <w:pStyle w:val="TableContents"/>
              <w:spacing w:before="0" w:after="0"/>
              <w:ind w:left="0" w:right="0" w:hanging="0"/>
              <w:rPr/>
            </w:pPr>
            <w:hyperlink w:anchor="Item5MARKETFORREGISTRANTS_239721">
              <w:r>
                <w:rPr>
                  <w:rStyle w:val="InternetLink"/>
                  <w:rFonts w:ascii="Times New Roman;Times;serif" w:hAnsi="Times New Roman;Times;serif"/>
                  <w:b w:val="false"/>
                  <w:i w:val="false"/>
                  <w:caps w:val="false"/>
                  <w:smallCaps w:val="false"/>
                  <w:sz w:val="20"/>
                </w:rPr>
                <w:t>Item 5.</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5MARKETFORREGISTRANTS_239721">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6" w:type="dxa"/>
            <w:tcBorders/>
            <w:shd w:fill="auto" w:val="clear"/>
            <w:vAlign w:val="center"/>
          </w:tcPr>
          <w:p>
            <w:pPr>
              <w:pStyle w:val="TableContents"/>
              <w:spacing w:before="0" w:after="0"/>
              <w:ind w:left="0" w:right="0" w:hanging="0"/>
              <w:rPr/>
            </w:pPr>
            <w:hyperlink w:anchor="Item6SELECTEDFINANCIALDATA_500251">
              <w:r>
                <w:rPr>
                  <w:rStyle w:val="InternetLink"/>
                  <w:rFonts w:ascii="Times New Roman;Times;serif" w:hAnsi="Times New Roman;Times;serif"/>
                  <w:b w:val="false"/>
                  <w:i w:val="false"/>
                  <w:caps w:val="false"/>
                  <w:smallCaps w:val="false"/>
                  <w:sz w:val="20"/>
                </w:rPr>
                <w:t>Item 6.</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6SELECTEDFINANCIALDATA_500251">
              <w:r>
                <w:rPr>
                  <w:rStyle w:val="InternetLink"/>
                  <w:rFonts w:ascii="Times New Roman;Times;serif" w:hAnsi="Times New Roman;Times;serif"/>
                  <w:b w:val="false"/>
                  <w:i w:val="false"/>
                  <w:caps w:val="false"/>
                  <w:smallCaps w:val="false"/>
                  <w:sz w:val="20"/>
                </w:rPr>
                <w:t>[Reserved]</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76" w:type="dxa"/>
            <w:tcBorders/>
            <w:shd w:fill="auto" w:val="clear"/>
            <w:vAlign w:val="center"/>
          </w:tcPr>
          <w:p>
            <w:pPr>
              <w:pStyle w:val="TableContents"/>
              <w:spacing w:before="0" w:after="0"/>
              <w:ind w:left="0" w:right="0" w:hanging="0"/>
              <w:rPr/>
            </w:pPr>
            <w:hyperlink w:anchor="Item7MANAGEMENTSDISCUSSION_91937">
              <w:r>
                <w:rPr>
                  <w:rStyle w:val="InternetLink"/>
                  <w:rFonts w:ascii="Times New Roman;Times;serif" w:hAnsi="Times New Roman;Times;serif"/>
                  <w:b w:val="false"/>
                  <w:i w:val="false"/>
                  <w:caps w:val="false"/>
                  <w:smallCaps w:val="false"/>
                  <w:sz w:val="20"/>
                </w:rPr>
                <w:t>Item 7.</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7MANAGEMENTSDISCUSSION_9193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76" w:type="dxa"/>
            <w:tcBorders/>
            <w:shd w:fill="auto" w:val="clear"/>
            <w:vAlign w:val="center"/>
          </w:tcPr>
          <w:p>
            <w:pPr>
              <w:pStyle w:val="TableContents"/>
              <w:spacing w:before="0" w:after="0"/>
              <w:ind w:left="0" w:right="0" w:hanging="0"/>
              <w:rPr/>
            </w:pPr>
            <w:hyperlink w:anchor="Item7AQUANTITATIVEANDQUALITATIVE_388458">
              <w:r>
                <w:rPr>
                  <w:rStyle w:val="InternetLink"/>
                  <w:rFonts w:ascii="Times New Roman;Times;serif" w:hAnsi="Times New Roman;Times;serif"/>
                  <w:b w:val="false"/>
                  <w:i w:val="false"/>
                  <w:caps w:val="false"/>
                  <w:smallCaps w:val="false"/>
                  <w:sz w:val="20"/>
                </w:rPr>
                <w:t>Item 7A.</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7AQUANTITATIVEANDQUALITATIVE_388458">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76" w:type="dxa"/>
            <w:tcBorders/>
            <w:shd w:fill="auto" w:val="clear"/>
            <w:vAlign w:val="center"/>
          </w:tcPr>
          <w:p>
            <w:pPr>
              <w:pStyle w:val="TableContents"/>
              <w:spacing w:before="0" w:after="0"/>
              <w:ind w:left="0" w:right="0" w:hanging="0"/>
              <w:rPr/>
            </w:pPr>
            <w:hyperlink w:anchor="Item8FINANCIALSTATEMENTS_953180">
              <w:r>
                <w:rPr>
                  <w:rStyle w:val="InternetLink"/>
                  <w:rFonts w:ascii="Times New Roman;Times;serif" w:hAnsi="Times New Roman;Times;serif"/>
                  <w:b w:val="false"/>
                  <w:i w:val="false"/>
                  <w:caps w:val="false"/>
                  <w:smallCaps w:val="false"/>
                  <w:sz w:val="20"/>
                </w:rPr>
                <w:t>Item 8.</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8FINANCIALSTATEMENTS_953180">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976" w:type="dxa"/>
            <w:tcBorders/>
            <w:shd w:fill="auto" w:val="clear"/>
            <w:vAlign w:val="center"/>
          </w:tcPr>
          <w:p>
            <w:pPr>
              <w:pStyle w:val="TableContents"/>
              <w:spacing w:before="0" w:after="0"/>
              <w:ind w:left="0" w:right="0" w:hanging="0"/>
              <w:rPr/>
            </w:pPr>
            <w:hyperlink w:anchor="Item9CHANGESINANDDISAGREEMENTS_750440">
              <w:r>
                <w:rPr>
                  <w:rStyle w:val="InternetLink"/>
                  <w:rFonts w:ascii="Times New Roman;Times;serif" w:hAnsi="Times New Roman;Times;serif"/>
                  <w:b w:val="false"/>
                  <w:i w:val="false"/>
                  <w:caps w:val="false"/>
                  <w:smallCaps w:val="false"/>
                  <w:sz w:val="20"/>
                </w:rPr>
                <w:t>Item 9.</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9CHANGESINANDDISAGREEMENTS_750440">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976" w:type="dxa"/>
            <w:tcBorders/>
            <w:shd w:fill="auto" w:val="clear"/>
            <w:vAlign w:val="center"/>
          </w:tcPr>
          <w:p>
            <w:pPr>
              <w:pStyle w:val="TableContents"/>
              <w:spacing w:before="0" w:after="0"/>
              <w:ind w:left="0" w:right="0" w:hanging="0"/>
              <w:rPr/>
            </w:pPr>
            <w:hyperlink w:anchor="Item9ACONTROLSANDPROCEDURES_562577">
              <w:r>
                <w:rPr>
                  <w:rStyle w:val="InternetLink"/>
                  <w:rFonts w:ascii="Times New Roman;Times;serif" w:hAnsi="Times New Roman;Times;serif"/>
                  <w:b w:val="false"/>
                  <w:i w:val="false"/>
                  <w:caps w:val="false"/>
                  <w:smallCaps w:val="false"/>
                  <w:sz w:val="20"/>
                </w:rPr>
                <w:t>Item 9A.</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9ACONTROLSANDPROCEDURES_562577">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976" w:type="dxa"/>
            <w:tcBorders/>
            <w:shd w:fill="auto" w:val="clear"/>
            <w:vAlign w:val="center"/>
          </w:tcPr>
          <w:p>
            <w:pPr>
              <w:pStyle w:val="TableContents"/>
              <w:spacing w:before="0" w:after="0"/>
              <w:ind w:left="0" w:right="0" w:hanging="0"/>
              <w:rPr/>
            </w:pPr>
            <w:hyperlink w:anchor="Item9BOTHERINFORMATION_750206">
              <w:r>
                <w:rPr>
                  <w:rStyle w:val="InternetLink"/>
                  <w:rFonts w:ascii="Times New Roman;Times;serif" w:hAnsi="Times New Roman;Times;serif"/>
                  <w:b w:val="false"/>
                  <w:i w:val="false"/>
                  <w:caps w:val="false"/>
                  <w:smallCaps w:val="false"/>
                  <w:sz w:val="20"/>
                </w:rPr>
                <w:t>Item 9B.</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9BOTHERINFORMATION_750206">
              <w:r>
                <w:rPr>
                  <w:rStyle w:val="InternetLink"/>
                  <w:rFonts w:ascii="Times New Roman;Times;serif" w:hAnsi="Times New Roman;Times;serif"/>
                  <w:b w:val="false"/>
                  <w:i w:val="false"/>
                  <w:caps w:val="false"/>
                  <w:smallCaps w:val="false"/>
                  <w:sz w:val="20"/>
                </w:rPr>
                <w:t>Other Information</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976"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976" w:type="dxa"/>
            <w:tcBorders/>
            <w:shd w:fill="auto" w:val="clear"/>
            <w:vAlign w:val="center"/>
          </w:tcPr>
          <w:p>
            <w:pPr>
              <w:pStyle w:val="TableContents"/>
              <w:spacing w:before="0" w:after="0"/>
              <w:ind w:left="0" w:right="0" w:hanging="0"/>
              <w:rPr/>
            </w:pPr>
            <w:hyperlink w:anchor="PARTIII_289421">
              <w:r>
                <w:rPr>
                  <w:rStyle w:val="InternetLink"/>
                  <w:rFonts w:ascii="Times New Roman;Times;serif" w:hAnsi="Times New Roman;Times;serif"/>
                  <w:b w:val="false"/>
                  <w:i w:val="false"/>
                  <w:caps w:val="false"/>
                  <w:smallCaps w:val="false"/>
                  <w:sz w:val="20"/>
                </w:rPr>
                <w:t>Part III</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76" w:type="dxa"/>
            <w:tcBorders/>
            <w:shd w:fill="auto" w:val="clear"/>
            <w:vAlign w:val="center"/>
          </w:tcPr>
          <w:p>
            <w:pPr>
              <w:pStyle w:val="TableContents"/>
              <w:spacing w:before="0" w:after="0"/>
              <w:ind w:left="0" w:right="0" w:hanging="0"/>
              <w:rPr/>
            </w:pPr>
            <w:hyperlink w:anchor="Item10DIRECTORSEXECUTIVE_251619">
              <w:r>
                <w:rPr>
                  <w:rStyle w:val="InternetLink"/>
                  <w:rFonts w:ascii="Times New Roman;Times;serif" w:hAnsi="Times New Roman;Times;serif"/>
                  <w:b w:val="false"/>
                  <w:i w:val="false"/>
                  <w:caps w:val="false"/>
                  <w:smallCaps w:val="false"/>
                  <w:sz w:val="20"/>
                </w:rPr>
                <w:t>Item 10.</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0DIRECTORSEXECUTIVE_251619">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976" w:type="dxa"/>
            <w:tcBorders/>
            <w:shd w:fill="auto" w:val="clear"/>
            <w:vAlign w:val="center"/>
          </w:tcPr>
          <w:p>
            <w:pPr>
              <w:pStyle w:val="TableContents"/>
              <w:spacing w:before="0" w:after="0"/>
              <w:ind w:left="0" w:right="0" w:hanging="0"/>
              <w:rPr/>
            </w:pPr>
            <w:hyperlink w:anchor="Item11EXECUTIVECOMPENSATION_659199">
              <w:r>
                <w:rPr>
                  <w:rStyle w:val="InternetLink"/>
                  <w:rFonts w:ascii="Times New Roman;Times;serif" w:hAnsi="Times New Roman;Times;serif"/>
                  <w:b w:val="false"/>
                  <w:i w:val="false"/>
                  <w:caps w:val="false"/>
                  <w:smallCaps w:val="false"/>
                  <w:sz w:val="20"/>
                </w:rPr>
                <w:t>Item 11.</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1EXECUTIVECOMPENSATION_659199">
              <w:r>
                <w:rPr>
                  <w:rStyle w:val="InternetLink"/>
                  <w:rFonts w:ascii="Times New Roman;Times;serif" w:hAnsi="Times New Roman;Times;serif"/>
                  <w:b w:val="false"/>
                  <w:i w:val="false"/>
                  <w:caps w:val="false"/>
                  <w:smallCaps w:val="false"/>
                  <w:sz w:val="20"/>
                </w:rPr>
                <w:t>Executive Compensation</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976" w:type="dxa"/>
            <w:tcBorders/>
            <w:shd w:fill="auto" w:val="clear"/>
            <w:vAlign w:val="center"/>
          </w:tcPr>
          <w:p>
            <w:pPr>
              <w:pStyle w:val="TableContents"/>
              <w:spacing w:before="0" w:after="0"/>
              <w:ind w:left="0" w:right="0" w:hanging="0"/>
              <w:rPr/>
            </w:pPr>
            <w:hyperlink w:anchor="Item12SECURITYOWNERSHIP_108166">
              <w:r>
                <w:rPr>
                  <w:rStyle w:val="InternetLink"/>
                  <w:rFonts w:ascii="Times New Roman;Times;serif" w:hAnsi="Times New Roman;Times;serif"/>
                  <w:b w:val="false"/>
                  <w:i w:val="false"/>
                  <w:caps w:val="false"/>
                  <w:smallCaps w:val="false"/>
                  <w:sz w:val="20"/>
                </w:rPr>
                <w:t>Item 12.</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2SECURITYOWNERSHIP_108166">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976" w:type="dxa"/>
            <w:tcBorders/>
            <w:shd w:fill="auto" w:val="clear"/>
            <w:vAlign w:val="center"/>
          </w:tcPr>
          <w:p>
            <w:pPr>
              <w:pStyle w:val="TableContents"/>
              <w:spacing w:before="0" w:after="0"/>
              <w:ind w:left="0" w:right="0" w:hanging="0"/>
              <w:rPr/>
            </w:pPr>
            <w:hyperlink w:anchor="Item13CERTAINRELATIONSHIPSAND_189337">
              <w:r>
                <w:rPr>
                  <w:rStyle w:val="InternetLink"/>
                  <w:rFonts w:ascii="Times New Roman;Times;serif" w:hAnsi="Times New Roman;Times;serif"/>
                  <w:b w:val="false"/>
                  <w:i w:val="false"/>
                  <w:caps w:val="false"/>
                  <w:smallCaps w:val="false"/>
                  <w:sz w:val="20"/>
                </w:rPr>
                <w:t>Item 13.</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3CERTAINRELATIONSHIPSAND_189337">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976" w:type="dxa"/>
            <w:tcBorders/>
            <w:shd w:fill="auto" w:val="clear"/>
            <w:vAlign w:val="center"/>
          </w:tcPr>
          <w:p>
            <w:pPr>
              <w:pStyle w:val="TableContents"/>
              <w:spacing w:before="0" w:after="0"/>
              <w:ind w:left="0" w:right="0" w:hanging="0"/>
              <w:rPr/>
            </w:pPr>
            <w:hyperlink w:anchor="Item14PRINCIPALACCOUNTINGFEES_43693">
              <w:r>
                <w:rPr>
                  <w:rStyle w:val="InternetLink"/>
                  <w:rFonts w:ascii="Times New Roman;Times;serif" w:hAnsi="Times New Roman;Times;serif"/>
                  <w:b w:val="false"/>
                  <w:i w:val="false"/>
                  <w:caps w:val="false"/>
                  <w:smallCaps w:val="false"/>
                  <w:sz w:val="20"/>
                </w:rPr>
                <w:t>Item 14.</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4PRINCIPALACCOUNTINGFEES_43693">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976" w:type="dxa"/>
            <w:tcBorders/>
            <w:shd w:fill="auto" w:val="clear"/>
            <w:vAlign w:val="center"/>
          </w:tcPr>
          <w:p>
            <w:pPr>
              <w:pStyle w:val="TableContents"/>
              <w:spacing w:before="0" w:after="0"/>
              <w:ind w:left="0" w:right="0" w:hanging="0"/>
              <w:rPr/>
            </w:pPr>
            <w:hyperlink w:anchor="PARTIV_712804">
              <w:r>
                <w:rPr>
                  <w:rStyle w:val="InternetLink"/>
                  <w:rFonts w:ascii="Times New Roman;Times;serif" w:hAnsi="Times New Roman;Times;serif"/>
                  <w:b w:val="false"/>
                  <w:i w:val="false"/>
                  <w:caps w:val="false"/>
                  <w:smallCaps w:val="false"/>
                  <w:sz w:val="20"/>
                </w:rPr>
                <w:t>Part IV</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76" w:type="dxa"/>
            <w:tcBorders/>
            <w:shd w:fill="auto" w:val="clear"/>
            <w:vAlign w:val="center"/>
          </w:tcPr>
          <w:p>
            <w:pPr>
              <w:pStyle w:val="TableContents"/>
              <w:spacing w:before="0" w:after="0"/>
              <w:ind w:left="0" w:right="0" w:hanging="0"/>
              <w:rPr/>
            </w:pPr>
            <w:hyperlink w:anchor="Item15EXHIBITSFINANCIALSTATEMENT_652110">
              <w:r>
                <w:rPr>
                  <w:rStyle w:val="InternetLink"/>
                  <w:rFonts w:ascii="Times New Roman;Times;serif" w:hAnsi="Times New Roman;Times;serif"/>
                  <w:b w:val="false"/>
                  <w:i w:val="false"/>
                  <w:caps w:val="false"/>
                  <w:smallCaps w:val="false"/>
                  <w:sz w:val="20"/>
                </w:rPr>
                <w:t>Item 15.</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5EXHIBITSFINANCIALSTATEMENT_652110">
              <w:r>
                <w:rPr>
                  <w:rStyle w:val="InternetLink"/>
                  <w:rFonts w:ascii="Times New Roman;Times;serif" w:hAnsi="Times New Roman;Times;serif"/>
                  <w:b w:val="false"/>
                  <w:i w:val="false"/>
                  <w:caps w:val="false"/>
                  <w:smallCaps w:val="false"/>
                  <w:sz w:val="20"/>
                </w:rPr>
                <w:t>Exhibits, Financial Statement Schedules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976" w:type="dxa"/>
            <w:tcBorders/>
            <w:shd w:fill="auto" w:val="clear"/>
            <w:vAlign w:val="center"/>
          </w:tcPr>
          <w:p>
            <w:pPr>
              <w:pStyle w:val="TableContents"/>
              <w:spacing w:before="0" w:after="0"/>
              <w:ind w:left="0" w:right="0" w:hanging="0"/>
              <w:rPr/>
            </w:pPr>
            <w:hyperlink w:anchor="Item16FORM10KSUMMARY_35393">
              <w:r>
                <w:rPr>
                  <w:rStyle w:val="InternetLink"/>
                  <w:rFonts w:ascii="Times New Roman;Times;serif" w:hAnsi="Times New Roman;Times;serif"/>
                  <w:b w:val="false"/>
                  <w:i w:val="false"/>
                  <w:caps w:val="false"/>
                  <w:smallCaps w:val="false"/>
                  <w:sz w:val="20"/>
                </w:rPr>
                <w:t>Item 16.</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hyperlink w:anchor="Item16FORM10KSUMMARY_35393">
              <w:r>
                <w:rPr>
                  <w:rStyle w:val="InternetLink"/>
                  <w:rFonts w:ascii="Times New Roman;Times;serif" w:hAnsi="Times New Roman;Times;serif"/>
                  <w:b w:val="false"/>
                  <w:i w:val="false"/>
                  <w:caps w:val="false"/>
                  <w:smallCaps w:val="false"/>
                  <w:sz w:val="20"/>
                </w:rPr>
                <w:t>Form 10-K Summary</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976" w:type="dxa"/>
            <w:tcBorders/>
            <w:shd w:fill="auto" w:val="clear"/>
            <w:vAlign w:val="center"/>
          </w:tcPr>
          <w:p>
            <w:pPr>
              <w:pStyle w:val="TableContents"/>
              <w:spacing w:before="0" w:after="0"/>
              <w:ind w:left="0" w:right="0" w:hanging="0"/>
              <w:rPr/>
            </w:pPr>
            <w:hyperlink w:anchor="SIGNATURES_398499">
              <w:r>
                <w:rPr>
                  <w:rStyle w:val="InternetLink"/>
                  <w:rFonts w:ascii="Times New Roman;Times;serif" w:hAnsi="Times New Roman;Times;serif"/>
                  <w:b w:val="false"/>
                  <w:i w:val="false"/>
                  <w:caps w:val="false"/>
                  <w:smallCaps w:val="false"/>
                  <w:sz w:val="20"/>
                </w:rPr>
                <w:t>Signatures</w:t>
              </w:r>
            </w:hyperlink>
          </w:p>
        </w:tc>
        <w:tc>
          <w:tcPr>
            <w:tcW w:w="326" w:type="dxa"/>
            <w:tcBorders/>
            <w:shd w:fill="auto" w:val="clear"/>
            <w:vAlign w:val="center"/>
          </w:tcPr>
          <w:p>
            <w:pPr>
              <w:pStyle w:val="TableContents"/>
              <w:spacing w:before="0" w:after="0"/>
              <w:ind w:left="0" w:right="0" w:hanging="0"/>
              <w:rPr/>
            </w:pPr>
            <w:r>
              <w:rPr/>
              <w:t>​</w:t>
            </w:r>
          </w:p>
        </w:tc>
        <w:tc>
          <w:tcPr>
            <w:tcW w:w="8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21" w:name="_0a5813ec_5144_47ea_877b_6d002a19d54c"/>
      <w:bookmarkEnd w:id="21"/>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Annual Report on Form 10-K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7431" w:type="dxa"/>
        <w:jc w:val="left"/>
        <w:tblInd w:w="0" w:type="dxa"/>
        <w:tblCellMar>
          <w:top w:w="28" w:type="dxa"/>
          <w:left w:w="28" w:type="dxa"/>
          <w:bottom w:w="28" w:type="dxa"/>
          <w:right w:w="28" w:type="dxa"/>
        </w:tblCellMar>
      </w:tblPr>
      <w:tblGrid>
        <w:gridCol w:w="124"/>
        <w:gridCol w:w="256"/>
        <w:gridCol w:w="7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which are still in an early development stage;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 and, if we obtain regulatory approval, commercialization of our drug candidates and the growth of the markets for those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on our business or on the economy generally;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COVID-19 pandemic will affect the timing of the completion of our planned and/or currently ongoing preclinical/clinical trials;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CellMar>
          <w:top w:w="28" w:type="dxa"/>
          <w:left w:w="28" w:type="dxa"/>
          <w:bottom w:w="28" w:type="dxa"/>
          <w:right w:w="28" w:type="dxa"/>
        </w:tblCellMar>
      </w:tblPr>
      <w:tblGrid>
        <w:gridCol w:w="124"/>
        <w:gridCol w:w="256"/>
        <w:gridCol w:w="9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development, regulatory approval and sales-based milestones under the merger agreement by which we acquired Kolltan Pharmaceuticals, Inc. (“Kolltan”), and the cost, timing, and outcome of our declaratory judgment action against the Kolltan stockholder representative with respect to certain of those milestones;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6621" w:type="dxa"/>
        <w:jc w:val="left"/>
        <w:tblInd w:w="0" w:type="dxa"/>
        <w:tblCellMar>
          <w:top w:w="28" w:type="dxa"/>
          <w:left w:w="28" w:type="dxa"/>
          <w:bottom w:w="28" w:type="dxa"/>
          <w:right w:w="28" w:type="dxa"/>
        </w:tblCellMar>
      </w:tblPr>
      <w:tblGrid>
        <w:gridCol w:w="124"/>
        <w:gridCol w:w="256"/>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listed under “Risk Factors” in this Annual Report on Form 10-K.</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i w:val="false"/>
          <w:caps w:val="false"/>
          <w:smallCaps w:val="false"/>
          <w:sz w:val="20"/>
        </w:rPr>
      </w:pPr>
      <w:bookmarkStart w:id="22" w:name="PARTI_713253"/>
      <w:bookmarkStart w:id="23" w:name="_45bdcb70_7c35_4ffd_95e8_e34f22ad7e55"/>
      <w:bookmarkEnd w:id="22"/>
      <w:bookmarkEnd w:id="23"/>
      <w:r>
        <w:rPr>
          <w:rFonts w:ascii="Times New Roman;Times;serif" w:hAnsi="Times New Roman;Times;serif"/>
          <w:b/>
          <w:i w:val="false"/>
          <w:caps w:val="false"/>
          <w:smallCaps w:val="false"/>
          <w:sz w:val="20"/>
        </w:rPr>
        <w:t>PART I</w:t>
      </w:r>
    </w:p>
    <w:p>
      <w:pPr>
        <w:pStyle w:val="TextBody"/>
        <w:spacing w:before="0" w:after="240"/>
        <w:ind w:left="0" w:right="0" w:hanging="0"/>
        <w:rPr>
          <w:rFonts w:ascii="Times New Roman;Times;serif" w:hAnsi="Times New Roman;Times;serif"/>
          <w:b/>
          <w:sz w:val="20"/>
        </w:rPr>
      </w:pPr>
      <w:bookmarkStart w:id="24" w:name="Item1BUSINESS_454764"/>
      <w:bookmarkEnd w:id="24"/>
      <w:r>
        <w:rPr>
          <w:rFonts w:ascii="Times New Roman;Times;serif" w:hAnsi="Times New Roman;Times;serif"/>
          <w:b/>
          <w:sz w:val="20"/>
        </w:rPr>
        <w:t>Item 1. BUSINESS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Celldex Therapeutics, Inc., which we refer to as “Celldex,” “we,” “us,” “our” or the “Company,” is a biopharmaceutical company dedicated to developing therapeutic monoclonal and bispecific antibodies that address diseases for which available treatments are inadequate. Our drug candidates include antibody- based therapeutics which have the ability to engage the human immune system and/or directly affect critical pathways to improve the lives of patients with inflammatory diseases and many forms of cancer.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CDX-0159, a monoclonal antibody that specifically binds the KIT receptor and potently inhibits its activity, currently being studied in mast cell driven diseases. In October and December 2020 respectively, we announced that enrollment had opened and the first patients had been dosed in Phase 1b studies in chronic spontaneous urticaria (“CSU”) and chronic inducible urticaria (“CIndU”). Positive interim data from the Phase 1b study in CIndU were reported in July and September 2021 in patients with cold urticaria and symptomatic dermographism. The study has also been expanded to include patients with cholinergic urticaria and in December 2021 we announced that the first patient had been dosed in a Phase 1b study in prurigo nodularis (“PN”).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CDX-1140, an agonist monoclonal antibody targeted to CD40, a key activator of immune response, currently being studied in a Phase 1 study. Dose escalation was completed in solid tumors and lymphoma and the recommended dose for further study was determined to be 1.5 mg/kg for both CDX-1140 monotherapy and in combination. We have initiated multiple expansion cohorts within the study, including a combination cohort with KEYTRUDA® (pembrolizumab) in patients refractory to PD-1/PD-L1 treatment.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CDX-527, a bispecific antibody that uses our proprietary highly active anti-PD-L1 and CD27 human antibodies to couple CD27 co-stimulation with blockade of the PD-L1/PD-1 pathway, for which we initiated a Phase 1 study in advanced solid tumors in August 2020.</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routinely work with external parties to collaboratively advance our drug candidates. In addition to Celldex-led studies, we also have an Investigator Initiated Research (IIR) program with multiple studies ongoing with our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Clinical Development Programs</w:t>
      </w:r>
      <w:r>
        <w:rPr>
          <w:rFonts w:ascii="Times New Roman;Times;serif" w:hAnsi="Times New Roman;Times;serif"/>
          <w:sz w:val="20"/>
        </w:rPr>
        <w:t xml:space="preserve">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we have managed delays and disruptions without significant impact to our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CDX-0159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data supported expansion of the CDX-0159 program into mast cell driven diseases, including initially in CSU and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dermographism (scratch-induced) and cholinergic (exercise-induced) urticarias.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October 2020, we announced that enrollment had opened and the first patient had been dosed in a Phase 1b multi-center study of CDX-0159 in CSU. This study is a randomized, double-blind, placebo- 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 antihistamines, either alone or in combination with H2-antihistamines and/or leukotriene receptor agonists.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December 2020, we announced that enrollment had opened and the first patient had been dosed in a second Phase 1b study in CIndU being conducted in Germany in patients who are refractory to antihistamines. This study is an open label clinical trial designed to evaluate the safety of a single dose (3 mg/kg) of CDX-0159 in patients with cold urticaria (n=10) or symptomatic dermographism (n=10). In March and June 2021, respectively, we added a third cohort (single dose, 3 mg/kg) in patients with cholinergic urticaria (n=10) and a fourth cohort at a lower dose (single dose, 1.5 mg/kg) in cold urticaria.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on Day 1 as add on treatment to H1-antihistamines.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July of 2021, we reported positive interim data from the cold urticaria and symptomatic dermographism cohorts. As of the data cut-off on June 11, 2021, 20 patients had received a single intravenous infusion of CDX-0159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FricTest(R) thresholds were 3.8 (range: 3-4) of 4 pins. Safety results were reported for all 20 patients; activity results were reported for the 19 patients who received a full dose of CDX-0159. 14 of 19 patients completed the 12-week study observation period and five were ongoing (range of 2-8 weeks ) as of June 11, 2021.</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disease activity as reported by physician’s and patient’s global assessment of disease severity were consistent with the complete responses as measured by provocation testing.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3 mg/kg dose of CDX-0159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CDX-0159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in March 2021,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patient with symptomatic dermographism enrolled in the study also had a diagnosis of prurigo nodularis (“PN”). After a single dose of CDX-0159, this patient experienced both a complete response of symptomatic dermographism and notable improvement of the PN.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September of 2021, we reported additional positive data from the study on measurements of symptom control and quality of life. A single dose of CDX-0159 (3 mg/kg) resulted in a rapid and sustained improvement in urticaria control and greatly reduced disease impact on quality of life, as measured by the Urticaria Control Test (UCT) and Dermatology Life Quality Index (DLQI).</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Celldex has expanded clinical development of CDX-0159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study designed to assess the safety and treatment effects across multiple dosing cohorts of CDX-0159 in up to 30 patients with PN.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Manufacturing activities to support the introduction of the CDX-0159 subcutaneous formulation into the clinical program have been completed and, in September 2021, we initiated dosing in a randomized, double-blind, placebo-controlled, Phase 1 study designed to evaluate the safety of single ascending doses of the subcutaneous formulation of CDX-0159 in healthy volunteers. In February 2022, we reported that subcutaneous administration of CDX-0159 was well tolerated and that multiple dose levels have been identified that possess promising pharmacokinetic and pharmacodynamic properties. Importantly, subcutaneous delivery of CDX-0159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Celldex anticipates the upcoming Phase 2 multi-dose studies in urticaria will evaluate 75mg and 150mg administered q4weeks and 300mg administered q8weeks. The planned doses support a 0.5 to 2 ml injection volume, allowing for a single injection as CDX-0159 advances towards potential commercialization. In 2022, we plan to initiate a transfer of our current CDX-0159 manufacturing process to a contract manufacturing organization to support late-stage trials and to prepare for potential commercialization.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February 2022, we also reported interim data after completing the in-life dosing portion of our six month chronic toxicology study in non-human primates; a subset of the animals will continue to be followed beyond clearance of the CDX-0159 antibody to study completion. As expected and consistent with other KIT-targeting agents, impact on spermatogenesis was observed which is anticipated to be fully reversible upon clearance of the antibody. There were no other clinically adverse findings reported in the study. Celldex believes these data strongly support the Company’s planned Phase 2 studies in urticaria later this year and in future indications.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February 2022, we announced that we will be expanding clinical development of CDX-0159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are limited treatment options for EoE. Individuals often participate in an elimination diet to identify potential food allergens that may contribute to EoE, avoid difficult to swallow foods and undergo esophageal dilation. While not approved for EoE, proton pump inhibitors and the swallowing of topical corticosteroids are also used to address the disease. Industry sources estimate there are approximately 160,000 patients in the United States with EoE who have undergone treatment within the last 12 months and, of these, approximately 48,000 would be biologic-eligible. Given the lack of effective therapies for EoE and CDX-0159’s potential as a mast cell depleting agent, we believe EoE is an important indication for future study.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continue to assess potential opportunities for CDX-0159 in other diseases where mast cells play an important role, such as dermatologic, respiratory, allergic, gastrointestinal and ophthalmic conditions.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CDX-1140</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concentrations to levels that may not be optimal for engaging CD40 expressing cells in the tumor microenvironment.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clearly demonstrate strong immune activation effects and low systemic toxicity and support the design of the Phase 1 study to identify the dose for characterizing single-agent and combination activity.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2017, we initiated a Phase 1 study of CDX-1140 in up to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A combination cohort with CDX-301, a hematopoietic cytokine that uniquely expands dendritic cells and hematopoietic stem cells and a safety run-in combination cohort with gemcitabine/nab-paclitaxel in patients with previously untreated metastatic pancreatic adenocarcinoma have been completed. A combination of CDX-1140 with pembrolizumab has completed the safety run-in phase. Expansion cohorts in patients with checkpoint-refractory/resistant squamous cell head and neck cancer and non-small cell lung cancer are enrolling patients.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2020, we reported interim Phase 1 data from patients treated at the maximum tolerated dose (MTD) and recommended dose of 1.5 mg/kg—one of the highest systemic dose levels in the CD40 agonist class. Interim data from the study were presented at the Society for Immunotherapy of Cancer’s (SITC) 35th Annual Meeting 2020 (n=41; 25 mono, 16 with CDX-301 and 29 with post-treatment scans). Preliminary safety data from the combination cohort with pembrolizumab (n=9; 4 at 0.72 mg/kg and 5 at 1.5 mg/kg CDX-1140) were also presented. CDX-1140 monotherapy and in combination with pembrolizumab was generally well tolerated with mostly grade 1 or 2 drug related adverse events. Activity at 1.5mg/kg dose of CDX-1140 included an ongoing complete response (CR; 18 months as of Oct 2021) in a patient with follicular lymphoma treated with CDX-1140 monotherapy. There was notable tumor shrinkage and/or necrosis in 6 patients with squamous cell head and neck cancer (SCCHN) treated with CDX-1140 alone or in combination with CDX-301 and stable disease (n=10) for 11 to 32 weeks. CDX-1140 provided good systemic exposure and resulted in marked changes in the tumor microenvironment.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2021, we provided an update on the ongoing Phase 1 study. Emerging data from the safety run-in cohort of CDX-1140 with gemcitabine/nab-paclitaxel in patients with previously untreated metastatic pancreatic adenocarcinoma and external CD40 agonist data recently reported using the same regimen, suggest that simultaneous treatment with chemotherapy and CD40 activation may not be optimal. Alternative strategies for investigating CDX-1140 in pancreatic cancer in other regimens are being explored, including through investigator sponsored studies. The combination of CDX-1140 with pembrolizumab has completed the safety run-in phase. Expansion cohorts in patients with checkpoint-refractory/resistant squamous cell head and neck cancer and non-small cell lung cancer are enrolling patients. Of the six patients with squamous cell head and neck cancer treated with CDX-1140 at 1.5 mg/kg in combination with pembrolizumab, encouraging preliminary results have been observed including a confirmed partial response and durable stable disease. Of the six evaluable patients with non-small cell lung cancer, four have had stable disease as their best response. Adverse events, such as arthralgia, myalgia and fatigue, have occurred more frequently in combination with pembrolizumab relative to CDX-1140 monotherapy and the protocol has been amended to allow CDX-1140 dose reduction, if necessary, to help manage these toxicities. Enrollment to the study is ongoing.</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CDX-527</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 tumor immunity than the combination of parental monoclonal antibodies.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evaluate the tolerability, and biologic and anti-tumor effects of selected dose level(s) of CDX-527 in specific tumor types. Enrollment to the dose escalation portion of the study has been completed and an expansion cohort in ovarian cancer is enrolling patients.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Interim data were presented at the American Society of Clinical Oncology (ASCO) 2021 Annual Meeting in June that demonstrated a good safety profile along with promising pharmacodynamic and pharmacokinetic activity, which are important key hurdles for the development of bispecific antibodies. As of the data cut-off (April 16, 2021), 11 patients were enrolled in the first 5 dose escalation cohorts, 0.03 mg/kg through 3 mg/kg.CDX-527 was well tolerated, with no dose-limiting toxicities or treatment related serious adverse events observed. Pharmacokinetics and receptor occupancy demonstrate good exposure starting at the 1 mg/kg dose and no evidence of significant anti-drug antibodies impact. Pharmacodynamic parameters demonstrate biological activity consistent with immune activation including: transient increase in pro inflammatory cytokines/chemokines, upregulation of activation marker on T cells and particularly NK cells and a decrease in regulatory T cells.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Partnerships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Collaboration and License Agreements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current clinical drug candidates.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University of Southampton, UK (Southampton)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a license agreement with Southampton, we acquired the rights to develop human antibodies towards CD27, a potentially important target for immunotherapy of various cancers. We may be required to pay Southampton milestones of up to approximately $1.0 million upon obtaining first approval for commercial sale in a first indication and royalty payments in the low-single digits on any net product sales with respect to development and commercialization of CDX-527.</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Amgen Inc. (Amgen)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a license agreement with Amgen, we acquired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Yale University (Yale)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a license agreement with Yale, we may be required to make a one-time payment to Yale of $3.0 million with respect to each therapeutic or prophylactic receptor tyrosine kinase (RTK) royalty-bearing product, including CDX-0159, that achieves a specified commercial milestone. In addition, we may be required to pay a low single-digit royalty on annual worldwide net sales of each RTK royalty-bearing product, including CDX-0159. Unless earlier terminated by us or Yale, the Yale license agreement is due to expire no later than May 2038 but may expire earlier on a country-by-country basis under specified circumstances.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targeted therapies and immune modulators. Some of our competitors possess substantially greater financial, technical and human resources than we do.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competitors of which we are aware that have initiated a Phase 3 study or have obtained marketing approval for a potentially competitive drug to CDX-0159 for treatment of CSU, CIndU or PN include: AstraZeneca, (Fasenra for CSU), Galderma/Chugai (nemolizumab for PN), Genentech (fenebrutinib for CSU), Novartis (ligelizumab for CSU, CIndU and food allergy; LOU064 for CSU), Regeneron/Sanofi (Dupixent for CSU, CIndU and PN), and Trevi Therapeutics (nalbuphine for PN).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also face competition in recruiting and retaining highly qualified scientific personnel and consultants and in the development and acquisition of technologies.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research and development company and have limited experience in commercial manufacturing. Our ability to conduct late-stage clinical trials, as well as manufacture and commercialize our drug candidates, depends on the ability of Contract Manufacturing Organizations (CMOs) to manufacture our drug candidates on a large scale at a competitive cost and in accordance with current Good Manufacturing Practices (cGMP) and U.S. and foreign regulatory requirements, as applicable. We also rely on CMOs for labeling and storage for studies inside and outside the US. In order for us to establish our own commercial manufacturing facility, we would require substantial additional funds and would need to make facility modifications, hire and retain significant additional personnel and comply with cGMP regulations applicable to such a facility. The commercial manufacturing facility would also need to be licensed for the production of our drug candidates by the FDA and meet other regulatory standards. We therefore work with CMOs under established manufacturing arrangements that comply with the FDA’s requirements and other regulatory standards, although there is no assurance that the manufacturing will be successful.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currently manufacture CDX-0159, CDX-1140, CDX-301, CDX-527 and CDX-585 drug substance in our Fall River facility for our current and planned Phase 1 and Phase 2 clinical trials. All products are then filled at CMOs. Any manufacturing failures or compliance issues at contract manufacturers could cause delays in our Phase 1 and Phase 2 clinical studies for these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CDX-0159 drug product is currently administered both intravenously and subcutaneously. In 2022, we will continue to manufacture CDX-0159 at our Fall River facility in subcutaneous form to support ongoing and planned clinical trials. The subcutaneous formulation will allow for a potential self-administration at home setting versus the need for intravenous dosing in a hospital or clinic setting. The subcutaneous form could improve the patient experience if the product becomes available commercially. In 2022, we also plan to initiate a transfer of our current CDX-0159 manufacturing process to a CMO to allow us to produce larger batches in support of late-stage trials and to prepare for potential commercialization. We believe that CDX-0159 can be scaled up to permit manufacturing in commercial quantities. However, there can be no assurance that we will not encounter difficulties in scaling up the manufacturing processes.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Use of third-party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or fail to comply with regulatory requirements,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Organization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 Licenses and Proprietary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Patents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own or license rights under more than 50 granted patents and national and regional patent applications in the U.S. and in major international territories covering inventions relating to our business.The key patents and patent applications owned by us or licensed to us that we consider important to our current clinical programs include the following (the indicated and estimated patent expiry dates are the estimated normal expirations if all maintenance fees and annuities are paid when due, and do not include any possible additional terms for Patent Term Extensions (PTEs) or Supplementary Protection Certificates (SPCs), if these may be secured in due course):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portfolio of patents and patent applications directed to CDX-0159 and other anti-KIT receptor antibodies. These patents and patent applications include claims directed to particular anti-KIT antibody compositions of matter, including CDX-0159 compositions of matter, and methods of using such antibodies. A composition of matter patent has been issued in the U.S. which would have an estimated normal patent expiry date in 2034 (this includes additional term due to Patent Term Adjustment (PTA) but does not include any PTE if this may be secured in due course) and further U.S. patent applications are pending. Patents have also been issued in Europe, Japan, Canada, China, Australia, New Zealand, Israel, the Republic of Korea, the Russian Federation and Singapore, and foreign counterparts are pending in India and certain other countries. If and where issued the foregoing would have estimated normal patent expiry dates ranging from 2032 to 2033 (this does not include any additional term which may arise due to PTAs, SPCs or PTEs if these may be secured in due course).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portfolio of patents and patent applications directed to CDX-1140 and certain other anti-CD40 antibodies. These include claims directed to particular anti-CD40 antibody compositions of matter, including CDX-1140 compositions of matter, and methods of using such antibodies. A composition of matter patent has been issued in the U.S. and patent applications in this portfolio are pending in the U.S., Europe, Japan, Australia, Canada, China, India, New Zealand, Republic of Korea, Russian Federation and certain other countries. If and when issued the foregoing would have estimated normal patent expiry dates in 2037 (this does not include any additional term which may arise due to PTAs, SPCs or PTEs if these may be secured in due course).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portfolio of pending patent applications directed to antibody sequences used in CDX-527. These patent applications include claims directed to particular compositions of matter, including CDX-527 compositions of matter, and methods of use thereof. Patent applications in this portfolio are pending in the U.S., Europe, Japan, Australia, Canada, China, India, New Zealand, Republic of Korea, Russian Federation and certain other countries. If and when issued the foregoing would have estimated normal patent expiry dates in 2039 (this does not include any additional term which may arise due to PTAs, SPCs or PTEs if these may be secured in due course).</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Third parties may have or may obtain valid and enforceable patents or proprietary rights that could block us from developing products using our technology,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patents and pending patent applications in the United States and foreign countries relating to particular receptors, antigens and antigenic fragments targeted by our current drug candidates;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patents and pending patent applications in the United States and foreign countries relating to antibodies targeting certain receptors and other targets including anti-CD27 antibodies, anti-PD-L1 antibodies and certain other antibodies and their sequences and uses.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Licenses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 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Proprietary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FDA Approval Process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process required by the FDA before a drug or biological product may be marketed in the United States generally involves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and formulation studies in compliance with the FDA’s good laboratory practice, or GLP, regulations;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investigational new drug, or IND, application which must become effective before human clinical trials may begin;</w:t>
            </w:r>
          </w:p>
        </w:tc>
      </w:tr>
    </w:tbl>
    <w:tbl>
      <w:tblPr>
        <w:tblW w:w="10011" w:type="dxa"/>
        <w:jc w:val="left"/>
        <w:tblInd w:w="0" w:type="dxa"/>
        <w:tblCellMar>
          <w:top w:w="28" w:type="dxa"/>
          <w:left w:w="28" w:type="dxa"/>
          <w:bottom w:w="28" w:type="dxa"/>
          <w:right w:w="28" w:type="dxa"/>
        </w:tblCellMar>
      </w:tblPr>
      <w:tblGrid>
        <w:gridCol w:w="124"/>
        <w:gridCol w:w="25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or IRB, at each clinical site before each trial may be initiated;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good clinical practices, or GCP, to establish the safety and efficacy of the proposed drug or biological product for each indication;</w:t>
            </w:r>
          </w:p>
        </w:tc>
      </w:tr>
    </w:tbl>
    <w:tbl>
      <w:tblPr>
        <w:tblW w:w="9891" w:type="dxa"/>
        <w:jc w:val="left"/>
        <w:tblInd w:w="0" w:type="dxa"/>
        <w:tblCellMar>
          <w:top w:w="28" w:type="dxa"/>
          <w:left w:w="28" w:type="dxa"/>
          <w:bottom w:w="28" w:type="dxa"/>
          <w:right w:w="28" w:type="dxa"/>
        </w:tblCellMar>
      </w:tblPr>
      <w:tblGrid>
        <w:gridCol w:w="124"/>
        <w:gridCol w:w="256"/>
        <w:gridCol w:w="95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 new drug application, or NDA, or a biologics license application, or BLA, as applicable;</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tc>
      </w:tr>
    </w:tbl>
    <w:tbl>
      <w:tblPr>
        <w:tblW w:w="4251" w:type="dxa"/>
        <w:jc w:val="left"/>
        <w:tblInd w:w="0" w:type="dxa"/>
        <w:tblCellMar>
          <w:top w:w="28" w:type="dxa"/>
          <w:left w:w="28" w:type="dxa"/>
          <w:bottom w:w="28" w:type="dxa"/>
          <w:right w:w="28" w:type="dxa"/>
        </w:tblCellMar>
      </w:tblPr>
      <w:tblGrid>
        <w:gridCol w:w="124"/>
        <w:gridCol w:w="256"/>
        <w:gridCol w:w="3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NDA or BLA.</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expect that all of our clinical drug candidates will be subject to review as biological products under BLA standards.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Clinical Trials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Marketing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Even 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Special Regulatory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Fast track designation — </w:t>
      </w:r>
      <w:r>
        <w:rPr>
          <w:rFonts w:ascii="Times New Roman;Times;serif" w:hAnsi="Times New Roman;Times;serif"/>
          <w:sz w:val="20"/>
        </w:rPr>
        <w:t>The FDA is required to facilitate the development and expedite the review of drugs and biologics that are 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i/>
          <w:sz w:val="20"/>
        </w:rPr>
        <w:t xml:space="preserve">Priority review — </w:t>
      </w:r>
      <w:r>
        <w:rPr>
          <w:rFonts w:ascii="Times New Roman;Times;serif" w:hAnsi="Times New Roman;Times;serif"/>
          <w:sz w:val="20"/>
        </w:rPr>
        <w:t xml:space="preserve">Under FDA policies, a drug candidate may be eligible for priority review. The priority review program provides for expedited review or an NDA or BLA, typically within a six to eight month time frame from the time a complete application is accepted for filing. Products regulated by the FDA’s Center for Drug Evaluation and Research, or CDER, are eligible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Accelerated approval — </w:t>
      </w:r>
      <w:r>
        <w:rPr>
          <w:rFonts w:ascii="Times New Roman;Times;serif" w:hAnsi="Times New Roman;Times;serif"/>
          <w:sz w:val="20"/>
        </w:rPr>
        <w:t>Under the law and the FDA’s accelerated approval regulations, the FDA may approve a drug or biologic 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Breakthrough therapy designation —</w:t>
      </w:r>
      <w:r>
        <w:rPr>
          <w:rFonts w:ascii="Times New Roman;Times;serif" w:hAnsi="Times New Roman;Times;serif"/>
          <w:sz w:val="20"/>
        </w:rPr>
        <w:t xml:space="preserve"> The FDA is also required to expedite the development and review of the application for 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 xml:space="preserve">Orphan drug designation — </w:t>
      </w:r>
      <w:r>
        <w:rPr>
          <w:rFonts w:ascii="Times New Roman;Times;serif" w:hAnsi="Times New Roman;Times;serif"/>
          <w:sz w:val="20"/>
        </w:rPr>
        <w:t>Under the Orphan Drug Act, the FDA may grant orphan drug designation to a drug or biologic intended 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Pediatric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Post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product, complete withdrawal of the product from the market or product recalls;</w:t>
            </w:r>
          </w:p>
        </w:tc>
      </w:tr>
    </w:tbl>
    <w:tbl>
      <w:tblPr>
        <w:tblW w:w="6546" w:type="dxa"/>
        <w:jc w:val="left"/>
        <w:tblInd w:w="0" w:type="dxa"/>
        <w:tblCellMar>
          <w:top w:w="28" w:type="dxa"/>
          <w:left w:w="28" w:type="dxa"/>
          <w:bottom w:w="28" w:type="dxa"/>
          <w:right w:w="28" w:type="dxa"/>
        </w:tblCellMar>
      </w:tblPr>
      <w:tblGrid>
        <w:gridCol w:w="124"/>
        <w:gridCol w:w="256"/>
        <w:gridCol w:w="6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untitled and warning letters or holds on post-approval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product license approvals;</w:t>
            </w:r>
          </w:p>
        </w:tc>
      </w:tr>
    </w:tbl>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products; or</w:t>
            </w:r>
          </w:p>
        </w:tc>
      </w:tr>
    </w:tbl>
    <w:tbl>
      <w:tblPr>
        <w:tblW w:w="6876" w:type="dxa"/>
        <w:jc w:val="left"/>
        <w:tblInd w:w="0" w:type="dxa"/>
        <w:tblCellMar>
          <w:top w:w="28" w:type="dxa"/>
          <w:left w:w="28" w:type="dxa"/>
          <w:bottom w:w="28" w:type="dxa"/>
          <w:right w:w="28" w:type="dxa"/>
        </w:tblCellMar>
      </w:tblPr>
      <w:tblGrid>
        <w:gridCol w:w="124"/>
        <w:gridCol w:w="25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 injunctions or the imposition of civil or criminal prosecution.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Biosimilars Law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Biologics Price Competition and Innovation Act of 2009, or BPCIA, amended the PHSA to provide for an abbreviated approval pathway for biological products that demonstrate biosimilarity to a previously-approved biological product. The BPCIA establishes criteria for determining that a product is biosimilar to an already-licensed biologic, or reference product, and establishes a process by which an abbreviated BLA for a biosimilar product is submitted, reviewed and approved. The BPCIA provides periods of exclusivity that protect a reference product from biosimilars competition. Under the BPCIA, the FDA may not accept a biosimilar application for review until four years after the date of first licensure of the reference product, and the biosimilar may not be licensed until 12 years after the reference product’s approval. Additionally, the BPCIA establishes procedures by which the biosimilar applicant may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 The BPCIA applies to our drug candidates and could be applied to allow approval of biosimilars to our products.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21st Century Cures Act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December 13, 2016, Congress passed the 21st Century Cures Act, or the Cures Act. The Cures Act is designed to modernize and personalize health care, spur innovation and research, and streamline the discovery and development of new therapies through increased federal funding of particular programs. It authorizes increased funding for the FDA to spend on innovation projects, including for certain oncology- directed research. The new law also amends the Public Health Service Act to reauthorize and expand funding for the National Institutes of Health.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Cures Act also authorizes funding for the “Cancer Moonshot” initiative. The Cancer Moonshot initiative’s strategic goals encourage inter-agency cooperation and fund research and 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Companion Diagnostic Review and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drug candidates may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Times New Roman;Times;serif" w:hAnsi="Times New Roman;Times;serif"/>
          <w:i/>
          <w:sz w:val="20"/>
        </w:rPr>
        <w:t>in vitro</w:t>
      </w:r>
      <w:r>
        <w:rPr>
          <w:rFonts w:ascii="Times New Roman;Times;serif" w:hAnsi="Times New Roman;Times;serif"/>
          <w:sz w:val="20"/>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candidates.Currently we rely on third-party collaborators to develop companion diagnostics for our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PMA process is similar to the NDA and BLA processes and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Federal and State Fraud and Abuse, Data Privacy and Security and Transparency Laws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Foreign Regulation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European Medicines Agency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Other Regulatory Processes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From time to time, legislation is drafted, introduced and passed in Congress that could significantly change the statutory provisions governing the testing, approval, manufacturing and marketing of products regulated by the FDA.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Payor Coverage and Reimbursement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containment of health 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 border trade has existed for some time in the EU, allowing pharmacies in one country to import, at a lower price, drug from another country, further exerting pricing pressures across the EU. A proposal to allow importation of less expensive drugs from Canada to the U.S. has been under consideration in U.S. Congress. There can be no assurance that any country that has price controls or reimbursement limitations for drug products will allow favorable reimbursement and pricing arrangements for any of our drugs.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Resources</w:t>
      </w:r>
    </w:p>
    <w:p>
      <w:pPr>
        <w:pStyle w:val="TextBody"/>
        <w:spacing w:before="0" w:after="240"/>
        <w:ind w:left="0" w:right="0" w:firstLine="403"/>
        <w:rPr>
          <w:rFonts w:ascii="Times New Roman;Times;serif" w:hAnsi="Times New Roman;Times;serif"/>
          <w:color w:val="231F20"/>
          <w:sz w:val="20"/>
        </w:rPr>
      </w:pPr>
      <w:r>
        <w:rPr>
          <w:rFonts w:ascii="Times New Roman;Times;serif" w:hAnsi="Times New Roman;Times;serif"/>
          <w:color w:val="231F20"/>
          <w:sz w:val="20"/>
        </w:rPr>
        <w:t>As a mission driven organization, we believe the engagement and dedication of our employees is central to our success and employ talented individuals who have the skills and expertise to help us achieve our goals.</w:t>
      </w:r>
    </w:p>
    <w:p>
      <w:pPr>
        <w:pStyle w:val="TextBody"/>
        <w:spacing w:before="0" w:after="240"/>
        <w:ind w:left="0" w:right="0" w:firstLine="403"/>
        <w:rPr>
          <w:rFonts w:ascii="Times New Roman;Times;serif" w:hAnsi="Times New Roman;Times;serif"/>
          <w:color w:val="231F20"/>
          <w:sz w:val="20"/>
        </w:rPr>
      </w:pPr>
      <w:r>
        <w:rPr>
          <w:rFonts w:ascii="Times New Roman;Times;serif" w:hAnsi="Times New Roman;Times;serif"/>
          <w:color w:val="231F20"/>
          <w:sz w:val="20"/>
        </w:rPr>
        <w:t>As of December 31, 2021, we had 134 employees (132 full-time and 2 part-time), 20 of whom have Ph.D. and/or M.D. degrees. Of these employees, 111 were engaged in or directly support research and development activities. We consider our relationship with our employees to be good.</w:t>
      </w:r>
    </w:p>
    <w:p>
      <w:pPr>
        <w:pStyle w:val="TextBody"/>
        <w:spacing w:before="0" w:after="240"/>
        <w:ind w:left="0" w:right="0" w:firstLine="403"/>
        <w:rPr>
          <w:rFonts w:ascii="Times New Roman;Times;serif" w:hAnsi="Times New Roman;Times;serif"/>
          <w:color w:val="231F20"/>
          <w:sz w:val="20"/>
        </w:rPr>
      </w:pPr>
      <w:r>
        <w:rPr>
          <w:rFonts w:ascii="Times New Roman;Times;serif" w:hAnsi="Times New Roman;Times;serif"/>
          <w:color w:val="231F20"/>
          <w:sz w:val="20"/>
        </w:rPr>
        <w:t>We believe that our success depends in large part on our ability to attract and retain experienced and skilled employees. We endeavor to provide competitive compensation and benefits packages designed to attract, retain and reward talented individuals who possess the skills necessary to support our business objectives, assist in the achievement of our strategic goals and increase stockholder value. We employ a pay for performance philosophy. Annual salary increases, incentive bonuses and stock option grants are available to all employees and are based on merit and include individual and corporate performance factors.</w:t>
      </w:r>
    </w:p>
    <w:p>
      <w:pPr>
        <w:pStyle w:val="TextBody"/>
        <w:spacing w:before="0" w:after="240"/>
        <w:ind w:left="0" w:right="0" w:firstLine="403"/>
        <w:rPr>
          <w:rFonts w:ascii="Times New Roman;Times;serif" w:hAnsi="Times New Roman;Times;serif"/>
          <w:sz w:val="20"/>
        </w:rPr>
      </w:pPr>
      <w:r>
        <w:rPr>
          <w:rFonts w:ascii="Times New Roman;Times;serif" w:hAnsi="Times New Roman;Times;serif"/>
          <w:sz w:val="20"/>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that a diverse workforce brings.</w:t>
      </w:r>
    </w:p>
    <w:p>
      <w:pPr>
        <w:pStyle w:val="TextBody"/>
        <w:spacing w:before="0" w:after="240"/>
        <w:ind w:left="0" w:right="0" w:firstLine="40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health, safety and well-being of our employees at all times. As a result of the COVID-19 pandemic, we have implemented additional safety procedures to protect our employees, including protocols regarding social distancing, use of face masks in our facilities, and measures to reduce total occupancy in our facilities. We continue to follow federal, state and local rules and guidelines to ensure the safety of our workforce and have provided resources to assist our employees in managing their physical and mental health during the pandemic.</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spacing w:before="0" w:after="0"/>
        <w:ind w:left="0" w:right="0" w:firstLine="360"/>
        <w:rPr>
          <w:rFonts w:ascii="Times New Roman;Times;serif" w:hAnsi="Times New Roman;Times;serif"/>
          <w:color w:val="231F20"/>
          <w:sz w:val="20"/>
        </w:rPr>
      </w:pPr>
      <w:r>
        <w:rPr>
          <w:rFonts w:ascii="Times New Roman;Times;serif" w:hAnsi="Times New Roman;Times;serif"/>
          <w:color w:val="231F20"/>
          <w:sz w:val="20"/>
        </w:rPr>
        <w:t xml:space="preserve">We have dedicated a significant portion of our resources to our efforts to develop our drug candidates. We incurred research and development expenses of $53.3 million, $42.5 million and $42.7 million during the years ended December 31, 2021, 2020 and 2019,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color w:val="231F20"/>
          <w:sz w:val="20"/>
        </w:rPr>
      </w:pPr>
      <w:r>
        <w:rPr>
          <w:rFonts w:ascii="Times New Roman;Times;serif" w:hAnsi="Times New Roman;Times;serif"/>
          <w:color w:val="231F20"/>
          <w:sz w:val="20"/>
        </w:rPr>
        <w:t>respectively. We anticipate that a significant portion of our operating expenses will continue to be related to research and development in 2022 as we continue to advance our drug candidates through clinical development.</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and Available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are incorporated in Delaware. Our website is located at </w:t>
      </w:r>
      <w:r>
        <w:rPr>
          <w:rFonts w:ascii="Times New Roman;Times;serif" w:hAnsi="Times New Roman;Times;serif"/>
          <w:i/>
          <w:sz w:val="20"/>
        </w:rPr>
        <w:t>http://www.celldex.com.</w:t>
      </w:r>
      <w:r>
        <w:rPr>
          <w:rFonts w:ascii="Times New Roman;Times;serif" w:hAnsi="Times New Roman;Times;serif"/>
          <w:sz w:val="20"/>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val="false"/>
          <w:caps w:val="false"/>
          <w:smallCaps w:val="false"/>
          <w:sz w:val="20"/>
        </w:rPr>
      </w:pPr>
      <w:bookmarkStart w:id="25" w:name="Item1ARISKFACTORS_59438"/>
      <w:bookmarkStart w:id="26" w:name="_591ae59b_1853_4490_a22f_7a22a35b216b"/>
      <w:bookmarkEnd w:id="25"/>
      <w:bookmarkEnd w:id="26"/>
      <w:r>
        <w:rPr>
          <w:rFonts w:ascii="Times New Roman;Times;serif" w:hAnsi="Times New Roman;Times;serif"/>
          <w:b/>
          <w:i w:val="false"/>
          <w:caps w:val="false"/>
          <w:smallCaps w:val="false"/>
          <w:sz w:val="20"/>
        </w:rPr>
        <w:t>Item 1A. RISK FACTORS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Financial Condition and Capital Requirements</w:t>
      </w:r>
    </w:p>
    <w:tbl>
      <w:tblPr>
        <w:tblW w:w="6186" w:type="dxa"/>
        <w:jc w:val="left"/>
        <w:tblInd w:w="0" w:type="dxa"/>
        <w:tblCellMar>
          <w:top w:w="28" w:type="dxa"/>
          <w:left w:w="28" w:type="dxa"/>
          <w:bottom w:w="28" w:type="dxa"/>
          <w:right w:w="28" w:type="dxa"/>
        </w:tblCellMar>
      </w:tblPr>
      <w:tblGrid>
        <w:gridCol w:w="124"/>
        <w:gridCol w:w="256"/>
        <w:gridCol w:w="5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need for additional capital to fund our operations.</w:t>
            </w:r>
          </w:p>
        </w:tc>
      </w:tr>
    </w:tbl>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Merger Agreement and the acquisition of Kolltan.</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U.S. federal income tax reform.</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Development and Regulatory Approval of Drug Candidates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fund and complete the research and development activities and obtain regulatory approval for our program assets.</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extensive regulatory scrutiny to which we are subject.</w:t>
            </w:r>
          </w:p>
        </w:tc>
      </w:tr>
    </w:tbl>
    <w:tbl>
      <w:tblPr>
        <w:tblW w:w="7716" w:type="dxa"/>
        <w:jc w:val="left"/>
        <w:tblInd w:w="0" w:type="dxa"/>
        <w:tblCellMar>
          <w:top w:w="28" w:type="dxa"/>
          <w:left w:w="28" w:type="dxa"/>
          <w:bottom w:w="28" w:type="dxa"/>
          <w:right w:w="28" w:type="dxa"/>
        </w:tblCellMar>
      </w:tblPr>
      <w:tblGrid>
        <w:gridCol w:w="124"/>
        <w:gridCol w:w="256"/>
        <w:gridCol w:w="73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commence, enroll, manage and complete our clinical trials.</w:t>
            </w:r>
          </w:p>
        </w:tc>
      </w:tr>
    </w:tbl>
    <w:tbl>
      <w:tblPr>
        <w:tblW w:w="8016" w:type="dxa"/>
        <w:jc w:val="left"/>
        <w:tblInd w:w="0" w:type="dxa"/>
        <w:tblCellMar>
          <w:top w:w="28" w:type="dxa"/>
          <w:left w:w="28" w:type="dxa"/>
          <w:bottom w:w="28" w:type="dxa"/>
          <w:right w:w="28"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serious adverse or unacceptable side effects identified related to our drug candidates.</w:t>
            </w:r>
          </w:p>
        </w:tc>
      </w:tr>
    </w:tbl>
    <w:tbl>
      <w:tblPr>
        <w:tblW w:w="8991" w:type="dxa"/>
        <w:jc w:val="left"/>
        <w:tblInd w:w="0" w:type="dxa"/>
        <w:tblCellMar>
          <w:top w:w="28" w:type="dxa"/>
          <w:left w:w="28" w:type="dxa"/>
          <w:bottom w:w="28" w:type="dxa"/>
          <w:right w:w="28" w:type="dxa"/>
        </w:tblCellMar>
      </w:tblPr>
      <w:tblGrid>
        <w:gridCol w:w="124"/>
        <w:gridCol w:w="256"/>
        <w:gridCol w:w="8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collaboration agreements for our lead drug candidates that may not meet our expectations.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Commercialization of Our Drug Candidates</w:t>
      </w:r>
    </w:p>
    <w:tbl>
      <w:tblPr>
        <w:tblW w:w="10146" w:type="dxa"/>
        <w:jc w:val="left"/>
        <w:tblInd w:w="0" w:type="dxa"/>
        <w:tblCellMar>
          <w:top w:w="28" w:type="dxa"/>
          <w:left w:w="28" w:type="dxa"/>
          <w:bottom w:w="28" w:type="dxa"/>
          <w:right w:w="28" w:type="dxa"/>
        </w:tblCellMar>
      </w:tblPr>
      <w:tblGrid>
        <w:gridCol w:w="124"/>
        <w:gridCol w:w="256"/>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delays, difficulties or unanticipated costs in establishing sales, marketing and distribution capabilities.</w:t>
            </w:r>
          </w:p>
        </w:tc>
      </w:tr>
    </w:tbl>
    <w:tbl>
      <w:tblPr>
        <w:tblW w:w="8691" w:type="dxa"/>
        <w:jc w:val="left"/>
        <w:tblInd w:w="0" w:type="dxa"/>
        <w:tblCellMar>
          <w:top w:w="28" w:type="dxa"/>
          <w:left w:w="28" w:type="dxa"/>
          <w:bottom w:w="28" w:type="dxa"/>
          <w:right w:w="28" w:type="dxa"/>
        </w:tblCellMar>
      </w:tblPr>
      <w:tblGrid>
        <w:gridCol w:w="124"/>
        <w:gridCol w:w="256"/>
        <w:gridCol w:w="8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acceptance of our drug candidates by physicians, patients and third-party payors.</w:t>
            </w:r>
          </w:p>
        </w:tc>
      </w:tr>
    </w:tbl>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reimbursement decisions by third-party payors.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including the terms of FDA approval, that could affect the demand for and sales and profitability of any of our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failure to obtain regulatory approvals in foreign jurisdictions and risks related to international operations if we do obtain regulatory approval in foreign jurisdictions.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Reliance on Third Parties</w:t>
      </w:r>
    </w:p>
    <w:tbl>
      <w:tblPr>
        <w:tblW w:w="4116" w:type="dxa"/>
        <w:jc w:val="left"/>
        <w:tblInd w:w="0" w:type="dxa"/>
        <w:tblCellMar>
          <w:top w:w="28" w:type="dxa"/>
          <w:left w:w="28" w:type="dxa"/>
          <w:bottom w:w="28" w:type="dxa"/>
          <w:right w:w="28" w:type="dxa"/>
        </w:tblCellMar>
      </w:tblPr>
      <w:tblGrid>
        <w:gridCol w:w="124"/>
        <w:gridCol w:w="256"/>
        <w:gridCol w:w="3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reliance on third parties.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Business Operations</w:t>
      </w:r>
    </w:p>
    <w:tbl>
      <w:tblPr>
        <w:tblW w:w="3591" w:type="dxa"/>
        <w:jc w:val="left"/>
        <w:tblInd w:w="0" w:type="dxa"/>
        <w:tblCellMar>
          <w:top w:w="28" w:type="dxa"/>
          <w:left w:w="28" w:type="dxa"/>
          <w:bottom w:w="28" w:type="dxa"/>
          <w:right w:w="28" w:type="dxa"/>
        </w:tblCellMar>
      </w:tblPr>
      <w:tblGrid>
        <w:gridCol w:w="124"/>
        <w:gridCol w:w="256"/>
        <w:gridCol w:w="3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strategic transactions.</w:t>
            </w:r>
          </w:p>
        </w:tc>
      </w:tr>
    </w:tbl>
    <w:tbl>
      <w:tblPr>
        <w:tblW w:w="3621" w:type="dxa"/>
        <w:jc w:val="left"/>
        <w:tblInd w:w="0" w:type="dxa"/>
        <w:tblCellMar>
          <w:top w:w="28" w:type="dxa"/>
          <w:left w:w="28" w:type="dxa"/>
          <w:bottom w:w="28" w:type="dxa"/>
          <w:right w:w="28" w:type="dxa"/>
        </w:tblCellMar>
      </w:tblPr>
      <w:tblGrid>
        <w:gridCol w:w="124"/>
        <w:gridCol w:w="256"/>
        <w:gridCol w:w="3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managing our growth.</w:t>
            </w:r>
          </w:p>
        </w:tc>
      </w:tr>
    </w:tbl>
    <w:tbl>
      <w:tblPr>
        <w:tblW w:w="7701" w:type="dxa"/>
        <w:jc w:val="left"/>
        <w:tblInd w:w="0" w:type="dxa"/>
        <w:tblCellMar>
          <w:top w:w="28" w:type="dxa"/>
          <w:left w:w="28" w:type="dxa"/>
          <w:bottom w:w="28" w:type="dxa"/>
          <w:right w:w="28" w:type="dxa"/>
        </w:tblCellMar>
      </w:tblPr>
      <w:tblGrid>
        <w:gridCol w:w="124"/>
        <w:gridCol w:w="256"/>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integrate and modify our technologies to create new drugs.</w:t>
            </w:r>
          </w:p>
        </w:tc>
      </w:tr>
    </w:tbl>
    <w:tbl>
      <w:tblPr>
        <w:tblW w:w="8196" w:type="dxa"/>
        <w:jc w:val="left"/>
        <w:tblInd w:w="0" w:type="dxa"/>
        <w:tblCellMar>
          <w:top w:w="28" w:type="dxa"/>
          <w:left w:w="28" w:type="dxa"/>
          <w:bottom w:w="28" w:type="dxa"/>
          <w:right w:w="28" w:type="dxa"/>
        </w:tblCellMar>
      </w:tblPr>
      <w:tblGrid>
        <w:gridCol w:w="124"/>
        <w:gridCol w:w="256"/>
        <w:gridCol w:w="78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computer systems that we and third parties use and potential security breaches.</w:t>
            </w:r>
          </w:p>
        </w:tc>
      </w:tr>
    </w:tbl>
    <w:tbl>
      <w:tblPr>
        <w:tblW w:w="3486" w:type="dxa"/>
        <w:jc w:val="left"/>
        <w:tblInd w:w="0" w:type="dxa"/>
        <w:tblCellMar>
          <w:top w:w="28" w:type="dxa"/>
          <w:left w:w="28" w:type="dxa"/>
          <w:bottom w:w="28" w:type="dxa"/>
          <w:right w:w="28" w:type="dxa"/>
        </w:tblCellMar>
      </w:tblPr>
      <w:tblGrid>
        <w:gridCol w:w="124"/>
        <w:gridCol w:w="256"/>
        <w:gridCol w:w="3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hazardous materials.</w:t>
            </w:r>
          </w:p>
        </w:tc>
      </w:tr>
    </w:tbl>
    <w:tbl>
      <w:tblPr>
        <w:tblW w:w="3786" w:type="dxa"/>
        <w:jc w:val="left"/>
        <w:tblInd w:w="0" w:type="dxa"/>
        <w:tblCellMar>
          <w:top w:w="28" w:type="dxa"/>
          <w:left w:w="28" w:type="dxa"/>
          <w:bottom w:w="28" w:type="dxa"/>
          <w:right w:w="28" w:type="dxa"/>
        </w:tblCellMar>
      </w:tblPr>
      <w:tblGrid>
        <w:gridCol w:w="124"/>
        <w:gridCol w:w="256"/>
        <w:gridCol w:w="3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product liability claims.</w:t>
            </w:r>
          </w:p>
        </w:tc>
      </w:tr>
    </w:tbl>
    <w:tbl>
      <w:tblPr>
        <w:tblW w:w="5901" w:type="dxa"/>
        <w:jc w:val="left"/>
        <w:tblInd w:w="0" w:type="dxa"/>
        <w:tblCellMar>
          <w:top w:w="28" w:type="dxa"/>
          <w:left w:w="28" w:type="dxa"/>
          <w:bottom w:w="28" w:type="dxa"/>
          <w:right w:w="28" w:type="dxa"/>
        </w:tblCellMar>
      </w:tblPr>
      <w:tblGrid>
        <w:gridCol w:w="124"/>
        <w:gridCol w:w="256"/>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global economy and supply chain disruptions.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Intellectual Property</w:t>
      </w:r>
    </w:p>
    <w:tbl>
      <w:tblPr>
        <w:tblW w:w="3546" w:type="dxa"/>
        <w:jc w:val="left"/>
        <w:tblInd w:w="0" w:type="dxa"/>
        <w:tblCellMar>
          <w:top w:w="28" w:type="dxa"/>
          <w:left w:w="28" w:type="dxa"/>
          <w:bottom w:w="28" w:type="dxa"/>
          <w:right w:w="28" w:type="dxa"/>
        </w:tblCellMar>
      </w:tblPr>
      <w:tblGrid>
        <w:gridCol w:w="124"/>
        <w:gridCol w:w="256"/>
        <w:gridCol w:w="3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intellectual property.</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Regulatory Risks</w:t>
      </w:r>
    </w:p>
    <w:tbl>
      <w:tblPr>
        <w:tblW w:w="5511" w:type="dxa"/>
        <w:jc w:val="left"/>
        <w:tblInd w:w="0" w:type="dxa"/>
        <w:tblCellMar>
          <w:top w:w="28" w:type="dxa"/>
          <w:left w:w="28" w:type="dxa"/>
          <w:bottom w:w="28" w:type="dxa"/>
          <w:right w:w="28" w:type="dxa"/>
        </w:tblCellMar>
      </w:tblPr>
      <w:tblGrid>
        <w:gridCol w:w="124"/>
        <w:gridCol w:w="256"/>
        <w:gridCol w:w="51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regulatory approval process for our drugs.</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product candidate manufacturing or formulation.</w:t>
            </w:r>
          </w:p>
        </w:tc>
      </w:tr>
    </w:tbl>
    <w:tbl>
      <w:tblPr>
        <w:tblW w:w="5256" w:type="dxa"/>
        <w:jc w:val="left"/>
        <w:tblInd w:w="0" w:type="dxa"/>
        <w:tblCellMar>
          <w:top w:w="28" w:type="dxa"/>
          <w:left w:w="28" w:type="dxa"/>
          <w:bottom w:w="28" w:type="dxa"/>
          <w:right w:w="28" w:type="dxa"/>
        </w:tblCellMar>
      </w:tblPr>
      <w:tblGrid>
        <w:gridCol w:w="124"/>
        <w:gridCol w:w="256"/>
        <w:gridCol w:w="4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compliance with laws and regulations.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Capital Stock</w:t>
      </w:r>
    </w:p>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history of losses and uncertainty of future profitability.</w:t>
            </w:r>
          </w:p>
        </w:tc>
      </w:tr>
    </w:tbl>
    <w:tbl>
      <w:tblPr>
        <w:tblW w:w="3651" w:type="dxa"/>
        <w:jc w:val="left"/>
        <w:tblInd w:w="0" w:type="dxa"/>
        <w:tblCellMar>
          <w:top w:w="28" w:type="dxa"/>
          <w:left w:w="28" w:type="dxa"/>
          <w:bottom w:w="28" w:type="dxa"/>
          <w:right w:w="28" w:type="dxa"/>
        </w:tblCellMar>
      </w:tblPr>
      <w:tblGrid>
        <w:gridCol w:w="124"/>
        <w:gridCol w:w="256"/>
        <w:gridCol w:w="3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reverse stock split.</w:t>
            </w:r>
          </w:p>
        </w:tc>
      </w:tr>
    </w:tbl>
    <w:tbl>
      <w:tblPr>
        <w:tblW w:w="4671" w:type="dxa"/>
        <w:jc w:val="left"/>
        <w:tblInd w:w="0" w:type="dxa"/>
        <w:tblCellMar>
          <w:top w:w="28" w:type="dxa"/>
          <w:left w:w="28" w:type="dxa"/>
          <w:bottom w:w="28" w:type="dxa"/>
          <w:right w:w="28" w:type="dxa"/>
        </w:tblCellMar>
      </w:tblPr>
      <w:tblGrid>
        <w:gridCol w:w="124"/>
        <w:gridCol w:w="256"/>
        <w:gridCol w:w="42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relates to the volatility of our common stock.</w:t>
            </w:r>
          </w:p>
        </w:tc>
      </w:tr>
    </w:tbl>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use of our net operating loss carryforwards.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General Risk Factors</w:t>
      </w:r>
    </w:p>
    <w:tbl>
      <w:tblPr>
        <w:tblW w:w="5181" w:type="dxa"/>
        <w:jc w:val="left"/>
        <w:tblInd w:w="0" w:type="dxa"/>
        <w:tblCellMar>
          <w:top w:w="28" w:type="dxa"/>
          <w:left w:w="28" w:type="dxa"/>
          <w:bottom w:w="28" w:type="dxa"/>
          <w:right w:w="28" w:type="dxa"/>
        </w:tblCellMar>
      </w:tblPr>
      <w:tblGrid>
        <w:gridCol w:w="124"/>
        <w:gridCol w:w="256"/>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internal controls over financial reporting.</w:t>
            </w:r>
          </w:p>
        </w:tc>
      </w:tr>
    </w:tbl>
    <w:tbl>
      <w:tblPr>
        <w:tblW w:w="6861" w:type="dxa"/>
        <w:jc w:val="left"/>
        <w:tblInd w:w="0" w:type="dxa"/>
        <w:tblCellMar>
          <w:top w:w="28" w:type="dxa"/>
          <w:left w:w="28" w:type="dxa"/>
          <w:bottom w:w="28" w:type="dxa"/>
          <w:right w:w="28" w:type="dxa"/>
        </w:tblCellMar>
      </w:tblPr>
      <w:tblGrid>
        <w:gridCol w:w="124"/>
        <w:gridCol w:w="256"/>
        <w:gridCol w:w="6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our competitors may develop technologies that make ours obsolete.</w:t>
            </w:r>
          </w:p>
        </w:tc>
      </w:tr>
    </w:tbl>
    <w:tbl>
      <w:tblPr>
        <w:tblW w:w="4446" w:type="dxa"/>
        <w:jc w:val="left"/>
        <w:tblInd w:w="0" w:type="dxa"/>
        <w:tblCellMar>
          <w:top w:w="28" w:type="dxa"/>
          <w:left w:w="28" w:type="dxa"/>
          <w:bottom w:w="28" w:type="dxa"/>
          <w:right w:w="28" w:type="dxa"/>
        </w:tblCellMar>
      </w:tblPr>
      <w:tblGrid>
        <w:gridCol w:w="124"/>
        <w:gridCol w:w="256"/>
        <w:gridCol w:w="4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health epidemics and outbreaks.</w:t>
            </w:r>
          </w:p>
        </w:tc>
      </w:tr>
    </w:tbl>
    <w:tbl>
      <w:tblPr>
        <w:tblW w:w="5421" w:type="dxa"/>
        <w:jc w:val="left"/>
        <w:tblInd w:w="0" w:type="dxa"/>
        <w:tblCellMar>
          <w:top w:w="28" w:type="dxa"/>
          <w:left w:w="28" w:type="dxa"/>
          <w:bottom w:w="28" w:type="dxa"/>
          <w:right w:w="28" w:type="dxa"/>
        </w:tblCellMar>
      </w:tblPr>
      <w:tblGrid>
        <w:gridCol w:w="124"/>
        <w:gridCol w:w="256"/>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loss of our key executives and scientists.</w:t>
            </w:r>
          </w:p>
        </w:tc>
      </w:tr>
    </w:tbl>
    <w:tbl>
      <w:tblPr>
        <w:tblW w:w="7086" w:type="dxa"/>
        <w:jc w:val="left"/>
        <w:tblInd w:w="0" w:type="dxa"/>
        <w:tblCellMar>
          <w:top w:w="28" w:type="dxa"/>
          <w:left w:w="28" w:type="dxa"/>
          <w:bottom w:w="28" w:type="dxa"/>
          <w:right w:w="28" w:type="dxa"/>
        </w:tblCellMar>
      </w:tblPr>
      <w:tblGrid>
        <w:gridCol w:w="124"/>
        <w:gridCol w:w="25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our employees may engage in misconduct or other improper activities.</w:t>
            </w:r>
          </w:p>
        </w:tc>
      </w:tr>
    </w:tbl>
    <w:tbl>
      <w:tblPr>
        <w:tblW w:w="5631" w:type="dxa"/>
        <w:jc w:val="left"/>
        <w:tblInd w:w="0" w:type="dxa"/>
        <w:tblCellMar>
          <w:top w:w="28" w:type="dxa"/>
          <w:left w:w="28" w:type="dxa"/>
          <w:bottom w:w="28" w:type="dxa"/>
          <w:right w:w="28" w:type="dxa"/>
        </w:tblCellMar>
      </w:tblPr>
      <w:tblGrid>
        <w:gridCol w:w="124"/>
        <w:gridCol w:w="256"/>
        <w:gridCol w:w="5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compliance with the Nasdaq Listing Rules.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Financial Condition and Capital Requirements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currently have no product revenue and will need to raise capital to operate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 date, we have generated no product revenue and cannot predict when and if we will generate product revenue. We had an accumulated deficit of $1.1 billion as of December 31, 2021.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expect to incur future losses and we may never become profitable.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incurred operating losses of $71.2 million, $63.4 million and $55.0 million during 2021, 2020 and 2019, respectively, and expect to incur an operating loss in 2022 and beyond. We believe that operating losses will continue in 2022 and beyond because we are planning to incur significant costs associated with the development of our drug candidates. During the years ended December 31, 2021, 2020 and 2019, we incurred $8.0 million, $4.9 million and $4.3 million in clinical trial expense and $1.7 million, $1.2 million and $0.6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expect to incur significant costs as we develop our drug candidates. The continuing development and commercialization of our drug candidates requires additional capital beyond our current resources. As of December 31, 2021, we had cash, cash equivalents and marketable securities of $408.3 million. During the next twelve months and beyond, we will take further steps to raise additional capital to fund our long-term liquidity needs. Our capital raising activities may include, but may not be limited to, one or more of the following:</w:t>
      </w:r>
    </w:p>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of drug candidates with existing or new collaborative partners;</w:t>
            </w:r>
          </w:p>
        </w:tc>
      </w:tr>
    </w:tbl>
    <w:tbl>
      <w:tblPr>
        <w:tblW w:w="3156" w:type="dxa"/>
        <w:jc w:val="left"/>
        <w:tblInd w:w="0" w:type="dxa"/>
        <w:tblCellMar>
          <w:top w:w="28" w:type="dxa"/>
          <w:left w:w="28" w:type="dxa"/>
          <w:bottom w:w="28" w:type="dxa"/>
          <w:right w:w="28" w:type="dxa"/>
        </w:tblCellMar>
      </w:tblPr>
      <w:tblGrid>
        <w:gridCol w:w="124"/>
        <w:gridCol w:w="256"/>
        <w:gridCol w:w="2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business combinations;</w:t>
            </w:r>
          </w:p>
        </w:tc>
      </w:tr>
    </w:tbl>
    <w:tbl>
      <w:tblPr>
        <w:tblW w:w="2106" w:type="dxa"/>
        <w:jc w:val="left"/>
        <w:tblInd w:w="0" w:type="dxa"/>
        <w:tblCellMar>
          <w:top w:w="28" w:type="dxa"/>
          <w:left w:w="28" w:type="dxa"/>
          <w:bottom w:w="28" w:type="dxa"/>
          <w:right w:w="28" w:type="dxa"/>
        </w:tblCellMar>
      </w:tblPr>
      <w:tblGrid>
        <w:gridCol w:w="124"/>
        <w:gridCol w:w="256"/>
        <w:gridCol w:w="1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debt; or</w:t>
            </w:r>
          </w:p>
        </w:tc>
      </w:tr>
    </w:tbl>
    <w:tbl>
      <w:tblPr>
        <w:tblW w:w="7611" w:type="dxa"/>
        <w:jc w:val="left"/>
        <w:tblInd w:w="0" w:type="dxa"/>
        <w:tblCellMar>
          <w:top w:w="28" w:type="dxa"/>
          <w:left w:w="28" w:type="dxa"/>
          <w:bottom w:w="28" w:type="dxa"/>
          <w:right w:w="28" w:type="dxa"/>
        </w:tblCellMar>
      </w:tblPr>
      <w:tblGrid>
        <w:gridCol w:w="124"/>
        <w:gridCol w:w="256"/>
        <w:gridCol w:w="7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or other securities via private placements or public offerings.</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merger agreement between us and Kolltan (“Merger Agreement”) provides that we will be required to pay Kolltan’s former stockholders contingent consideration in the form of development, regulatory approval and sales-based milestones (“Kolltan Milestones”) of up to $172.5 million. Certain Kolltan Milestones related to the METRIC clinical study, TAM partnership closing within two years of the acquisition, CDX-3379 and CDX-0158 have been abandoned. We previously sent abandonment notices to the representative of Kolltan’s former stockholders, Shareholder Representative Services LLC (“SRS”), with respect to each of the abandoned Kolltan Milestones, and the representative subsequently objected to the abandonment notices for CDX-3379 and CDX-0158. We disagree with their objection and believe their objection to be without merit.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filed a Verified Complaint in the Court of Chancery of the State of Delaware against SRS seeking declaratory relief with respect to the rights and obligations of the parties relating to certain contingent milestone payments under the Merger Agreement. In SRS’ responsive Answer and Verified Counterclaim, SRS made claims of breach of contract with respect to the Merger Agreement, breach of implied covenant of good faith and fair dealing, declaratory relief, and unjust enrichment regarding abandonment of the CDX-0158 milestones. At this time, we are unable to reasonably assess the ultimate outcome of our litigation with the representative of Kolltan’s former stockholders over its objection to our abandonment of certain Kolltan Milestones or determine an estimate of potential losses, if any. Further, there are disagreements between that representative and us with respect to our abandonment notice related to the discontinued CDX-3379 program. The case remains ongoing and we are currently unable to predict or estimate the outcome of this matter. The case is currently scheduled for trial in June 2022. The parties entered into non-binding mediation in May 2021 following SRS’s approach to Celldex about its interest in settlement or mediation discussions, but those discussions did not result in a resolution of the dispute. As of December 31, 2021, we believe we may be required to make milestone payments in an amount of up to $107.5 million. If we elect to issue shares of our common stock to make these milestone payments, you will experience further dilution.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Milestone payments under the Merger Agreement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pay the Kolltan Milestones in shares of our common stock, our stockholders would experience substantial dilution.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 federal income tax reform could adversely affect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March 27, 2020, in response to COVID-19, the Coronavirus Aid, Relief, and Economic Security Act (the “CARES Act”) was enacted. The CARES Act modified the Tax Cuts and Jobs Act (“TCJA”) by, among other things, eliminating the limitation on the deduction of net operating losses to 80% of current year taxable income for tax years beginning before January 1, 2021, and increasing the amount of interest expense that may be deducted from 30% to 50% of adjusted taxable income for tax years beginning in 2019 or 2020. We continue to examine the impact of this tax reform legislation, as well as any additional regulatory guidance that may be issued, may have on our business. For example, the recent change of administration could result in additional tax legislative activity that could have a material adverse effect on the Company.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Development and Regulatory Approval of Drug Candidates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long term success depends heavily on our ability to fund and complete the research and development activities and obtain regulatory approval for our program assets.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Only a small minority of all research and development programs ultimately result in commercially successful drugs. Clinical failure can occur at any stage of clinical development. Clinical trials may produce negative or inconclusive results, and we may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drug candidates are subject to extensive regulatory scrutiny.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drug candidates do not pass required tests for safety and effectiveness, we will not be able to obtain regulatory approval and derive commercial revenue from them.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results of preclinical studies and early clinical trials may not be predictive of the results of later- 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Product testing is critical to the success of our drug candidates but subject to delay or cancellation if we have difficulty enrolling patients.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tbl>
      <w:tblPr>
        <w:tblW w:w="2901" w:type="dxa"/>
        <w:jc w:val="left"/>
        <w:tblInd w:w="0" w:type="dxa"/>
        <w:tblCellMar>
          <w:top w:w="28" w:type="dxa"/>
          <w:left w:w="28" w:type="dxa"/>
          <w:bottom w:w="28" w:type="dxa"/>
          <w:right w:w="28" w:type="dxa"/>
        </w:tblCellMar>
      </w:tblPr>
      <w:tblGrid>
        <w:gridCol w:w="124"/>
        <w:gridCol w:w="256"/>
        <w:gridCol w:w="2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clinical test;</w:t>
            </w:r>
          </w:p>
        </w:tc>
      </w:tr>
    </w:tbl>
    <w:tbl>
      <w:tblPr>
        <w:tblW w:w="3276" w:type="dxa"/>
        <w:jc w:val="left"/>
        <w:tblInd w:w="0" w:type="dxa"/>
        <w:tblCellMar>
          <w:top w:w="28" w:type="dxa"/>
          <w:left w:w="28" w:type="dxa"/>
          <w:bottom w:w="28" w:type="dxa"/>
          <w:right w:w="28" w:type="dxa"/>
        </w:tblCellMar>
      </w:tblPr>
      <w:tblGrid>
        <w:gridCol w:w="124"/>
        <w:gridCol w:w="256"/>
        <w:gridCol w:w="2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patient population;</w:t>
            </w:r>
          </w:p>
        </w:tc>
      </w:tr>
    </w:tbl>
    <w:tbl>
      <w:tblPr>
        <w:tblW w:w="9081" w:type="dxa"/>
        <w:jc w:val="left"/>
        <w:tblInd w:w="0" w:type="dxa"/>
        <w:tblCellMar>
          <w:top w:w="28" w:type="dxa"/>
          <w:left w:w="28" w:type="dxa"/>
          <w:bottom w:w="28" w:type="dxa"/>
          <w:right w:w="28" w:type="dxa"/>
        </w:tblCellMar>
      </w:tblPr>
      <w:tblGrid>
        <w:gridCol w:w="124"/>
        <w:gridCol w:w="256"/>
        <w:gridCol w:w="87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willingness to receive a placebo or less effective treatment on the control arm of a clinical study;</w:t>
            </w:r>
          </w:p>
        </w:tc>
      </w:tr>
    </w:tbl>
    <w:tbl>
      <w:tblPr>
        <w:tblW w:w="5061" w:type="dxa"/>
        <w:jc w:val="left"/>
        <w:tblInd w:w="0" w:type="dxa"/>
        <w:tblCellMar>
          <w:top w:w="28" w:type="dxa"/>
          <w:left w:w="28" w:type="dxa"/>
          <w:bottom w:w="28" w:type="dxa"/>
          <w:right w:w="28" w:type="dxa"/>
        </w:tblCellMar>
      </w:tblPr>
      <w:tblGrid>
        <w:gridCol w:w="124"/>
        <w:gridCol w:w="256"/>
        <w:gridCol w:w="4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distance between patients and clinical test sites; and</w:t>
            </w:r>
          </w:p>
        </w:tc>
      </w:tr>
    </w:tbl>
    <w:tbl>
      <w:tblPr>
        <w:tblW w:w="3261" w:type="dxa"/>
        <w:jc w:val="left"/>
        <w:tblInd w:w="0" w:type="dxa"/>
        <w:tblCellMar>
          <w:top w:w="28" w:type="dxa"/>
          <w:left w:w="28" w:type="dxa"/>
          <w:bottom w:w="28" w:type="dxa"/>
          <w:right w:w="28" w:type="dxa"/>
        </w:tblCellMar>
      </w:tblPr>
      <w:tblGrid>
        <w:gridCol w:w="124"/>
        <w:gridCol w:w="256"/>
        <w:gridCol w:w="2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trial.</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cannot enroll patients as needed, our costs may increase, or we may be forced to delay or terminate testing for a product.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have delays in commencing, enrolling and completing our clinical trials, and we may not complete them at all.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not completed the clinical trials necessary to obtain FDA approval to market any of our drug candidates in development. Clinical trials for our products in development may be delayed or terminated as a result of many factors, including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reach agreements on acceptable terms with prospective contract research organizations (CROs) and trial sites, the terms of which can be subject to extensive negotiation and may vary significantly among different CROs and trial sites;</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enrolling patients in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necessary supplies of study drug and comparator to maintain predicted enrollment rates at clinical trial sites;</w:t>
            </w:r>
          </w:p>
        </w:tc>
      </w:tr>
    </w:tbl>
    <w:tbl>
      <w:tblPr>
        <w:tblW w:w="9531" w:type="dxa"/>
        <w:jc w:val="left"/>
        <w:tblInd w:w="0" w:type="dxa"/>
        <w:tblCellMar>
          <w:top w:w="28" w:type="dxa"/>
          <w:left w:w="28" w:type="dxa"/>
          <w:bottom w:w="28" w:type="dxa"/>
          <w:right w:w="28" w:type="dxa"/>
        </w:tblCellMar>
      </w:tblPr>
      <w:tblGrid>
        <w:gridCol w:w="124"/>
        <w:gridCol w:w="256"/>
        <w:gridCol w:w="9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failing to complete clinical trials due to dissatisfaction with the treatment, side effects or other reasons;</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regulators to authorize us to commence a clinical trial;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termination by regulators of clinical research for many reasons, including concerns about patient safety, bias or failure of our contract manufacturers to comply with cGMP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 to obtain clinical supply for our products necessary to conduct clinical trials from contract manufacturers, including commercial grade-clinical supply for our Phase 3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identify and maintain a sufficient number of trial sites, many of which may already be engaged in other clinical trial programs, including some that may be for the same indication as our product candidates;</w:t>
            </w:r>
          </w:p>
        </w:tc>
      </w:tr>
    </w:tbl>
    <w:tbl>
      <w:tblPr>
        <w:tblW w:w="6216" w:type="dxa"/>
        <w:jc w:val="left"/>
        <w:tblInd w:w="0" w:type="dxa"/>
        <w:tblCellMar>
          <w:top w:w="28" w:type="dxa"/>
          <w:left w:w="28" w:type="dxa"/>
          <w:bottom w:w="28" w:type="dxa"/>
          <w:right w:w="28" w:type="dxa"/>
        </w:tblCellMar>
      </w:tblPr>
      <w:tblGrid>
        <w:gridCol w:w="124"/>
        <w:gridCol w:w="256"/>
        <w:gridCol w:w="5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candidates demonstrating a lack of efficacy during clinical trials;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596" w:type="dxa"/>
        <w:jc w:val="left"/>
        <w:tblInd w:w="0" w:type="dxa"/>
        <w:tblCellMar>
          <w:top w:w="28" w:type="dxa"/>
          <w:left w:w="28" w:type="dxa"/>
          <w:bottom w:w="28" w:type="dxa"/>
          <w:right w:w="28" w:type="dxa"/>
        </w:tblCellMar>
      </w:tblPr>
      <w:tblGrid>
        <w:gridCol w:w="124"/>
        <w:gridCol w:w="256"/>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continue to fund clinical trials or to find a partner to fund the clinical trials;</w:t>
            </w:r>
          </w:p>
        </w:tc>
      </w:tr>
    </w:tbl>
    <w:tbl>
      <w:tblPr>
        <w:tblW w:w="8556" w:type="dxa"/>
        <w:jc w:val="left"/>
        <w:tblInd w:w="0" w:type="dxa"/>
        <w:tblCellMar>
          <w:top w:w="28" w:type="dxa"/>
          <w:left w:w="28" w:type="dxa"/>
          <w:bottom w:w="28" w:type="dxa"/>
          <w:right w:w="28" w:type="dxa"/>
        </w:tblCellMar>
      </w:tblPr>
      <w:tblGrid>
        <w:gridCol w:w="124"/>
        <w:gridCol w:w="256"/>
        <w:gridCol w:w="8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ongoing clinical trials and scheduling conflicts with participating clinicians; and</w:t>
            </w:r>
          </w:p>
        </w:tc>
      </w:tr>
    </w:tbl>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completing data collection and analysis for clinical trials.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serious adverse or unacceptable side effects are identified during the development of our drug candidates, we may need to abandon or limit our development of some of our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other marketed therapies. In addition, when used in combination with other marketed therapies, our drug candidates may exacerbate adverse events associated with the marketed therapy.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expend our resources to pursue a particular drug candidate or indication and forgo the opportunity to capitalize on drug candidates or indications that may ultimately be more profitable or for which there is a greater likelihood of success.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unable to manage multiple late-stage clinical trials for a variety of drug candidates simultaneously.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Failure to successfully validate, develop and obtain regulatory approval for companion diagnostics for our drug candidates, if needed, could harm our drug development strategy and operational results.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delay in obtaining regulatory approval would have an adverse impact on our ability to earn future revenues.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Commercialization of Our Drug Candidates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face delays, difficulties or unanticipated costs in establishing sales, marketing and distribution capabilities or seeking a partnership for the commercialization of our drug candidates, even if regulatory approval is obtained.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 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drug candidates for which we obtain regulatory approval do not achieve broad acceptance from physicians, patients and third-party payors, we may be unable to generate significant revenues, if any.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tbl>
      <w:tblPr>
        <w:tblW w:w="6186" w:type="dxa"/>
        <w:jc w:val="left"/>
        <w:tblInd w:w="0" w:type="dxa"/>
        <w:tblCellMar>
          <w:top w:w="28" w:type="dxa"/>
          <w:left w:w="28" w:type="dxa"/>
          <w:bottom w:w="28" w:type="dxa"/>
          <w:right w:w="28" w:type="dxa"/>
        </w:tblCellMar>
      </w:tblPr>
      <w:tblGrid>
        <w:gridCol w:w="124"/>
        <w:gridCol w:w="256"/>
        <w:gridCol w:w="5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a drug’s FDA-approved labeling;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or the availability of alternative drugs for the targeted indications for any of our drug candidates;</w:t>
            </w:r>
          </w:p>
        </w:tc>
      </w:tr>
    </w:tbl>
    <w:tbl>
      <w:tblPr>
        <w:tblW w:w="5676" w:type="dxa"/>
        <w:jc w:val="left"/>
        <w:tblInd w:w="0" w:type="dxa"/>
        <w:tblCellMar>
          <w:top w:w="28" w:type="dxa"/>
          <w:left w:w="28" w:type="dxa"/>
          <w:bottom w:w="28" w:type="dxa"/>
          <w:right w:w="28" w:type="dxa"/>
        </w:tblCellMar>
      </w:tblPr>
      <w:tblGrid>
        <w:gridCol w:w="124"/>
        <w:gridCol w:w="256"/>
        <w:gridCol w:w="52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the approved indications for our drug candidates;</w:t>
            </w:r>
          </w:p>
        </w:tc>
      </w:tr>
    </w:tbl>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availability, market acceptance and reimbursement for the companion diagnostic, where applicable;</w:t>
            </w:r>
          </w:p>
        </w:tc>
      </w:tr>
    </w:tbl>
    <w:tbl>
      <w:tblPr>
        <w:tblW w:w="5916" w:type="dxa"/>
        <w:jc w:val="left"/>
        <w:tblInd w:w="0" w:type="dxa"/>
        <w:tblCellMar>
          <w:top w:w="28" w:type="dxa"/>
          <w:left w:w="28" w:type="dxa"/>
          <w:bottom w:w="28" w:type="dxa"/>
          <w:right w:w="28" w:type="dxa"/>
        </w:tblCellMar>
      </w:tblPr>
      <w:tblGrid>
        <w:gridCol w:w="124"/>
        <w:gridCol w:w="256"/>
        <w:gridCol w:w="5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demonstrated clinical safety and efficacy compared to other drugs;</w:t>
            </w:r>
          </w:p>
        </w:tc>
      </w:tr>
    </w:tbl>
    <w:tbl>
      <w:tblPr>
        <w:tblW w:w="3066" w:type="dxa"/>
        <w:jc w:val="left"/>
        <w:tblInd w:w="0" w:type="dxa"/>
        <w:tblCellMar>
          <w:top w:w="28" w:type="dxa"/>
          <w:left w:w="28" w:type="dxa"/>
          <w:bottom w:w="28" w:type="dxa"/>
          <w:right w:w="28" w:type="dxa"/>
        </w:tblCellMar>
      </w:tblPr>
      <w:tblGrid>
        <w:gridCol w:w="124"/>
        <w:gridCol w:w="256"/>
        <w:gridCol w:w="2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adverse side effects;</w:t>
            </w:r>
          </w:p>
        </w:tc>
      </w:tr>
    </w:tbl>
    <w:tbl>
      <w:tblPr>
        <w:tblW w:w="6111" w:type="dxa"/>
        <w:jc w:val="left"/>
        <w:tblInd w:w="0" w:type="dxa"/>
        <w:tblCellMar>
          <w:top w:w="28" w:type="dxa"/>
          <w:left w:w="28" w:type="dxa"/>
          <w:bottom w:w="28" w:type="dxa"/>
          <w:right w:w="28" w:type="dxa"/>
        </w:tblCellMar>
      </w:tblPr>
      <w:tblGrid>
        <w:gridCol w:w="124"/>
        <w:gridCol w:w="256"/>
        <w:gridCol w:w="5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education, sales, marketing and distribution support;</w:t>
            </w:r>
          </w:p>
        </w:tc>
      </w:tr>
    </w:tbl>
    <w:tbl>
      <w:tblPr>
        <w:tblW w:w="7011" w:type="dxa"/>
        <w:jc w:val="left"/>
        <w:tblInd w:w="0" w:type="dxa"/>
        <w:tblCellMar>
          <w:top w:w="28" w:type="dxa"/>
          <w:left w:w="28" w:type="dxa"/>
          <w:bottom w:w="28" w:type="dxa"/>
          <w:right w:w="28" w:type="dxa"/>
        </w:tblCellMar>
      </w:tblPr>
      <w:tblGrid>
        <w:gridCol w:w="124"/>
        <w:gridCol w:w="256"/>
        <w:gridCol w:w="6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introduction and perceived effectiveness of competitive drugs;</w:t>
            </w:r>
          </w:p>
        </w:tc>
      </w:tr>
    </w:tbl>
    <w:tbl>
      <w:tblPr>
        <w:tblW w:w="2031" w:type="dxa"/>
        <w:jc w:val="left"/>
        <w:tblInd w:w="0" w:type="dxa"/>
        <w:tblCellMar>
          <w:top w:w="28" w:type="dxa"/>
          <w:left w:w="28" w:type="dxa"/>
          <w:bottom w:w="28" w:type="dxa"/>
          <w:right w:w="28" w:type="dxa"/>
        </w:tblCellMar>
      </w:tblPr>
      <w:tblGrid>
        <w:gridCol w:w="124"/>
        <w:gridCol w:w="256"/>
        <w:gridCol w:w="1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cost-effectiveness;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001" w:type="dxa"/>
        <w:jc w:val="left"/>
        <w:tblInd w:w="0" w:type="dxa"/>
        <w:tblCellMar>
          <w:top w:w="28" w:type="dxa"/>
          <w:left w:w="28" w:type="dxa"/>
          <w:bottom w:w="28" w:type="dxa"/>
          <w:right w:w="28" w:type="dxa"/>
        </w:tblCellMar>
      </w:tblPr>
      <w:tblGrid>
        <w:gridCol w:w="124"/>
        <w:gridCol w:w="25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about our drug candidates or favorable publicity about competitive drugs;</w:t>
            </w:r>
          </w:p>
        </w:tc>
      </w:tr>
    </w:tbl>
    <w:tbl>
      <w:tblPr>
        <w:tblW w:w="6006" w:type="dxa"/>
        <w:jc w:val="left"/>
        <w:tblInd w:w="0" w:type="dxa"/>
        <w:tblCellMar>
          <w:top w:w="28" w:type="dxa"/>
          <w:left w:w="28" w:type="dxa"/>
          <w:bottom w:w="28" w:type="dxa"/>
          <w:right w:w="28" w:type="dxa"/>
        </w:tblCellMar>
      </w:tblPr>
      <w:tblGrid>
        <w:gridCol w:w="124"/>
        <w:gridCol w:w="256"/>
        <w:gridCol w:w="5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convenience and ease of administration of our drug candidates; and</w:t>
            </w:r>
          </w:p>
        </w:tc>
      </w:tr>
    </w:tbl>
    <w:tbl>
      <w:tblPr>
        <w:tblW w:w="7071" w:type="dxa"/>
        <w:jc w:val="left"/>
        <w:tblInd w:w="0" w:type="dxa"/>
        <w:tblCellMar>
          <w:top w:w="28" w:type="dxa"/>
          <w:left w:w="28" w:type="dxa"/>
          <w:bottom w:w="28" w:type="dxa"/>
          <w:right w:w="28" w:type="dxa"/>
        </w:tblCellMar>
      </w:tblPr>
      <w:tblGrid>
        <w:gridCol w:w="124"/>
        <w:gridCol w:w="256"/>
        <w:gridCol w:w="6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willingness of third-party payors to reimburse for the cost of our drug candidates.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our future drugs fail to achieve market acceptance, we will not be able to generate significant revenues and may never achieve profitability.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Even if any of our drug candidates receive FDA approval, the terms of the approval may limit such drug’s commercial potential. Additionally, even after receipt of FDA approval, such drug would be subject to substantial, ongoing regulatory requirements.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tbl>
      <w:tblPr>
        <w:tblW w:w="1791" w:type="dxa"/>
        <w:jc w:val="left"/>
        <w:tblInd w:w="0" w:type="dxa"/>
        <w:tblCellMar>
          <w:top w:w="28" w:type="dxa"/>
          <w:left w:w="28" w:type="dxa"/>
          <w:bottom w:w="28" w:type="dxa"/>
          <w:right w:w="28" w:type="dxa"/>
        </w:tblCellMar>
      </w:tblPr>
      <w:tblGrid>
        <w:gridCol w:w="124"/>
        <w:gridCol w:w="256"/>
        <w:gridCol w:w="1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w:t>
            </w:r>
          </w:p>
        </w:tc>
      </w:tr>
    </w:tbl>
    <w:tbl>
      <w:tblPr>
        <w:tblW w:w="3456" w:type="dxa"/>
        <w:jc w:val="left"/>
        <w:tblInd w:w="0" w:type="dxa"/>
        <w:tblCellMar>
          <w:top w:w="28" w:type="dxa"/>
          <w:left w:w="28" w:type="dxa"/>
          <w:bottom w:w="28" w:type="dxa"/>
          <w:right w:w="28" w:type="dxa"/>
        </w:tblCellMar>
      </w:tblPr>
      <w:tblGrid>
        <w:gridCol w:w="124"/>
        <w:gridCol w:w="256"/>
        <w:gridCol w:w="3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or criminal penalties and fines;</w:t>
            </w:r>
          </w:p>
        </w:tc>
      </w:tr>
    </w:tbl>
    <w:tbl>
      <w:tblPr>
        <w:tblW w:w="1521" w:type="dxa"/>
        <w:jc w:val="left"/>
        <w:tblInd w:w="0" w:type="dxa"/>
        <w:tblCellMar>
          <w:top w:w="28" w:type="dxa"/>
          <w:left w:w="28" w:type="dxa"/>
          <w:bottom w:w="28" w:type="dxa"/>
          <w:right w:w="28" w:type="dxa"/>
        </w:tblCellMar>
      </w:tblPr>
      <w:tblGrid>
        <w:gridCol w:w="124"/>
        <w:gridCol w:w="256"/>
        <w:gridCol w:w="1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w:t>
            </w:r>
          </w:p>
        </w:tc>
      </w:tr>
    </w:tbl>
    <w:tbl>
      <w:tblPr>
        <w:tblW w:w="1866" w:type="dxa"/>
        <w:jc w:val="left"/>
        <w:tblInd w:w="0" w:type="dxa"/>
        <w:tblCellMar>
          <w:top w:w="28" w:type="dxa"/>
          <w:left w:w="28" w:type="dxa"/>
          <w:bottom w:w="28" w:type="dxa"/>
          <w:right w:w="28" w:type="dxa"/>
        </w:tblCellMar>
      </w:tblPr>
      <w:tblGrid>
        <w:gridCol w:w="124"/>
        <w:gridCol w:w="256"/>
        <w:gridCol w:w="1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w:t>
            </w:r>
          </w:p>
        </w:tc>
      </w:tr>
    </w:tbl>
    <w:tbl>
      <w:tblPr>
        <w:tblW w:w="4506" w:type="dxa"/>
        <w:jc w:val="left"/>
        <w:tblInd w:w="0" w:type="dxa"/>
        <w:tblCellMar>
          <w:top w:w="28" w:type="dxa"/>
          <w:left w:w="28" w:type="dxa"/>
          <w:bottom w:w="28" w:type="dxa"/>
          <w:right w:w="28" w:type="dxa"/>
        </w:tblCellMar>
      </w:tblPr>
      <w:tblGrid>
        <w:gridCol w:w="124"/>
        <w:gridCol w:w="256"/>
        <w:gridCol w:w="4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regulatory approval;</w:t>
            </w:r>
          </w:p>
        </w:tc>
      </w:tr>
    </w:tbl>
    <w:tbl>
      <w:tblPr>
        <w:tblW w:w="4056" w:type="dxa"/>
        <w:jc w:val="left"/>
        <w:tblInd w:w="0" w:type="dxa"/>
        <w:tblCellMar>
          <w:top w:w="28" w:type="dxa"/>
          <w:left w:w="28" w:type="dxa"/>
          <w:bottom w:w="28" w:type="dxa"/>
          <w:right w:w="28" w:type="dxa"/>
        </w:tblCellMar>
      </w:tblPr>
      <w:tblGrid>
        <w:gridCol w:w="124"/>
        <w:gridCol w:w="256"/>
        <w:gridCol w:w="3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any ongoing clinical studies;</w:t>
            </w:r>
          </w:p>
        </w:tc>
      </w:tr>
    </w:tbl>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or mandatory product recalls and publicity requirements;</w:t>
            </w:r>
          </w:p>
        </w:tc>
      </w:tr>
    </w:tbl>
    <w:tbl>
      <w:tblPr>
        <w:tblW w:w="6861" w:type="dxa"/>
        <w:jc w:val="left"/>
        <w:tblInd w:w="0" w:type="dxa"/>
        <w:tblCellMar>
          <w:top w:w="28" w:type="dxa"/>
          <w:left w:w="28" w:type="dxa"/>
          <w:bottom w:w="28" w:type="dxa"/>
          <w:right w:w="28" w:type="dxa"/>
        </w:tblCellMar>
      </w:tblPr>
      <w:tblGrid>
        <w:gridCol w:w="124"/>
        <w:gridCol w:w="256"/>
        <w:gridCol w:w="6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accept or approve applications for marketing approval of new drugs;</w:t>
            </w:r>
          </w:p>
        </w:tc>
      </w:tr>
    </w:tbl>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operations, including costly new manufacturing requirements; or</w:t>
            </w:r>
          </w:p>
        </w:tc>
      </w:tr>
    </w:tbl>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seizure or detention of drugs or import bans.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Reimbursement decisions by third-party payors may have an adverse effect on pricing and market acceptance of any of our drug candidates. If there is not sufficient reimbursement for our future drugs, it is less likely that such drugs will be widely used.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be certain that reimbursement will be available for any drug candidates that we develop.Also,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factors could affect the demand for and sales and profitability of any drug candidates that we may commercialize in the future.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general, other factors that could affect the demand for and sales and profitability of our future drugs include, but are not limited to:</w:t>
      </w:r>
    </w:p>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regulatory approval, if any, of competitive drugs;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 any other of our partners’ pricing decisions, as applicable, including a decision to increase or decrease the price of a drug, and the pricing decisions of our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and third-party payor reimbursement and coverage decisions that affect the utilization of our future drugs and competing drugs;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safety or efficacy data from new clinical studies conducted either in the U.S. or internationally by any party, which could cause the sales of our future drugs to decrease or a future drug to be recalled;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patent protection afforded our future drugs by patents granted to or licensed by us and by the outcome of litigation involving our or any of our licensor’s patents;</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exclusivity, if any, awarded by the FDA to our drugs;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litigation involving patents of other companies concerning our future drugs or processes related to production and formulation of those drugs or uses of those drugs;</w:t>
            </w:r>
          </w:p>
        </w:tc>
      </w:tr>
    </w:tbl>
    <w:tbl>
      <w:tblPr>
        <w:tblW w:w="5241" w:type="dxa"/>
        <w:jc w:val="left"/>
        <w:tblInd w:w="0" w:type="dxa"/>
        <w:tblCellMar>
          <w:top w:w="28" w:type="dxa"/>
          <w:left w:w="28" w:type="dxa"/>
          <w:bottom w:w="28" w:type="dxa"/>
          <w:right w:w="28" w:type="dxa"/>
        </w:tblCellMar>
      </w:tblPr>
      <w:tblGrid>
        <w:gridCol w:w="124"/>
        <w:gridCol w:w="25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use and development of alternate therapies;</w:t>
            </w:r>
          </w:p>
        </w:tc>
      </w:tr>
    </w:tbl>
    <w:tbl>
      <w:tblPr>
        <w:tblW w:w="4986" w:type="dxa"/>
        <w:jc w:val="left"/>
        <w:tblInd w:w="0" w:type="dxa"/>
        <w:tblCellMar>
          <w:top w:w="28" w:type="dxa"/>
          <w:left w:w="28" w:type="dxa"/>
          <w:bottom w:w="28" w:type="dxa"/>
          <w:right w:w="28" w:type="dxa"/>
        </w:tblCellMar>
      </w:tblPr>
      <w:tblGrid>
        <w:gridCol w:w="124"/>
        <w:gridCol w:w="256"/>
        <w:gridCol w:w="4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market penetration by competing drugs; and</w:t>
            </w:r>
          </w:p>
        </w:tc>
      </w:tr>
    </w:tbl>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or change in, existing arrangements with our partners.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of these factors could have a material adverse effect on the sales of any drug candidates that we may commercialize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Failure to obtain regulatory approvals in foreign jurisdictions will prevent us from marketing our products internationally.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Before granting the MA, the European Medicines Agency or the competent authorities of the member states of the EEA make an assessment of the risk-benefit balance of the product on the basis of scientific criteria concerning its quality, safety and efficacy.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obtain approval to commercialize any approved products outside of the United States, a variety of risks associated with international operations could materially adversely affect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our drug candidates are approved for commercialization outside of the United States, we expect that we will be subject to additional risks related to international operations and entering into international business relationships, including:</w:t>
      </w:r>
    </w:p>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regulatory requirements for drug approvals;</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 including trade secret and patent rights;</w:t>
            </w:r>
          </w:p>
        </w:tc>
      </w:tr>
    </w:tbl>
    <w:tbl>
      <w:tblPr>
        <w:tblW w:w="6426" w:type="dxa"/>
        <w:jc w:val="left"/>
        <w:tblInd w:w="0" w:type="dxa"/>
        <w:tblCellMar>
          <w:top w:w="28" w:type="dxa"/>
          <w:left w:w="28" w:type="dxa"/>
          <w:bottom w:w="28" w:type="dxa"/>
          <w:right w:w="28" w:type="dxa"/>
        </w:tblCellMar>
      </w:tblPr>
      <w:tblGrid>
        <w:gridCol w:w="124"/>
        <w:gridCol w:w="256"/>
        <w:gridCol w:w="6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and regulatory requirements;</w:t>
            </w:r>
          </w:p>
        </w:tc>
      </w:tr>
    </w:tbl>
    <w:tbl>
      <w:tblPr>
        <w:tblW w:w="9306" w:type="dxa"/>
        <w:jc w:val="left"/>
        <w:tblInd w:w="0" w:type="dxa"/>
        <w:tblCellMar>
          <w:top w:w="28" w:type="dxa"/>
          <w:left w:w="28" w:type="dxa"/>
          <w:bottom w:w="28" w:type="dxa"/>
          <w:right w:w="28" w:type="dxa"/>
        </w:tblCellMar>
      </w:tblPr>
      <w:tblGrid>
        <w:gridCol w:w="124"/>
        <w:gridCol w:w="256"/>
        <w:gridCol w:w="8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bl>
    <w:tbl>
      <w:tblPr>
        <w:tblW w:w="8976" w:type="dxa"/>
        <w:jc w:val="left"/>
        <w:tblInd w:w="0" w:type="dxa"/>
        <w:tblCellMar>
          <w:top w:w="28" w:type="dxa"/>
          <w:left w:w="28" w:type="dxa"/>
          <w:bottom w:w="28" w:type="dxa"/>
          <w:right w:w="28" w:type="dxa"/>
        </w:tblCellMar>
      </w:tblPr>
      <w:tblGrid>
        <w:gridCol w:w="124"/>
        <w:gridCol w:w="256"/>
        <w:gridCol w:w="8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bl>
    <w:tbl>
      <w:tblPr>
        <w:tblW w:w="4881" w:type="dxa"/>
        <w:jc w:val="left"/>
        <w:tblInd w:w="0" w:type="dxa"/>
        <w:tblCellMar>
          <w:top w:w="28" w:type="dxa"/>
          <w:left w:w="28" w:type="dxa"/>
          <w:bottom w:w="28" w:type="dxa"/>
          <w:right w:w="28" w:type="dxa"/>
        </w:tblCellMar>
      </w:tblPr>
      <w:tblGrid>
        <w:gridCol w:w="124"/>
        <w:gridCol w:w="256"/>
        <w:gridCol w:w="4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withholding of payroll taxes;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employment regulations are different than, and labor unrest is more common than, in the United States;</w:t>
            </w:r>
          </w:p>
        </w:tc>
      </w:tr>
    </w:tbl>
    <w:tbl>
      <w:tblPr>
        <w:tblW w:w="9831" w:type="dxa"/>
        <w:jc w:val="left"/>
        <w:tblInd w:w="0" w:type="dxa"/>
        <w:tblCellMar>
          <w:top w:w="28" w:type="dxa"/>
          <w:left w:w="28" w:type="dxa"/>
          <w:bottom w:w="28" w:type="dxa"/>
          <w:right w:w="28" w:type="dxa"/>
        </w:tblCellMar>
      </w:tblPr>
      <w:tblGrid>
        <w:gridCol w:w="124"/>
        <w:gridCol w:w="256"/>
        <w:gridCol w:w="9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natural disasters, including earthquakes, hurricanes, floods and fires; and</w:t>
            </w:r>
          </w:p>
        </w:tc>
      </w:tr>
    </w:tbl>
    <w:tbl>
      <w:tblPr>
        <w:tblW w:w="6936" w:type="dxa"/>
        <w:jc w:val="left"/>
        <w:tblInd w:w="0" w:type="dxa"/>
        <w:tblCellMar>
          <w:top w:w="28" w:type="dxa"/>
          <w:left w:w="28" w:type="dxa"/>
          <w:bottom w:w="28" w:type="dxa"/>
          <w:right w:w="28" w:type="dxa"/>
        </w:tblCellMar>
      </w:tblPr>
      <w:tblGrid>
        <w:gridCol w:w="124"/>
        <w:gridCol w:w="256"/>
        <w:gridCol w:w="6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importing and exporting clinical trial materials and study samples.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Reliance on Third Parties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third parties to plan, conduct and monitor our clinical tests, and their failure to perform as required would interfere with our product development.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contract manufacturers over whom we have limited control. Should the cost, delivery and quality of clinical materials manufactured by us in our Fall River facility or supplied by contract manufacturers vary to our disadvantage, our business operations could suffer significant harm.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limited experience in commercial manufacturing. We rely on CMOs to manufacture drug substance and drug product for any late-stage clinical studies of our drug candidates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labeling and storage for studies inside and outside the US. 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potential products to clinical sites in the U.S., EU and ROW for early-stage clinical trials. We currently manufacture CDX-0159, CDX-1140, CDX-301, CDX-527 and CDX-585 drug substance in our Fall River facility for our current and planned Phase 1 and Phase 2 clinical trials. All products are then filled at CMOs. Any manufacturing failures, supply chain delays or compliance issues at our Fall River facility or at our CMOs could cause delays in our Phase 1 and Phase 2 clinical studies for these drug candidates.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CDX-0159 drug product is currently administered both intravenously and subcutaneously. In 2022, we will continue to manufacture CDX-0159 at our Fall River facility in subcutaneous form to support ongoing and planned clinical trials. The subcutaneous formulation will allow for a potential self-administration at home setting versus the need for intravenous dosing in a hospital or clinic setting. The subcutaneous form could improve the patient experience if the product becomes available commercially. In 2022, we also plan to initiate a transfer of our current CDX-0159 manufacturing process to a CMO to allow us to produce larger batches in support of late-stage trials and to prepare for potential commercialization. We believe that CDX-0159 can be scaled up to permit manufacturing in commercial quantities. However, there can be no assurance that we will not encounter difficulties in scaling up the manufacturing processes.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need to rely on third-party collaborators to develop and commercialize companion diagnostic tests for our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may need to rely on such third-party collaborators to obtain regulatory approval and commercialize such companion diagnostic tests. Such third-party collaborators:</w:t>
      </w:r>
    </w:p>
    <w:tbl>
      <w:tblPr>
        <w:tblW w:w="8121" w:type="dxa"/>
        <w:jc w:val="left"/>
        <w:tblInd w:w="0" w:type="dxa"/>
        <w:tblCellMar>
          <w:top w:w="28" w:type="dxa"/>
          <w:left w:w="28" w:type="dxa"/>
          <w:bottom w:w="28" w:type="dxa"/>
          <w:right w:w="28" w:type="dxa"/>
        </w:tblCellMar>
      </w:tblPr>
      <w:tblGrid>
        <w:gridCol w:w="124"/>
        <w:gridCol w:w="256"/>
        <w:gridCol w:w="77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perform its obligations as expected or as required under our collaboration agreement;</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encounter production difficulties that could constrain the supply of the companion diagnostic test;</w:t>
            </w:r>
          </w:p>
        </w:tc>
      </w:tr>
    </w:tbl>
    <w:tbl>
      <w:tblPr>
        <w:tblW w:w="9591" w:type="dxa"/>
        <w:jc w:val="left"/>
        <w:tblInd w:w="0" w:type="dxa"/>
        <w:tblCellMar>
          <w:top w:w="28" w:type="dxa"/>
          <w:left w:w="28" w:type="dxa"/>
          <w:bottom w:w="28" w:type="dxa"/>
          <w:right w:w="28" w:type="dxa"/>
        </w:tblCellMar>
      </w:tblPr>
      <w:tblGrid>
        <w:gridCol w:w="124"/>
        <w:gridCol w:w="256"/>
        <w:gridCol w:w="9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have difficulties gaining acceptance of the use of the companion diagnostic test in the clinical community;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pursue commercialization of the companion diagnostic test even if they receive any required regulatory approvals;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tc>
      </w:tr>
    </w:tbl>
    <w:tbl>
      <w:tblPr>
        <w:tblW w:w="9291" w:type="dxa"/>
        <w:jc w:val="left"/>
        <w:tblInd w:w="0" w:type="dxa"/>
        <w:tblCellMar>
          <w:top w:w="28" w:type="dxa"/>
          <w:left w:w="28" w:type="dxa"/>
          <w:bottom w:w="28" w:type="dxa"/>
          <w:right w:w="28" w:type="dxa"/>
        </w:tblCellMar>
      </w:tblPr>
      <w:tblGrid>
        <w:gridCol w:w="124"/>
        <w:gridCol w:w="256"/>
        <w:gridCol w:w="8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commit sufficient resources to the marketing and distribution of the companion diagnostic test; and</w:t>
            </w:r>
          </w:p>
        </w:tc>
      </w:tr>
    </w:tbl>
    <w:tbl>
      <w:tblPr>
        <w:tblW w:w="3801" w:type="dxa"/>
        <w:jc w:val="left"/>
        <w:tblInd w:w="0" w:type="dxa"/>
        <w:tblCellMar>
          <w:top w:w="28" w:type="dxa"/>
          <w:left w:w="28" w:type="dxa"/>
          <w:bottom w:w="28" w:type="dxa"/>
          <w:right w:w="28" w:type="dxa"/>
        </w:tblCellMar>
      </w:tblPr>
      <w:tblGrid>
        <w:gridCol w:w="124"/>
        <w:gridCol w:w="256"/>
        <w:gridCol w:w="3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terminate their relationship with us.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reliance on third parties requires us to share our trade secrets, which increases the possibility that a competitor will discover them.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Because we rely on third parties to develop our drug candidates, we must share trade secrets with them.We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natural disasters and our business continuity and disaster recovery plans may not adequately protect us from a serious disaster.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could severely disrupt our operations and have a material adverse effect on our business, results of operations, financial condition and prospects. For example, our operations are located primarily on the east coast of the United States, and any adverse weather event or natural disaster, such as a hurricane or heavy snow storm, could have a material adverse effect on a substantial portion of our operations. If any event occurred that prevented us from using all or a significant portion of our manufacturing and lab facilities, that damaged critical infrastructure, such as third-party manufacturing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Business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engage in strategic transactions that could impact our liquidity, increase our expenses and present significant distractions to our management.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From time to time we may consider strategic transactions, including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tbl>
      <w:tblPr>
        <w:tblW w:w="3171" w:type="dxa"/>
        <w:jc w:val="left"/>
        <w:tblInd w:w="0" w:type="dxa"/>
        <w:tblCellMar>
          <w:top w:w="28" w:type="dxa"/>
          <w:left w:w="28" w:type="dxa"/>
          <w:bottom w:w="28" w:type="dxa"/>
          <w:right w:w="28" w:type="dxa"/>
        </w:tblCellMar>
      </w:tblPr>
      <w:tblGrid>
        <w:gridCol w:w="124"/>
        <w:gridCol w:w="256"/>
        <w:gridCol w:w="2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our business and diversion of our management’s time and attention in order to develop acquired products, drug candidates or technologies;</w:t>
            </w:r>
          </w:p>
        </w:tc>
      </w:tr>
    </w:tbl>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write-downs of assets or impairment charges;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 and</w:t>
            </w:r>
          </w:p>
        </w:tc>
      </w:tr>
    </w:tbl>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retain key employees of any acquired businesses.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expand our clinical development, regulatory and sales and marketing capabilities, and as a result, we may encounter difficulties in managing our growth, which could disrupt our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successfully integrate our existing technology or to modify our technologies to create new immunotherapeutic drugs.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internal computer systems, or those of our CROs, CMOs, or other contractors or consultants, may fail or suffer security breaches, which could result in a material disruption of our drug development programs.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While we have not experienced any such event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requires us to use hazardous materials, which increases our exposure to dangerous and costly accidents.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research and development activities involve the use of biological materials and small amounts of hazardous chemicals. The company has internal policies and procedures for the safe handling and disposal of these materials, in full compliance with applicable laws and regulations, including applicable OSHA, EPA, state and local regulations, and utilizing EPA licensed disposal companies and facilities. Although we believe we have reduced our risk and impacts from these materials through our safety procedures, we cannot completely eliminate the risk of accidental contamination or injury from these materials. The ongoing cost of complying with environmental laws and regulations is significant and may increase in the future. All risks of environmental damage inherent to our operations cannot be mitigated and failure to comply with applicable government regulations could result in the imposition of fines, restrictions, or increased operational costs, which could impact our ability to carry on with our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face the risk of product liability claims, which could exceed our insurance coverage, and product recalls, each of which could deplete our cash resources.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products.Product liability claims can be expensive to defend, even if the drug or drug candidate did not actually cause the alleged injury or harm.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Insurance covering product liability claims becomes increasingly expensive as a drug candidate moves through the development pipeline to commercialization.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Disruptions in the global economy and supply chains may have a material adverse effect on our business,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disruptions to the global economy in 2020 and into 2021 have impeded global supply chains, resulting in longer lead times and also increased critical component costs and freight expenses. We have taken steps to minimize the impact of these increased costs by working closely with our suppliers. Despite the actions we have undertaken to minimize the impacts from disruptions to the global economy, there can be no assurances that unforeseen future events in the global supply chain, and inflationary pressures, will not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Biotechnology patents involve complex legal, scientific and factual questions and are highly uncertain.To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need to license intellectual property from third parties, and such licenses may not be available or may not be available on commercially reasonable terms.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unable to protect the confidentiality of our trade secrets, thus harming our business and competitive position.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become involved in lawsuits to protect or enforce our patents, which could be expensive, time- consuming and unsuccessful.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Third parties may assert that our employees or consultants have wrongfully used or disclosed confidential information or misappropriated trade secrets.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Regulatory Risks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obtain or maintain orphan drug designation or exclusivity for our product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seek orphan drug designation for some of our product candidates in the United States.Regulatory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seek fast track designation for some of our product candidates or priority review of applications for approval of our product candidates. If a drug is intended for the treatment of a serious or life- 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processes and systems are not compliant with regulatory requirements, we could be subject to delays in submitting BLAs, NDAs or restrictions on marketing of drugs after they have been approved.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conducted and are conducting clinical trials outside the United States and anticipate conducting additional clinical trials outside the United States, and the FDA may not accept data from such trials.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 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Risks inherent in conducting international clinical trials include, but are not limited to:</w:t>
      </w:r>
    </w:p>
    <w:tbl>
      <w:tblPr>
        <w:tblW w:w="8526" w:type="dxa"/>
        <w:jc w:val="left"/>
        <w:tblInd w:w="0" w:type="dxa"/>
        <w:tblCellMar>
          <w:top w:w="28" w:type="dxa"/>
          <w:left w:w="28" w:type="dxa"/>
          <w:bottom w:w="28" w:type="dxa"/>
          <w:right w:w="28" w:type="dxa"/>
        </w:tblCellMar>
      </w:tblPr>
      <w:tblGrid>
        <w:gridCol w:w="124"/>
        <w:gridCol w:w="256"/>
        <w:gridCol w:w="8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regulatory requirements that could burden or limit our ability to conduct our clinical trials;</w:t>
            </w:r>
          </w:p>
        </w:tc>
      </w:tr>
    </w:tbl>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burdens of conducting clinical trials under multiple foreign regulatory schema;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negatively impact our financial condition since certain payments are paid in local currencies;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436" w:type="dxa"/>
        <w:jc w:val="left"/>
        <w:tblInd w:w="0" w:type="dxa"/>
        <w:tblCellMar>
          <w:top w:w="28" w:type="dxa"/>
          <w:left w:w="28" w:type="dxa"/>
          <w:bottom w:w="28" w:type="dxa"/>
          <w:right w:w="28" w:type="dxa"/>
        </w:tblCellMar>
      </w:tblPr>
      <w:tblGrid>
        <w:gridCol w:w="124"/>
        <w:gridCol w:w="256"/>
        <w:gridCol w:w="5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customs, shipment and storage requirements;</w:t>
            </w:r>
          </w:p>
        </w:tc>
      </w:tr>
    </w:tbl>
    <w:tbl>
      <w:tblPr>
        <w:tblW w:w="5796" w:type="dxa"/>
        <w:jc w:val="left"/>
        <w:tblInd w:w="0" w:type="dxa"/>
        <w:tblCellMar>
          <w:top w:w="28" w:type="dxa"/>
          <w:left w:w="28" w:type="dxa"/>
          <w:bottom w:w="28" w:type="dxa"/>
          <w:right w:w="28" w:type="dxa"/>
        </w:tblCellMar>
      </w:tblPr>
      <w:tblGrid>
        <w:gridCol w:w="124"/>
        <w:gridCol w:w="256"/>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medical practice and clinical research; and</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diminished protection of intellectual property in some countries.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product candidate manufacturing or formulation may result in additional costs or delay.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tbl>
      <w:tblPr>
        <w:tblW w:w="1791" w:type="dxa"/>
        <w:jc w:val="left"/>
        <w:tblInd w:w="0" w:type="dxa"/>
        <w:tblCellMar>
          <w:top w:w="28" w:type="dxa"/>
          <w:left w:w="28" w:type="dxa"/>
          <w:bottom w:w="28" w:type="dxa"/>
          <w:right w:w="28" w:type="dxa"/>
        </w:tblCellMar>
      </w:tblPr>
      <w:tblGrid>
        <w:gridCol w:w="124"/>
        <w:gridCol w:w="256"/>
        <w:gridCol w:w="1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w:t>
            </w:r>
          </w:p>
        </w:tc>
      </w:tr>
    </w:tbl>
    <w:tbl>
      <w:tblPr>
        <w:tblW w:w="3456" w:type="dxa"/>
        <w:jc w:val="left"/>
        <w:tblInd w:w="0" w:type="dxa"/>
        <w:tblCellMar>
          <w:top w:w="28" w:type="dxa"/>
          <w:left w:w="28" w:type="dxa"/>
          <w:bottom w:w="28" w:type="dxa"/>
          <w:right w:w="28" w:type="dxa"/>
        </w:tblCellMar>
      </w:tblPr>
      <w:tblGrid>
        <w:gridCol w:w="124"/>
        <w:gridCol w:w="256"/>
        <w:gridCol w:w="3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or criminal penalties and fines;</w:t>
            </w:r>
          </w:p>
        </w:tc>
      </w:tr>
    </w:tbl>
    <w:tbl>
      <w:tblPr>
        <w:tblW w:w="1521" w:type="dxa"/>
        <w:jc w:val="left"/>
        <w:tblInd w:w="0" w:type="dxa"/>
        <w:tblCellMar>
          <w:top w:w="28" w:type="dxa"/>
          <w:left w:w="28" w:type="dxa"/>
          <w:bottom w:w="28" w:type="dxa"/>
          <w:right w:w="28" w:type="dxa"/>
        </w:tblCellMar>
      </w:tblPr>
      <w:tblGrid>
        <w:gridCol w:w="124"/>
        <w:gridCol w:w="256"/>
        <w:gridCol w:w="1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w:t>
            </w:r>
          </w:p>
        </w:tc>
      </w:tr>
    </w:tbl>
    <w:tbl>
      <w:tblPr>
        <w:tblW w:w="1866" w:type="dxa"/>
        <w:jc w:val="left"/>
        <w:tblInd w:w="0" w:type="dxa"/>
        <w:tblCellMar>
          <w:top w:w="28" w:type="dxa"/>
          <w:left w:w="28" w:type="dxa"/>
          <w:bottom w:w="28" w:type="dxa"/>
          <w:right w:w="28" w:type="dxa"/>
        </w:tblCellMar>
      </w:tblPr>
      <w:tblGrid>
        <w:gridCol w:w="124"/>
        <w:gridCol w:w="256"/>
        <w:gridCol w:w="1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w:t>
            </w:r>
          </w:p>
        </w:tc>
      </w:tr>
    </w:tbl>
    <w:tbl>
      <w:tblPr>
        <w:tblW w:w="4506" w:type="dxa"/>
        <w:jc w:val="left"/>
        <w:tblInd w:w="0" w:type="dxa"/>
        <w:tblCellMar>
          <w:top w:w="28" w:type="dxa"/>
          <w:left w:w="28" w:type="dxa"/>
          <w:bottom w:w="28" w:type="dxa"/>
          <w:right w:w="28" w:type="dxa"/>
        </w:tblCellMar>
      </w:tblPr>
      <w:tblGrid>
        <w:gridCol w:w="124"/>
        <w:gridCol w:w="256"/>
        <w:gridCol w:w="4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regulatory approval;</w:t>
            </w:r>
          </w:p>
        </w:tc>
      </w:tr>
    </w:tbl>
    <w:tbl>
      <w:tblPr>
        <w:tblW w:w="4056" w:type="dxa"/>
        <w:jc w:val="left"/>
        <w:tblInd w:w="0" w:type="dxa"/>
        <w:tblCellMar>
          <w:top w:w="28" w:type="dxa"/>
          <w:left w:w="28" w:type="dxa"/>
          <w:bottom w:w="28" w:type="dxa"/>
          <w:right w:w="28" w:type="dxa"/>
        </w:tblCellMar>
      </w:tblPr>
      <w:tblGrid>
        <w:gridCol w:w="124"/>
        <w:gridCol w:w="256"/>
        <w:gridCol w:w="3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any ongoing clinical studies;</w:t>
            </w:r>
          </w:p>
        </w:tc>
      </w:tr>
    </w:tbl>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or mandatory product recalls and publicity requirements;</w:t>
            </w:r>
          </w:p>
        </w:tc>
      </w:tr>
    </w:tbl>
    <w:tbl>
      <w:tblPr>
        <w:tblW w:w="6861" w:type="dxa"/>
        <w:jc w:val="left"/>
        <w:tblInd w:w="0" w:type="dxa"/>
        <w:tblCellMar>
          <w:top w:w="28" w:type="dxa"/>
          <w:left w:w="28" w:type="dxa"/>
          <w:bottom w:w="28" w:type="dxa"/>
          <w:right w:w="28" w:type="dxa"/>
        </w:tblCellMar>
      </w:tblPr>
      <w:tblGrid>
        <w:gridCol w:w="124"/>
        <w:gridCol w:w="256"/>
        <w:gridCol w:w="6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accept or approve applications for marketing approval of new drugs;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operations, including costly new manufacturing requirements; or</w:t>
            </w:r>
          </w:p>
        </w:tc>
      </w:tr>
    </w:tbl>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seizure or detention of drugs or import bans.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under the Patient Protection and Affordable Care Act of 2010 (“ACA”) requires manufacturers of drugs, devices, biologics and medical supplies to report to the Department of Health and Human Services information related to physician payments and other transfers of value and physician ownership and investment interests;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federal laws, such as the Physician Sunshine Act, directed at generating transparency on financial issues, including drug prices and payments made by drug companies to various entities and individuals involved in healthcare.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 are subject to various state and federal privacy and data security regulations, including but not limited to HIPAA and as amended by the HITECH Act. HIPAA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which came into effect on May 25, 2018.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health care law and implementing regulations, including government restrictions on pricing and reimbursement, as well as health care policy and other health care payor cost-containment initiatives, may have a material adverse effect on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examples of proposed changes include, but are not limited to, expanding post-approval requirements, changing the Orphan Drug Act, and restricting sales and promotional activities for pharmaceutical products.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Capital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history of losses and uncertainty of future profitability make our common stock a highly speculative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had no commercial revenue to date from sales of our drug candidates. We had an accumulated deficit of $1.1 billion as of December 31, 2021. We expect to spend substantial funds to continue the research and development testing of our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completed a reverse stock split in order to regain compliance with the listing requirements of NASDAQ. However, the reverse stock split may not result in our stock price remaining compliant with the minimum price requirements of NASDAQ.</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common stock is listed on the NASDAQ Capital Market. In order to maintain that listing, we must satisfy minimum financial and other requirements including, without limitation, a requirement that our closing bid price be at least $1.00 per share. At our annual meeting of stockholders in June 2018, our stockholders approved a proposal to grant discretionary authority to our Board of Directors to amend our certificate of incorporation to effect a reverse stock split of our outstanding shares of common stock within a range of one share of common stock for every ten shares of common stock to one share of common stock for every fifteen shares of common stock, with the exact reverse stock split ratio to be decided by the Board of Directors. On February 8, 2019 we announced that our Board of Directors had approved a one for fifteen reverse stock split of our issued and outstanding shares of common stock. On February 11, 2019, our common stock began trading on a split-adjusted basis on the NASDAQ Capital Market.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share price has been and could remain volatile.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market price of our common stock has historically experienced and may continue to experience significant volatility. From January 2020 through December 2021, the market price of our common stock has fluctuated from a high of $57.20 per share in the fourth quarter of 2021, to a low of $1.50 per share in the first quarter of 2020.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completed the reverse stock split of our shares of common stock, which may reduce and may limit the market trading liquidity of the shares due to the reduced number of shares outstanding, and may potentially have an anti-takeover effect.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completed the reverse stock split of our common stock by a ratio of one for fifteen effective February 8, 2019.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 Further, since the reverse stock split was not accompanied by a corresponding decrease in the number of shares authorized for issuance under our Third Restated Certificate of Incorporation, the relative increase in the number of shares authorized for issuance could, under certain circumstances, have an anti-takeover effect by enabling our Board of Directors to issue additional shares of common stock in a transaction making it more difficult for a party to obtain control of us by tender offer or other means.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use our net operating loss carryforwards will be subject to limitation and, under certain circumstances, may be eliminated.</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Utilization of our net operating loss and research and development credit carryforwards (“NOLs”)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change, as defined by Section 382, results from transactions increasing the ownership of certain shareholders or public groups in the stock of a corporation by more than 50 percentage points over a three-year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We have not undertaken a study to assess whether an ownership change or multiple ownership changes have occurred for (i) acquired businesses prior to the acquisition, (ii) the Company on the state level, (iii) the Company since March 2015 or (iv) 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 Additionally, as provided above, the Tax Cuts and Jobs Act limited the deduction for net operating losses to 80% of taxable income while providing that net operating loss carryovers for years after 2017 will not expire. The CARES Act provides relief to corporate taxpayers by permitting a five year carryback of 2018 – 2020 NOLs, removing the 80% limitation on the carryback of those NOLs, and accelerates refunds for minimum tax credit carryforwards, along with a few other provisions. During the twelve months ended December 31, 2021, no material adjustments were made to provision amounts recorded as a result of the enactment of the CARES Act.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Refer to Note 15, “Income Taxes,” in the accompanying notes to the financial statements for additional discussion on income taxes.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General Risk Factors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Effective internal controls over financial reporting are necessary for us to provide reliable financial reports and, together with adequate disclosure controls and procedures, are designed to prevent fraud. Any failure to implement required or improved controls, or difficulties encountered in their implementation, could cause us to fail to meet our reporting obligations. In addition, any failure to maintain effective internal control as a result of shutdowns during the COVID-19 pandemic could result in deficiencies in internal control. We have designed, implemented and tested the internal control over financial reporting required to comply with this obligation, which was and is time consuming, costly, and complicated.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many competitors in our field, and they may develop technologies that make ours obsolete.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Biotechnology, pharmaceuticals and therapeutics are rapidly evolving fields in which scientific and technological developments are expected to continue at a rapid pace. We have many competitors in the U.S. and abroad. The competitors of which we are aware that have initiated a Phase 3 study or have obtained marketing approval for a potentially competitive drug to CDX-0159 for treatment of CSU, CIndU or PN include: AstraZeneca, (Fasenra for CSU), Galderma/Chugai (nemolizumab for PN), Genentech (fenebrutinib for CSU), Novartis (ligelizumab for CSU, CIndU and food allergy; LOU064 for CSU), Regeneron/Sanofi (Dupixent for CSU, CIndU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and PN), and Trevi Therapeutics (nalbuphine for PN).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technologies and products that are more effective than ours, making ours obsolete or otherwise noncompetitive;</w:t>
            </w:r>
          </w:p>
        </w:tc>
      </w:tr>
    </w:tbl>
    <w:tbl>
      <w:tblPr>
        <w:tblW w:w="6966" w:type="dxa"/>
        <w:jc w:val="left"/>
        <w:tblInd w:w="0" w:type="dxa"/>
        <w:tblCellMar>
          <w:top w:w="28" w:type="dxa"/>
          <w:left w:w="28" w:type="dxa"/>
          <w:bottom w:w="28" w:type="dxa"/>
          <w:right w:w="28" w:type="dxa"/>
        </w:tblCellMar>
      </w:tblPr>
      <w:tblGrid>
        <w:gridCol w:w="124"/>
        <w:gridCol w:w="256"/>
        <w:gridCol w:w="6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regulatory approval for products more rapidly or effectively than us;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patent protection or other intellectual property rights that would block our ability to develop competitive products.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face risks related to health epidemics and outbreaks, including COVID-19, which could significantly disrupt our preclinical studies and clinical trials.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duration and the geographic impact of the business disruption and related financial impact resulting from the COVID-19 pandemic cannot be reasonably estimated at this time and our business could be adversely impacted by its effects. In an effort to halt the outbreak of COVID-19, the United States has, at times, placed significant restrictions on travel and many businesses have announced extended closures which could adversely impact our operations. Enrollment of patients in our clinical trials and our planned and ongoing preclinical and clinical trials may be delayed due to COVID-19. The impact of the COVID-19 pandemic on the operations of the FDA and other health authorities may delay potential approvals of our clinical trial protocols. In addition, we rely on independent clinical investigators, contract research organizations and other third-party service providers to assist us in managing, monitoring and otherwise carrying out our preclinical studies and clinical trials, and the pandemic may affect their ability to devote sufficient time and resources to our programs. We also rely on third party suppliers and contract manufacturers to produce the drug product we utilize in our clinical trials, and the pandemic may cause delays in the delivery of active pharmaceutical ingredients (“APIs”) and drug product. Temporary closure of our facilities, or facilities at which our clinical or preclinical trials are conducted, or restrictions on the ability of our employees, clinicians or patients enrolled in our trials to travel could adversely affect our operations and our ability to conduct and complete our preclinical and clinical trials. In addition, the COVID-19 pandemic, including insufficient vaccination of the general population and the emergence of new variants, including the delta variant and the omicron variant, could affect the health and availability of our workforce as well as those of the third parties on whom we rely. If new, more infectious or severe variants emerge, it is possible that the impact of the pandemic on our business may increase or lengthen in duration.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 result of the foregoing factors, the expected timeline for data readouts of our preclinical studies and clinical trials and certain regulatory filings may be negatively impacted, which would adversely affect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depend greatly on the intellectual capabilities and experience of our key executives and scientists, and the loss of any of them could affect our ability to develop our products.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which could have a material adverse effect on our business.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maintain compliance with the Listing Rules of the NASDAQ Stock Exchange.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pStyle w:val="TextBody"/>
        <w:spacing w:before="0" w:after="240"/>
        <w:ind w:left="0" w:right="0" w:hanging="0"/>
        <w:rPr>
          <w:rFonts w:ascii="Times New Roman;Times;serif" w:hAnsi="Times New Roman;Times;serif"/>
          <w:b/>
          <w:sz w:val="20"/>
        </w:rPr>
      </w:pPr>
      <w:bookmarkStart w:id="27" w:name="Item1BUNRESOLVEDSTAFFCOMMENTS_750393"/>
      <w:bookmarkStart w:id="28" w:name="_13509342_2f7f_4d74_acc0_c132b51c98ce"/>
      <w:bookmarkEnd w:id="27"/>
      <w:bookmarkEnd w:id="28"/>
      <w:r>
        <w:rPr>
          <w:rFonts w:ascii="Times New Roman;Times;serif" w:hAnsi="Times New Roman;Times;serif"/>
          <w:b/>
          <w:sz w:val="20"/>
        </w:rPr>
        <w:t>Item 1B. UNRESOLVED STAFF COMMENTS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29" w:name="Item2PROPERTIES_225470"/>
      <w:bookmarkStart w:id="30" w:name="_69b74129_3959_4634_9419_ec593a2aab42"/>
      <w:bookmarkEnd w:id="29"/>
      <w:bookmarkEnd w:id="30"/>
      <w:r>
        <w:rPr>
          <w:rFonts w:ascii="Times New Roman;Times;serif" w:hAnsi="Times New Roman;Times;serif"/>
          <w:b/>
          <w:sz w:val="20"/>
        </w:rPr>
        <w:t>Item 2. PROPERTIES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our significant leased properties are described below.</w:t>
      </w:r>
    </w:p>
    <w:tbl>
      <w:tblPr>
        <w:tblW w:w="9052" w:type="dxa"/>
        <w:jc w:val="left"/>
        <w:tblInd w:w="0" w:type="dxa"/>
        <w:tblCellMar>
          <w:top w:w="0" w:type="dxa"/>
          <w:left w:w="0" w:type="dxa"/>
          <w:bottom w:w="0" w:type="dxa"/>
          <w:right w:w="0" w:type="dxa"/>
        </w:tblCellMar>
      </w:tblPr>
      <w:tblGrid>
        <w:gridCol w:w="2191"/>
        <w:gridCol w:w="326"/>
        <w:gridCol w:w="1066"/>
        <w:gridCol w:w="326"/>
        <w:gridCol w:w="3046"/>
        <w:gridCol w:w="326"/>
        <w:gridCol w:w="1771"/>
      </w:tblGrid>
      <w:tr>
        <w:trPr/>
        <w:tc>
          <w:tcPr>
            <w:tcW w:w="2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91285" cy="175260"/>
                      <wp:effectExtent l="0" t="0" r="0" b="0"/>
                      <wp:wrapNone/>
                      <wp:docPr id="8" name="Frame8"/>
                      <a:graphic xmlns:a="http://schemas.openxmlformats.org/drawingml/2006/main">
                        <a:graphicData uri="http://schemas.microsoft.com/office/word/2010/wordprocessingShape">
                          <wps:wsp>
                            <wps:cNvSpPr txBox="1"/>
                            <wps:spPr>
                              <a:xfrm>
                                <a:off x="0" y="0"/>
                                <a:ext cx="139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6910" cy="175260"/>
                      <wp:effectExtent l="0" t="0" r="0" b="0"/>
                      <wp:wrapNone/>
                      <wp:docPr id="10" name="Frame10"/>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934210" cy="175260"/>
                      <wp:effectExtent l="0" t="0" r="0" b="0"/>
                      <wp:wrapNone/>
                      <wp:docPr id="12" name="Frame12"/>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124585" cy="175260"/>
                      <wp:effectExtent l="0" t="0" r="0" b="0"/>
                      <wp:wrapNone/>
                      <wp:docPr id="14" name="Frame14"/>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Approximate</w:t>
            </w:r>
          </w:p>
        </w:tc>
        <w:tc>
          <w:tcPr>
            <w:tcW w:w="326" w:type="dxa"/>
            <w:tcBorders/>
            <w:shd w:fill="auto" w:val="clear"/>
            <w:vAlign w:val="center"/>
          </w:tcPr>
          <w:p>
            <w:pPr>
              <w:pStyle w:val="TableContents"/>
              <w:spacing w:before="0" w:after="0"/>
              <w:ind w:left="0" w:right="0" w:hanging="0"/>
              <w:jc w:val="center"/>
              <w:rPr/>
            </w:pPr>
            <w:r>
              <w:rPr/>
              <w:t>    </w:t>
            </w:r>
          </w:p>
        </w:tc>
        <w:tc>
          <w:tcPr>
            <w:tcW w:w="30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71" w:type="dxa"/>
            <w:tcBorders/>
            <w:shd w:fill="auto" w:val="clear"/>
            <w:vAlign w:val="center"/>
          </w:tcPr>
          <w:p>
            <w:pPr>
              <w:pStyle w:val="TableContents"/>
              <w:spacing w:before="0" w:after="0"/>
              <w:ind w:left="0" w:right="0" w:hanging="0"/>
              <w:jc w:val="center"/>
              <w:rPr/>
            </w:pPr>
            <w:r>
              <w:rPr/>
              <w:t>​</w:t>
            </w:r>
          </w:p>
        </w:tc>
      </w:tr>
      <w:tr>
        <w:trPr/>
        <w:tc>
          <w:tcPr>
            <w:tcW w:w="21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Property Location</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30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Use</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7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Expiration Date</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Hampton, New Jersey</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33,400</w:t>
            </w:r>
          </w:p>
        </w:tc>
        <w:tc>
          <w:tcPr>
            <w:tcW w:w="326" w:type="dxa"/>
            <w:tcBorders/>
            <w:shd w:fill="CCEEFF" w:val="clear"/>
            <w:vAlign w:val="center"/>
          </w:tcPr>
          <w:p>
            <w:pPr>
              <w:pStyle w:val="TableContents"/>
              <w:spacing w:before="0" w:after="0"/>
              <w:ind w:left="0" w:right="0" w:hanging="0"/>
              <w:rPr/>
            </w:pPr>
            <w:r>
              <w:rPr/>
              <w:t> </w:t>
            </w:r>
          </w:p>
        </w:tc>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Headquarters, Office and Laboratory</w:t>
            </w:r>
          </w:p>
        </w:tc>
        <w:tc>
          <w:tcPr>
            <w:tcW w:w="326" w:type="dxa"/>
            <w:tcBorders/>
            <w:shd w:fill="CCEEFF" w:val="clear"/>
            <w:vAlign w:val="center"/>
          </w:tcPr>
          <w:p>
            <w:pPr>
              <w:pStyle w:val="TableContents"/>
              <w:spacing w:before="0" w:after="0"/>
              <w:ind w:left="0" w:right="0" w:hanging="0"/>
              <w:rPr/>
            </w:pPr>
            <w:r>
              <w:rPr/>
              <w:t> </w:t>
            </w:r>
          </w:p>
        </w:tc>
        <w:tc>
          <w:tcPr>
            <w:tcW w:w="177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July 2025</w:t>
            </w:r>
            <w:r>
              <w:rPr>
                <w:rFonts w:ascii="Times New Roman;Times;serif" w:hAnsi="Times New Roman;Times;serif"/>
                <w:sz w:val="15"/>
              </w:rPr>
              <w:t>(1)</w:t>
            </w:r>
          </w:p>
        </w:tc>
      </w:tr>
      <w:tr>
        <w:trPr/>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Fall River, Massachusetts</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33,900</w:t>
            </w:r>
          </w:p>
        </w:tc>
        <w:tc>
          <w:tcPr>
            <w:tcW w:w="326" w:type="dxa"/>
            <w:tcBorders/>
            <w:shd w:fill="auto" w:val="clear"/>
            <w:vAlign w:val="center"/>
          </w:tcPr>
          <w:p>
            <w:pPr>
              <w:pStyle w:val="TableContents"/>
              <w:spacing w:before="0" w:after="0"/>
              <w:ind w:left="0" w:right="0" w:hanging="0"/>
              <w:rPr/>
            </w:pPr>
            <w:r>
              <w:rPr/>
              <w:t> </w:t>
            </w:r>
          </w:p>
        </w:tc>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Manufacturing Facility</w:t>
            </w:r>
          </w:p>
        </w:tc>
        <w:tc>
          <w:tcPr>
            <w:tcW w:w="326" w:type="dxa"/>
            <w:tcBorders/>
            <w:shd w:fill="auto" w:val="clear"/>
            <w:vAlign w:val="center"/>
          </w:tcPr>
          <w:p>
            <w:pPr>
              <w:pStyle w:val="TableContents"/>
              <w:spacing w:before="0" w:after="0"/>
              <w:ind w:left="0" w:right="0" w:hanging="0"/>
              <w:rPr/>
            </w:pPr>
            <w:r>
              <w:rPr/>
              <w:t> </w:t>
            </w:r>
          </w:p>
        </w:tc>
        <w:tc>
          <w:tcPr>
            <w:tcW w:w="177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July 2023</w:t>
            </w:r>
            <w:r>
              <w:rPr>
                <w:rFonts w:ascii="Times New Roman;Times;serif" w:hAnsi="Times New Roman;Times;serif"/>
                <w:sz w:val="15"/>
              </w:rPr>
              <w:t>(2)</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Haven, Connecticut</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17,700</w:t>
            </w:r>
          </w:p>
        </w:tc>
        <w:tc>
          <w:tcPr>
            <w:tcW w:w="326" w:type="dxa"/>
            <w:tcBorders/>
            <w:shd w:fill="CCEEFF" w:val="clear"/>
            <w:vAlign w:val="center"/>
          </w:tcPr>
          <w:p>
            <w:pPr>
              <w:pStyle w:val="TableContents"/>
              <w:spacing w:before="0" w:after="0"/>
              <w:ind w:left="0" w:right="0" w:hanging="0"/>
              <w:rPr/>
            </w:pPr>
            <w:r>
              <w:rPr/>
              <w:t> </w:t>
            </w:r>
          </w:p>
        </w:tc>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and Laboratory</w:t>
            </w:r>
          </w:p>
        </w:tc>
        <w:tc>
          <w:tcPr>
            <w:tcW w:w="326" w:type="dxa"/>
            <w:tcBorders/>
            <w:shd w:fill="CCEEFF" w:val="clear"/>
            <w:vAlign w:val="center"/>
          </w:tcPr>
          <w:p>
            <w:pPr>
              <w:pStyle w:val="TableContents"/>
              <w:spacing w:before="0" w:after="0"/>
              <w:ind w:left="0" w:right="0" w:hanging="0"/>
              <w:rPr/>
            </w:pPr>
            <w:r>
              <w:rPr/>
              <w:t> </w:t>
            </w:r>
          </w:p>
        </w:tc>
        <w:tc>
          <w:tcPr>
            <w:tcW w:w="1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October 2023</w:t>
            </w:r>
          </w:p>
        </w:tc>
      </w:tr>
    </w:tbl>
    <w:tbl>
      <w:tblPr>
        <w:tblW w:w="6992" w:type="dxa"/>
        <w:jc w:val="left"/>
        <w:tblInd w:w="0" w:type="dxa"/>
        <w:tblCellMar>
          <w:top w:w="0" w:type="dxa"/>
          <w:left w:w="0" w:type="dxa"/>
          <w:bottom w:w="0" w:type="dxa"/>
          <w:right w:w="0" w:type="dxa"/>
        </w:tblCellMar>
      </w:tblPr>
      <w:tblGrid>
        <w:gridCol w:w="346"/>
        <w:gridCol w:w="664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6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includes an early termination option and one renewal option of five years.</w:t>
            </w:r>
          </w:p>
        </w:tc>
      </w:tr>
    </w:tbl>
    <w:tbl>
      <w:tblPr>
        <w:tblW w:w="8027" w:type="dxa"/>
        <w:jc w:val="left"/>
        <w:tblInd w:w="0" w:type="dxa"/>
        <w:tblCellMar>
          <w:top w:w="0" w:type="dxa"/>
          <w:left w:w="0" w:type="dxa"/>
          <w:bottom w:w="0" w:type="dxa"/>
          <w:right w:w="0" w:type="dxa"/>
        </w:tblCellMar>
      </w:tblPr>
      <w:tblGrid>
        <w:gridCol w:w="346"/>
        <w:gridCol w:w="768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76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includes one renewal option of two years followed by one renewal option of five years.</w:t>
            </w:r>
          </w:p>
        </w:tc>
      </w:tr>
    </w:tbl>
    <w:p>
      <w:pPr>
        <w:pStyle w:val="TextBody"/>
        <w:spacing w:before="0" w:after="240"/>
        <w:ind w:left="0" w:right="0" w:hanging="0"/>
        <w:rPr>
          <w:rFonts w:ascii="Times New Roman;Times;serif" w:hAnsi="Times New Roman;Times;serif"/>
          <w:b/>
          <w:sz w:val="20"/>
        </w:rPr>
      </w:pPr>
      <w:bookmarkStart w:id="31" w:name="Item3LEGALPROCEEDINGS_101934"/>
      <w:bookmarkStart w:id="32" w:name="_89416efe_2ba3_464f_a53b_7d676a9d7ad6"/>
      <w:bookmarkEnd w:id="31"/>
      <w:bookmarkEnd w:id="32"/>
      <w:r>
        <w:rPr>
          <w:rFonts w:ascii="Times New Roman;Times;serif" w:hAnsi="Times New Roman;Times;serif"/>
          <w:b/>
          <w:sz w:val="20"/>
        </w:rPr>
        <w:t>Item 3. LEGAL PROCEEDINGS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tbl>
      <w:tblPr>
        <w:tblW w:w="10205" w:type="dxa"/>
        <w:jc w:val="left"/>
        <w:tblInd w:w="0" w:type="dxa"/>
        <w:tblCellMar>
          <w:top w:w="28" w:type="dxa"/>
          <w:left w:w="28" w:type="dxa"/>
          <w:bottom w:w="28" w:type="dxa"/>
          <w:right w:w="28" w:type="dxa"/>
        </w:tblCellMar>
      </w:tblPr>
      <w:tblGrid>
        <w:gridCol w:w="124"/>
        <w:gridCol w:w="271"/>
        <w:gridCol w:w="9810"/>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1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Celldex’s determination to discontinue the development of CDX-0158 (formerly known as KTN0158) was proper and valid under the Merger Agreement;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309"/>
        <w:gridCol w:w="9772"/>
      </w:tblGrid>
      <w:tr>
        <w:trPr/>
        <w:tc>
          <w:tcPr>
            <w:tcW w:w="12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7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 Abandonment Notice dated December 5, 2018 from Celldex was valid and effective under the Merger Agreement and that the “Successful Completion of Phase I Clinical Trial for KTN0158” Milestone has not been achieved and has properly been abandoned; and</w:t>
            </w:r>
          </w:p>
        </w:tc>
      </w:tr>
    </w:tbl>
    <w:tbl>
      <w:tblPr>
        <w:tblW w:w="10205" w:type="dxa"/>
        <w:jc w:val="left"/>
        <w:tblInd w:w="0" w:type="dxa"/>
        <w:tblCellMar>
          <w:top w:w="28" w:type="dxa"/>
          <w:left w:w="28" w:type="dxa"/>
          <w:bottom w:w="28" w:type="dxa"/>
          <w:right w:w="28" w:type="dxa"/>
        </w:tblCellMar>
      </w:tblPr>
      <w:tblGrid>
        <w:gridCol w:w="124"/>
        <w:gridCol w:w="397"/>
        <w:gridCol w:w="9684"/>
      </w:tblGrid>
      <w:tr>
        <w:trPr/>
        <w:tc>
          <w:tcPr>
            <w:tcW w:w="12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68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the CDX-0159 program is not a program that results in milestone payments under the Merger Agreement.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w:t>
      </w:r>
      <w:r>
        <w:rPr>
          <w:rFonts w:ascii="Times New Roman;Times;serif" w:hAnsi="Times New Roman;Times;serif"/>
          <w:color w:val="231F20"/>
          <w:sz w:val="20"/>
        </w:rPr>
        <w:t xml:space="preserve"> The parties entered into non-binding mediation in May 2021 following SRS’s approach to Celldex about its interest in settlement or mediation discussions, but those discussions did not result in a resolution of the dispute. The case remains ongoing and we are currently unable to predict or estimate the outcome of this matter. The case is currently scheduled for trial in June 2022.</w:t>
      </w:r>
    </w:p>
    <w:p>
      <w:pPr>
        <w:pStyle w:val="TextBody"/>
        <w:spacing w:before="0" w:after="240"/>
        <w:ind w:left="0" w:right="0" w:hanging="0"/>
        <w:rPr>
          <w:rFonts w:ascii="Times New Roman;Times;serif" w:hAnsi="Times New Roman;Times;serif"/>
          <w:b/>
          <w:sz w:val="20"/>
        </w:rPr>
      </w:pPr>
      <w:bookmarkStart w:id="33" w:name="Item4MINESAFETYDISCLOSURES_355906"/>
      <w:bookmarkStart w:id="34" w:name="_fd0c6649_196d_4d11_9aa2_7fe02ffb8b79"/>
      <w:bookmarkEnd w:id="33"/>
      <w:bookmarkEnd w:id="34"/>
      <w:r>
        <w:rPr>
          <w:rFonts w:ascii="Times New Roman;Times;serif" w:hAnsi="Times New Roman;Times;serif"/>
          <w:b/>
          <w:sz w:val="20"/>
        </w:rPr>
        <w:t>Item 4. MINE SAFETY DISCLOSURES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center"/>
        <w:rPr>
          <w:rFonts w:ascii="Times New Roman;Times;serif" w:hAnsi="Times New Roman;Times;serif"/>
          <w:b/>
          <w:sz w:val="20"/>
        </w:rPr>
      </w:pPr>
      <w:bookmarkStart w:id="35" w:name="PARTII_68508"/>
      <w:bookmarkStart w:id="36" w:name="_1716621a_a3f3_4ea3_8ec5_a9e0a83ef192"/>
      <w:bookmarkEnd w:id="35"/>
      <w:bookmarkEnd w:id="36"/>
      <w:r>
        <w:rPr>
          <w:rFonts w:ascii="Times New Roman;Times;serif" w:hAnsi="Times New Roman;Times;serif"/>
          <w:b/>
          <w:sz w:val="20"/>
        </w:rPr>
        <w:t>PART II</w:t>
      </w:r>
    </w:p>
    <w:p>
      <w:pPr>
        <w:pStyle w:val="TextBody"/>
        <w:spacing w:before="0" w:after="240"/>
        <w:ind w:left="0" w:right="0" w:hanging="0"/>
        <w:rPr>
          <w:rFonts w:ascii="Times New Roman;Times;serif" w:hAnsi="Times New Roman;Times;serif"/>
          <w:b/>
          <w:sz w:val="20"/>
        </w:rPr>
      </w:pPr>
      <w:bookmarkStart w:id="37" w:name="Item5MARKETFORREGISTRANTS_239721"/>
      <w:bookmarkEnd w:id="37"/>
      <w:r>
        <w:rPr>
          <w:rFonts w:ascii="Times New Roman;Times;serif" w:hAnsi="Times New Roman;Times;serif"/>
          <w:b/>
          <w:sz w:val="20"/>
        </w:rPr>
        <w:t>Item 5. MARKET FOR REGISTRANT’S COMMON EQUITY, RELATED STOCKHOLDER MATTERS AND ISSUER PURCHASES OF EQUITY SECURITIES</w:t>
      </w:r>
    </w:p>
    <w:p>
      <w:pPr>
        <w:pStyle w:val="TextBody"/>
        <w:spacing w:before="0" w:after="0"/>
        <w:ind w:left="0" w:right="0" w:firstLine="360"/>
        <w:rPr>
          <w:rFonts w:ascii="Times New Roman;Times;serif" w:hAnsi="Times New Roman;Times;serif"/>
          <w:color w:val="231F20"/>
          <w:sz w:val="20"/>
        </w:rPr>
      </w:pPr>
      <w:r>
        <w:rPr>
          <w:rFonts w:ascii="Times New Roman;Times;serif" w:hAnsi="Times New Roman;Times;serif"/>
          <w:color w:val="231F20"/>
          <w:sz w:val="20"/>
        </w:rPr>
        <w:t>Our common stock currently trades on the Nasdaq Capital Market (NASDAQ) under the symbol “CLDX.” On February 8, 2019, we effected a one for fifteen reverse stock split of our common stock. As of February 17, 2022, there were approximately 158 shareholders of record of our common stock. On February 17, 2022 the closing price of our common stock, as reported by NASDAQ, was $30.25 per share. We have not paid any dividends on our common stock since our inception and do not intend to pay any dividends in the foreseeable future.</w:t>
      </w:r>
    </w:p>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CELLDEX THERAPEUTICS, INC., NASDAQ MARKET INDEX — U.S. AND PEER GROUP INDICES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graph below compares the cumulative total stockholder return on the common stock for the period from December 31, 2016 through December 31, 2021, with the cumulative return on (i) NASDAQ U.S. Benchmark TR Index and (ii) NASDAQ Pharmaceutical (Subsector) Index. The comparison assumes investment of $100 on December 31, 2016 in our common stock and in each of the indices and, in each case, assumes reinvestment of all dividends. The points on the graph are as of December 31 of the year indicated.</w:t>
      </w:r>
    </w:p>
    <w:p>
      <w:pPr>
        <w:pStyle w:val="TextBody"/>
        <w:spacing w:before="0" w:after="0"/>
        <w:ind w:left="0" w:right="0" w:firstLine="360"/>
        <w:jc w:val="center"/>
        <w:rPr/>
      </w:pPr>
      <w:r>
        <w:rPr/>
        <w:drawing>
          <wp:inline distT="0" distB="0" distL="0" distR="0">
            <wp:extent cx="5367655" cy="446659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5367655" cy="4466590"/>
                    </a:xfrm>
                    <a:prstGeom prst="rect">
                      <a:avLst/>
                    </a:prstGeom>
                  </pic:spPr>
                </pic:pic>
              </a:graphicData>
            </a:graphic>
          </wp:inline>
        </w:drawing>
      </w:r>
    </w:p>
    <w:p>
      <w:pPr>
        <w:pStyle w:val="TextBody"/>
        <w:spacing w:before="0" w:after="0"/>
        <w:ind w:left="0" w:right="0" w:hanging="0"/>
        <w:rPr/>
      </w:pPr>
      <w:r>
        <w:rPr/>
        <w:t>​</w:t>
      </w:r>
    </w:p>
    <w:tbl>
      <w:tblPr>
        <w:tblW w:w="9514" w:type="dxa"/>
        <w:jc w:val="left"/>
        <w:tblInd w:w="0" w:type="dxa"/>
        <w:tblCellMar>
          <w:top w:w="0" w:type="dxa"/>
          <w:left w:w="0" w:type="dxa"/>
          <w:bottom w:w="0" w:type="dxa"/>
          <w:right w:w="0" w:type="dxa"/>
        </w:tblCellMar>
      </w:tblPr>
      <w:tblGrid>
        <w:gridCol w:w="3661"/>
        <w:gridCol w:w="326"/>
        <w:gridCol w:w="211"/>
        <w:gridCol w:w="421"/>
        <w:gridCol w:w="326"/>
        <w:gridCol w:w="211"/>
        <w:gridCol w:w="421"/>
        <w:gridCol w:w="326"/>
        <w:gridCol w:w="211"/>
        <w:gridCol w:w="421"/>
        <w:gridCol w:w="326"/>
        <w:gridCol w:w="211"/>
        <w:gridCol w:w="421"/>
        <w:gridCol w:w="326"/>
        <w:gridCol w:w="211"/>
        <w:gridCol w:w="421"/>
        <w:gridCol w:w="326"/>
        <w:gridCol w:w="211"/>
        <w:gridCol w:w="526"/>
      </w:tblGrid>
      <w:tr>
        <w:trPr/>
        <w:tc>
          <w:tcPr>
            <w:tcW w:w="3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324735" cy="175260"/>
                      <wp:effectExtent l="0" t="0" r="0" b="0"/>
                      <wp:wrapNone/>
                      <wp:docPr id="16" name="Frame15"/>
                      <a:graphic xmlns:a="http://schemas.openxmlformats.org/drawingml/2006/main">
                        <a:graphicData uri="http://schemas.microsoft.com/office/word/2010/wordprocessingShape">
                          <wps:wsp>
                            <wps:cNvSpPr txBox="1"/>
                            <wps:spPr>
                              <a:xfrm>
                                <a:off x="0" y="0"/>
                                <a:ext cx="2324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67335" cy="175260"/>
                      <wp:effectExtent l="0" t="0" r="0" b="0"/>
                      <wp:wrapNone/>
                      <wp:docPr id="19" name="Frame18"/>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67335" cy="175260"/>
                      <wp:effectExtent l="0" t="0" r="0" b="0"/>
                      <wp:wrapNone/>
                      <wp:docPr id="22" name="Frame21"/>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67335" cy="175260"/>
                      <wp:effectExtent l="0" t="0" r="0" b="0"/>
                      <wp:wrapNone/>
                      <wp:docPr id="25" name="Frame24"/>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67335" cy="175260"/>
                      <wp:effectExtent l="0" t="0" r="0" b="0"/>
                      <wp:wrapNone/>
                      <wp:docPr id="28" name="Frame2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67335" cy="175260"/>
                      <wp:effectExtent l="0" t="0" r="0" b="0"/>
                      <wp:wrapNone/>
                      <wp:docPr id="31" name="Frame30"/>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34010" cy="175260"/>
                      <wp:effectExtent l="0" t="0" r="0" b="0"/>
                      <wp:wrapNone/>
                      <wp:docPr id="34" name="Frame33"/>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2016</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2017</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2018</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Celldex Therapeutics, Inc.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NASDAQ U.S. Benchmark TR Index</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NASDAQ Pharmaceutical (Subsector) Index</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202</w:t>
            </w:r>
          </w:p>
        </w:tc>
      </w:tr>
    </w:tbl>
    <w:p>
      <w:pPr>
        <w:pStyle w:val="TextBody"/>
        <w:spacing w:before="0" w:after="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38" w:name="Item6SELECTEDFINANCIALDATA_500251"/>
      <w:bookmarkStart w:id="39" w:name="_650264"/>
      <w:bookmarkStart w:id="40" w:name="_77b944ce_6dde_4160_b36c_1dc9710bab0b"/>
      <w:bookmarkEnd w:id="38"/>
      <w:bookmarkEnd w:id="39"/>
      <w:bookmarkEnd w:id="40"/>
      <w:r>
        <w:rPr>
          <w:rFonts w:ascii="Times New Roman;Times;serif" w:hAnsi="Times New Roman;Times;serif"/>
          <w:b/>
          <w:sz w:val="20"/>
        </w:rPr>
        <w:t>Item 6. [Reserved]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41" w:name="Item7MANAGEMENTSDISCUSSION_91937"/>
      <w:bookmarkStart w:id="42" w:name="_769b0532_fd28_4e78_a08d_d9b123fb4eb3"/>
      <w:bookmarkEnd w:id="41"/>
      <w:bookmarkEnd w:id="42"/>
      <w:r>
        <w:rPr>
          <w:rFonts w:ascii="Times New Roman;Times;serif" w:hAnsi="Times New Roman;Times;serif"/>
          <w:b/>
          <w:sz w:val="20"/>
        </w:rPr>
        <w:t>Item 7. MANAGEMENT’S DISCUSSION AND ANALYSIS OF FINANCIAL CONDITION AND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CDX-0159, a monoclonal antibody that specifically binds the KIT receptor and potently inhibits its activity, currently being studied in mast cell driven diseases. In October and December 2020 respectively, we announced that enrollment had opened and the first patients had been dosed in Phase 1b studies in CSU and CIndU. Positive interim data from the Phase 1b study in CIndU were reported in July and September 2021 in patients with cold urticaria and symptomatic dermographism. The study has also been expanded to include patients with cholinergic urticaria and in December 2021 we announced that the first patient had been dosed in a Phase 1b study in PN.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CDX-1140, an agonist monoclonal antibody targeted to CD40, a key activator of immune response, currently being studied in a Phase 1 study. Dose escalation was completed in solid tumors and lymphoma and the recommended dose for further study was determined to be 1.5 mg/kg for both CDX-1140 monotherapy and in combination. We have initiated multiple expansion cohorts within the study, including a combination cohort with KEYTRUDA® (pembrolizumab) in patients refractory to PD-1/PD-L1 treatment.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CDX-527, a bispecific antibody that uses our proprietary highly active anti-PD-L1 and CD27 human antibodies to couple CD27 co-stimulation with blockade of the PD-L1/PD-1 pathway, for which we initiated a Phase 1 study in advanced solid tumors in August 2020.</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routinely work with external parties to collaboratively advance our drug candidates. In addition to Celldex-led studies, we also have an Investigator Initiated Research (IIR) program with multiple studies ongoing with our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tbl>
      <w:tblPr>
        <w:tblW w:w="2518" w:type="dxa"/>
        <w:jc w:val="left"/>
        <w:tblInd w:w="0" w:type="dxa"/>
        <w:tblCellMar>
          <w:top w:w="0" w:type="dxa"/>
          <w:left w:w="0" w:type="dxa"/>
          <w:bottom w:w="0" w:type="dxa"/>
          <w:right w:w="0" w:type="dxa"/>
        </w:tblCellMar>
      </w:tblPr>
      <w:tblGrid>
        <w:gridCol w:w="1141"/>
        <w:gridCol w:w="326"/>
        <w:gridCol w:w="1051"/>
      </w:tblGrid>
      <w:tr>
        <w:trPr/>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24535" cy="175260"/>
                      <wp:effectExtent l="0" t="0" r="0" b="0"/>
                      <wp:wrapNone/>
                      <wp:docPr id="35" name="Frame3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7385" cy="175260"/>
                      <wp:effectExtent l="0" t="0" r="0" b="0"/>
                      <wp:wrapNone/>
                      <wp:docPr id="37" name="Frame3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Clinical Phase</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 – 2 Years</w:t>
            </w:r>
          </w:p>
        </w:tc>
      </w:tr>
      <w:tr>
        <w:trPr/>
        <w:tc>
          <w:tcPr>
            <w:tcW w:w="1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Phase 2</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 – 5 Years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CellMar>
          <w:top w:w="28" w:type="dxa"/>
          <w:left w:w="28" w:type="dxa"/>
          <w:bottom w:w="28" w:type="dxa"/>
          <w:right w:w="28" w:type="dxa"/>
        </w:tblCellMar>
      </w:tblPr>
      <w:tblGrid>
        <w:gridCol w:w="124"/>
        <w:gridCol w:w="256"/>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CellMar>
          <w:top w:w="28" w:type="dxa"/>
          <w:left w:w="28" w:type="dxa"/>
          <w:bottom w:w="28" w:type="dxa"/>
          <w:right w:w="28" w:type="dxa"/>
        </w:tblCellMar>
      </w:tblPr>
      <w:tblGrid>
        <w:gridCol w:w="124"/>
        <w:gridCol w:w="256"/>
        <w:gridCol w:w="4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CellMar>
          <w:top w:w="28" w:type="dxa"/>
          <w:left w:w="28" w:type="dxa"/>
          <w:bottom w:w="28" w:type="dxa"/>
          <w:right w:w="28" w:type="dxa"/>
        </w:tblCellMar>
      </w:tblPr>
      <w:tblGrid>
        <w:gridCol w:w="124"/>
        <w:gridCol w:w="256"/>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During the past five years through December 31, 2021, we incurred an aggregate of $301.1 million in research and development expenses. The following table indicates the amount incurred for each of our significant research programs and for other identified research and development activities during the years ended December 31, 2021, 2020 and 2019. The amounts disclosed in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following table reflect direct research and development costs, license fees associated with the underlying technology and an allocation of indirect research and development costs to each program.</w:t>
      </w:r>
    </w:p>
    <w:p>
      <w:pPr>
        <w:pStyle w:val="TextBody"/>
        <w:spacing w:before="0" w:after="0"/>
        <w:ind w:left="0" w:right="0" w:firstLine="360"/>
        <w:rPr/>
      </w:pPr>
      <w:r>
        <w:rPr/>
        <w:t>​</w:t>
      </w:r>
    </w:p>
    <w:tbl>
      <w:tblPr>
        <w:tblW w:w="8047" w:type="dxa"/>
        <w:jc w:val="left"/>
        <w:tblInd w:w="0" w:type="dxa"/>
        <w:tblCellMar>
          <w:top w:w="0" w:type="dxa"/>
          <w:left w:w="0" w:type="dxa"/>
          <w:bottom w:w="0" w:type="dxa"/>
          <w:right w:w="0" w:type="dxa"/>
        </w:tblCellMar>
      </w:tblPr>
      <w:tblGrid>
        <w:gridCol w:w="2521"/>
        <w:gridCol w:w="326"/>
        <w:gridCol w:w="356"/>
        <w:gridCol w:w="1145"/>
        <w:gridCol w:w="326"/>
        <w:gridCol w:w="356"/>
        <w:gridCol w:w="1145"/>
        <w:gridCol w:w="326"/>
        <w:gridCol w:w="327"/>
        <w:gridCol w:w="1219"/>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00835" cy="175260"/>
                      <wp:effectExtent l="0" t="0" r="0" b="0"/>
                      <wp:wrapNone/>
                      <wp:docPr id="38" name="Frame37"/>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26060" cy="175260"/>
                      <wp:effectExtent l="0" t="0" r="0" b="0"/>
                      <wp:wrapNone/>
                      <wp:docPr id="40" name="Frame39"/>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27075" cy="175260"/>
                      <wp:effectExtent l="0" t="0" r="0" b="0"/>
                      <wp:wrapNone/>
                      <wp:docPr id="41" name="Frame40"/>
                      <a:graphic xmlns:a="http://schemas.openxmlformats.org/drawingml/2006/main">
                        <a:graphicData uri="http://schemas.microsoft.com/office/word/2010/wordprocessingShape">
                          <wps:wsp>
                            <wps:cNvSpPr txBox="1"/>
                            <wps:spPr>
                              <a:xfrm>
                                <a:off x="0" y="0"/>
                                <a:ext cx="727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6060" cy="175260"/>
                      <wp:effectExtent l="0" t="0" r="0" b="0"/>
                      <wp:wrapNone/>
                      <wp:docPr id="43" name="Frame42"/>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27075" cy="175260"/>
                      <wp:effectExtent l="0" t="0" r="0" b="0"/>
                      <wp:wrapNone/>
                      <wp:docPr id="44" name="Frame43"/>
                      <a:graphic xmlns:a="http://schemas.openxmlformats.org/drawingml/2006/main">
                        <a:graphicData uri="http://schemas.microsoft.com/office/word/2010/wordprocessingShape">
                          <wps:wsp>
                            <wps:cNvSpPr txBox="1"/>
                            <wps:spPr>
                              <a:xfrm>
                                <a:off x="0" y="0"/>
                                <a:ext cx="727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645" cy="175260"/>
                      <wp:effectExtent l="0" t="0" r="0" b="0"/>
                      <wp:wrapNone/>
                      <wp:docPr id="46" name="Frame45"/>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74065" cy="175260"/>
                      <wp:effectExtent l="0" t="0" r="0" b="0"/>
                      <wp:wrapNone/>
                      <wp:docPr id="47" name="Frame46"/>
                      <a:graphic xmlns:a="http://schemas.openxmlformats.org/drawingml/2006/main">
                        <a:graphicData uri="http://schemas.microsoft.com/office/word/2010/wordprocessingShape">
                          <wps:wsp>
                            <wps:cNvSpPr txBox="1"/>
                            <wps:spPr>
                              <a:xfrm>
                                <a:off x="0" y="0"/>
                                <a:ext cx="774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2019</w:t>
            </w:r>
          </w:p>
        </w:tc>
      </w:tr>
      <w:tr>
        <w:trPr/>
        <w:tc>
          <w:tcPr>
            <w:tcW w:w="8047"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00"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CDX-0159/Anti-KIT Program</w:t>
            </w:r>
          </w:p>
        </w:tc>
        <w:tc>
          <w:tcPr>
            <w:tcW w:w="326"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24,395</w:t>
            </w:r>
          </w:p>
        </w:tc>
        <w:tc>
          <w:tcPr>
            <w:tcW w:w="326"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8,444</w:t>
            </w:r>
          </w:p>
        </w:tc>
        <w:tc>
          <w:tcPr>
            <w:tcW w:w="32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4,370</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CDX-1140 and CDX-301 </w:t>
            </w:r>
          </w:p>
        </w:tc>
        <w:tc>
          <w:tcPr>
            <w:tcW w:w="326"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rPr/>
            </w:pPr>
            <w:r>
              <w:rPr/>
              <w:t> </w:t>
            </w:r>
          </w:p>
        </w:tc>
        <w:tc>
          <w:tcPr>
            <w:tcW w:w="11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5,439</w:t>
            </w:r>
          </w:p>
        </w:tc>
        <w:tc>
          <w:tcPr>
            <w:tcW w:w="326"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rPr/>
            </w:pPr>
            <w:r>
              <w:rPr/>
              <w:t> </w:t>
            </w:r>
          </w:p>
        </w:tc>
        <w:tc>
          <w:tcPr>
            <w:tcW w:w="11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10,948</w:t>
            </w:r>
          </w:p>
        </w:tc>
        <w:tc>
          <w:tcPr>
            <w:tcW w:w="32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2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8,548</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CDX-527 </w:t>
            </w:r>
          </w:p>
        </w:tc>
        <w:tc>
          <w:tcPr>
            <w:tcW w:w="326"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rPr/>
            </w:pPr>
            <w:r>
              <w:rPr/>
              <w:t> </w:t>
            </w:r>
          </w:p>
        </w:tc>
        <w:tc>
          <w:tcPr>
            <w:tcW w:w="11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3,619</w:t>
            </w:r>
          </w:p>
        </w:tc>
        <w:tc>
          <w:tcPr>
            <w:tcW w:w="326"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rPr/>
            </w:pPr>
            <w:r>
              <w:rPr/>
              <w:t> </w:t>
            </w:r>
          </w:p>
        </w:tc>
        <w:tc>
          <w:tcPr>
            <w:tcW w:w="11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c>
          <w:tcPr>
            <w:tcW w:w="32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 </w:t>
            </w:r>
          </w:p>
        </w:tc>
        <w:tc>
          <w:tcPr>
            <w:tcW w:w="12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9,117</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Programs </w:t>
            </w:r>
          </w:p>
        </w:tc>
        <w:tc>
          <w:tcPr>
            <w:tcW w:w="326" w:type="dxa"/>
            <w:tcBorders/>
            <w:shd w:fill="auto" w:val="clear"/>
            <w:vAlign w:val="center"/>
          </w:tcPr>
          <w:p>
            <w:pPr>
              <w:pStyle w:val="TableContents"/>
              <w:spacing w:before="0" w:after="0"/>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19,858</w:t>
            </w:r>
          </w:p>
        </w:tc>
        <w:tc>
          <w:tcPr>
            <w:tcW w:w="326" w:type="dxa"/>
            <w:tcBorders/>
            <w:shd w:fill="auto" w:val="clear"/>
            <w:vAlign w:val="center"/>
          </w:tcPr>
          <w:p>
            <w:pPr>
              <w:pStyle w:val="TableContents"/>
              <w:spacing w:before="0" w:after="0"/>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14,302</w:t>
            </w:r>
          </w:p>
        </w:tc>
        <w:tc>
          <w:tcPr>
            <w:tcW w:w="326" w:type="dxa"/>
            <w:tcBorders/>
            <w:shd w:fill="auto" w:val="clear"/>
            <w:vAlign w:val="center"/>
          </w:tcPr>
          <w:p>
            <w:pPr>
              <w:pStyle w:val="TableContents"/>
              <w:spacing w:before="0" w:after="0"/>
              <w:ind w:left="0" w:right="0" w:hanging="0"/>
              <w:rPr/>
            </w:pPr>
            <w:r>
              <w:rPr/>
              <w:t>​</w:t>
            </w:r>
          </w:p>
        </w:tc>
        <w:tc>
          <w:tcPr>
            <w:tcW w:w="3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20,637</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R&amp;D Expense </w:t>
            </w:r>
          </w:p>
        </w:tc>
        <w:tc>
          <w:tcPr>
            <w:tcW w:w="326" w:type="dxa"/>
            <w:tcBorders/>
            <w:shd w:fill="CCEEFF" w:val="clear"/>
            <w:vAlign w:val="center"/>
          </w:tcPr>
          <w:p>
            <w:pPr>
              <w:pStyle w:val="TableContents"/>
              <w:spacing w:before="0" w:after="0"/>
              <w:ind w:left="0" w:right="0" w:hanging="0"/>
              <w:rPr/>
            </w:pPr>
            <w:r>
              <w:rPr/>
              <w:t>​</w:t>
            </w:r>
          </w:p>
        </w:tc>
        <w:tc>
          <w:tcPr>
            <w:tcW w:w="3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53,311</w:t>
            </w:r>
          </w:p>
        </w:tc>
        <w:tc>
          <w:tcPr>
            <w:tcW w:w="326" w:type="dxa"/>
            <w:tcBorders/>
            <w:shd w:fill="CCEEFF" w:val="clear"/>
            <w:vAlign w:val="center"/>
          </w:tcPr>
          <w:p>
            <w:pPr>
              <w:pStyle w:val="TableContents"/>
              <w:spacing w:before="0" w:after="0"/>
              <w:ind w:left="0" w:right="0" w:hanging="0"/>
              <w:rPr/>
            </w:pPr>
            <w:r>
              <w:rPr/>
              <w:t>​</w:t>
            </w:r>
          </w:p>
        </w:tc>
        <w:tc>
          <w:tcPr>
            <w:tcW w:w="3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42,534</w:t>
            </w:r>
          </w:p>
        </w:tc>
        <w:tc>
          <w:tcPr>
            <w:tcW w:w="326" w:type="dxa"/>
            <w:tcBorders/>
            <w:shd w:fill="CCEEFF" w:val="clear"/>
            <w:vAlign w:val="center"/>
          </w:tcPr>
          <w:p>
            <w:pPr>
              <w:pStyle w:val="TableContents"/>
              <w:spacing w:before="0" w:after="0"/>
              <w:ind w:left="0" w:right="0" w:hanging="0"/>
              <w:rPr/>
            </w:pPr>
            <w:r>
              <w:rPr/>
              <w:t>​</w:t>
            </w:r>
          </w:p>
        </w:tc>
        <w:tc>
          <w:tcPr>
            <w:tcW w:w="3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42,672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Clinical Development Programs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the Company has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CDX-0159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data supported expansion of the CDX-0159 program into mast cell driven diseases, including initially in CSU and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dermographism (scratch-induced) and cholinergic (exercise-induced) urticarias.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October 2020, we announced that enrollment had opened and the first patient had been dosed in a Phase 1b multi-center study of CDX-0159 in CSU. This study is a randomized, double-blind, placebo- 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 antihistamines, either alone or in combination with H2-antihistamines and/or leukotriene receptor agonists.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December 2020, we announced that enrollment had opened and the first patient had been dosed in a second Phase 1b study in CIndU being conducted in Germany in patients who are refractory to antihistamines. This study is an open label clinical trial designed to evaluate the safety of a single dose (3 mg/kg) of CDX-0159 in patients with cold urticaria (n=10) or symptomatic dermographism (n=10). In March and June 2021, respectively, we added a third cohort (single dose, 3 mg/kg) in patients with cholinergic urticaria (n=10) and a fourth cohort at a lower dose (single dose, 1.5 mg/kg) in cold urticaria.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on Day 1 as add on treatment to H1-antihistamines.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July of 2021, we reported positive interim data from the cold urticaria and symptomatic dermographism cohorts. As of the data cut-off on June 11, 2021, 20 patients had received a single intravenous infusion of CDX-0159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 thresholds were 3.8 (range: 3-4) of 4 pins. Safety results were reported for all 20 patients; activity results were reported for the 19 patients who received a full dose of CDX-0159. 14 of 19 patients completed the 12-week study observation period and five were ongoing (range of 2-8 weeks) as of June 11, 2021.</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disease activity as reported by physician’s and patient’s global assessment of disease severity were consistent with the complete responses as measured by provocation testing.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3 mg/kg dose of CDX-0159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CDX-0159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in March 2021,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patient with symptomatic dermographism enrolled in the study also had a diagnosis of prurigo nodularis (“PN”). After a single dose of CDX-0159, this patient experienced both a complete response of symptomatic dermographism and notable improvement of the PN.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September of 2021, we reported additional positive data from the study on measurements of symptom control and quality of life. A single dose of CDX-0159 (3 mg/kg) resulted in a rapid and sustained improvement in urticaria control and greatly reduced disease impact on quality of life, as measured by the Urticaria Control Test (UCT) and Dermatology Life Quality Index (DLQI).</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Celldex has expanded clinical development of CDX-0159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study designed to assess the safety and treatment effects across multiple dosing cohorts of CDX-0159 in up to 30 patients with PN.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Manufacturing activities to support the introduction of the CDX-0159 subcutaneous formulation into the clinical program have been completed and, in September 2021, we initiated dosing in a randomized, double-blind, placebo-controlled, Phase 1 study designed to evaluate the safety of single ascending doses of the subcutaneous formulation of CDX-0159 in healthy volunteers. In February 2022, we reported that subcutaneous administration of CDX-0159 was well tolerated and that multiple dose levels have been identified that possess promising pharmacokinetic and pharmacodynamic properties. Importantly, subcutaneous delivery of CDX-0159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Celldex anticipates the upcoming Phase 2 multi-dose studies in urticaria will evaluate 75mg and 150mg administered q4weeks and 300mg administered q8weeks. The planned doses support a 0.5 to 2 ml injection volume, allowing for a single injection as CDX-0159 advances towards potential commercialization. In 2022, we plan to initiate a transfer of our current CDX-0159 manufacturing process to a contract manufacturing organization to support late-stage trials and to prepare for potential commercialization.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February 2022, we also reported interim data after completing the in-life dosing portion of our six month chronic toxicology study in non-human primates; a subset of the animals will continue to be followed beyond clearance of the CDX-0159 antibody to study completion. As expected and consistent with other KIT-targeting agents, impact on spermatogenesis was observed which is anticipated to be fully reversible upon clearance of the antibody. There were no other clinically adverse findings reported in the study. Celldex believes these data strongly support the Company’s planned Phase 2 studies in urticaria later this year and in future indications.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February 2022, we announced that we will be expanding clinical development of CDX-0159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are limited treatment options for EoE. Individuals often participate in an elimination diet to identify potential food allergens that may contribute to EoE, avoid difficult to swallow foods and undergo esophageal dilation. While not approved for EoE, proton pump inhibitors and the swallowing of topical corticosteroids are also used to address the disease. Industry sources estimate there are approximately 160,000 patients in the United States with EoE who have undergone treatment within the last 12 months and, of these, approximately 48,000 would be biologic-eligible. Given the lack of effective therapies for EoE and CDX-0159’s potential as a mast cell depleting agent, we believe EoE is an important indication for future study.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continue to assess potential opportunities for CDX-0159 in other diseases where mast cells play an important role, such as dermatologic, respiratory, allergic, gastrointestinal and ophthalmic conditions.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CDX-1140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concentrations to levels that may not be optimal for engaging CD40 expressing cells in the tumor microenvironment.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2017, we initiated a Phase 1 study of CDX-1140 in up to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A combination cohort with CDX-301, a hematopoietic cytokine that uniquely expands dendritic cells and hematopoietic stem cells and a safety run-in combination cohort with gemcitabine/nab-paclitaxel in patients with previously untreated metastatic pancreatic adenocarcinoma have been completed. A combination of CDX-1140 with pembrolizumab has completed the safety run-in phase. Expansion cohorts in patients with checkpoint-refractory/resistant squamous cell head and neck cancer and non-small cell lung cancer are enrolling patients.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2020, we reported interim Phase 1 data from patients treated at the maximum tolerated dose (MTD) and recommended dose of 1.5 mg/kg—one of the highest systemic dose levels in the CD40 agonist class. Interim data from the study were presented at the Society for Immunotherapy of Cancer’s (SITC) 35th Annual Meeting 2020 (n=41; 25 mono, 16 with CDX-301 and 29 with post-treatment scans). Preliminary safety data from the combination cohort with pembrolizumab (n=9; 4 at 0.72 mg/kg and 5 at 1.5 mg/kg CDX-1140) were also presented. CDX-1140 monotherapy and in combination with pembrolizumab was generally well tolerated with mostly grade 1 or 2 drug related adverse events. Activity at 1.5mg/kg dose of CDX-1140 included an ongoing complete response (CR; 18 months as of Oct 2021) in a patient with follicular lymphoma treated with CDX-1140 monotherapy. There was notable tumor shrinkage and/or necrosis in 6 patients with squamous cell head and neck cancer (SCCHN) treated with CDX-1140 alone or in combination with CDX-301 and stable disease (n=10) for 11 to 32 weeks. CDX-1140 provided good systemic exposure and resulted in marked changes in the tumor microenvironment.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2021, we provided an update on the ongoing Phase 1 study. Emerging data from the safety run-in cohort of CDX-1140 with gemcitabine/nab-paclitaxel in patients with previously untreated metastatic pancreatic adenocarcinoma and external CD40 agonist data recently reported using the same regimen, suggest that simultaneous treatment with chemotherapy and CD40 activation may not be optimal. Alternative strategies for investigating CDX-1140 in pancreatic cancer in other regimens are being explored, including through investigator sponsored studies. The combination of CDX-1140 with pembrolizumab has completed the safety run-in phase. Expansion cohorts in patients with checkpoint-refractory/resistant squamous cell head and neck cancer and non-small cell lung cancer are enrolling patients. Of the six patients with squamous cell head and neck cancer treated with CDX-1140 at 1.5 mg/kg in combination with pembrolizumab, encouraging preliminary results have been observed including a confirmed partial response and durable stable disease. Of the six evaluable patients with non-small cell lung cancer, four have had stable disease as their best response. Adverse events, such as arthralgia, myalgia and fatigue, have occurred more frequently in combination with pembrolizumab relative to CDX-1140 monotherapy and the protocol has been amended to allow CDX-1140 dose reduction, if necessary, to help manage these toxicities. Enrollment to the study is ongoing.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CDX-527</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activate anti-tumor T cell responses through CD27 costimulation, while preventing PD-1 inhibitory signals that subvert the immune response.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 tumor immunity than the combination of parental monoclonal antibodies.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 Enrollment to the dose escalation portion of the study has been completed and an expansion cohort in ovarian cancer is enrolling patients.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Interim data were presented at the American Society of Clinical Oncology (ASCO) 2021 Annual Meeting in June that demonstrated a good safety profile along with promising pharmacodynamic and pharmacokinetic activity, which are important key hurdles for the development of bispecific antibodies. As of the data cut-off (April 16, 2021), 11 patients were enrolled in the first 5 dose escalation cohorts, 0.03 mg/kg through 3 mg/kg.CDX-527 was well tolerated, with no dose-limiting toxicities or treatment related serious adverse events observed. Pharmacokinetics and receptor occupancy demonstrate good exposure starting at the 1 mg/kg dose and no evidence of significant anti-drug antibodies impact. Pharmacodynamic parameters demonstrate biological activity consistent with immune activation including: transient increase in pro inflammatory cytokines/chemokines, upregulation of activation marker on T cells and particularly NK cells and a decrease in regulatory T cells.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Contingent Consideration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record contingent consideration resulting from a business combination at its fair value on the acquisition date. We determine the fair value of the contingent consideration based primarily on the following factors:</w:t>
      </w:r>
    </w:p>
    <w:tbl>
      <w:tblPr>
        <w:tblW w:w="6666" w:type="dxa"/>
        <w:jc w:val="left"/>
        <w:tblInd w:w="0" w:type="dxa"/>
        <w:tblCellMar>
          <w:top w:w="28" w:type="dxa"/>
          <w:left w:w="28" w:type="dxa"/>
          <w:bottom w:w="28" w:type="dxa"/>
          <w:right w:w="28" w:type="dxa"/>
        </w:tblCellMar>
      </w:tblPr>
      <w:tblGrid>
        <w:gridCol w:w="124"/>
        <w:gridCol w:w="256"/>
        <w:gridCol w:w="6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probability of success of clinical events or regulatory approvals;</w:t>
            </w:r>
          </w:p>
        </w:tc>
      </w:tr>
    </w:tbl>
    <w:tbl>
      <w:tblPr>
        <w:tblW w:w="7461" w:type="dxa"/>
        <w:jc w:val="left"/>
        <w:tblInd w:w="0" w:type="dxa"/>
        <w:tblCellMar>
          <w:top w:w="28" w:type="dxa"/>
          <w:left w:w="28" w:type="dxa"/>
          <w:bottom w:w="28" w:type="dxa"/>
          <w:right w:w="28" w:type="dxa"/>
        </w:tblCellMar>
      </w:tblPr>
      <w:tblGrid>
        <w:gridCol w:w="124"/>
        <w:gridCol w:w="256"/>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probability of success of meeting clinical and commercial milestones; and</w:t>
            </w:r>
          </w:p>
        </w:tc>
      </w:tr>
    </w:tbl>
    <w:tbl>
      <w:tblPr>
        <w:tblW w:w="1701" w:type="dxa"/>
        <w:jc w:val="left"/>
        <w:tblInd w:w="0" w:type="dxa"/>
        <w:tblCellMar>
          <w:top w:w="28" w:type="dxa"/>
          <w:left w:w="28" w:type="dxa"/>
          <w:bottom w:w="28" w:type="dxa"/>
          <w:right w:w="28" w:type="dxa"/>
        </w:tblCellMar>
      </w:tblPr>
      <w:tblGrid>
        <w:gridCol w:w="124"/>
        <w:gridCol w:w="256"/>
        <w:gridCol w:w="1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contingent consideration liabilities arose in connection with our acquisition of Kolltan. On a quarterly basis, we revalue these obligations and record increases or decreases in their fair value as an adjustment to operating earnings.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 Recognition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Revenues are recognized when performance obligations under agreements or contracts are satisfied, in an amount that reflects the consideration the Company expects to be entitled to in exchange for those services.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determines revenue recognition through the following steps:</w:t>
      </w:r>
    </w:p>
    <w:tbl>
      <w:tblPr>
        <w:tblW w:w="5316" w:type="dxa"/>
        <w:jc w:val="left"/>
        <w:tblInd w:w="0" w:type="dxa"/>
        <w:tblCellMar>
          <w:top w:w="28" w:type="dxa"/>
          <w:left w:w="28" w:type="dxa"/>
          <w:bottom w:w="28" w:type="dxa"/>
          <w:right w:w="28" w:type="dxa"/>
        </w:tblCellMar>
      </w:tblPr>
      <w:tblGrid>
        <w:gridCol w:w="124"/>
        <w:gridCol w:w="25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666" w:type="dxa"/>
        <w:jc w:val="left"/>
        <w:tblInd w:w="0" w:type="dxa"/>
        <w:tblCellMar>
          <w:top w:w="28" w:type="dxa"/>
          <w:left w:w="28" w:type="dxa"/>
          <w:bottom w:w="28" w:type="dxa"/>
          <w:right w:w="28" w:type="dxa"/>
        </w:tblCellMar>
      </w:tblPr>
      <w:tblGrid>
        <w:gridCol w:w="124"/>
        <w:gridCol w:w="256"/>
        <w:gridCol w:w="3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461" w:type="dxa"/>
        <w:jc w:val="left"/>
        <w:tblInd w:w="0" w:type="dxa"/>
        <w:tblCellMar>
          <w:top w:w="28" w:type="dxa"/>
          <w:left w:w="28" w:type="dxa"/>
          <w:bottom w:w="28" w:type="dxa"/>
          <w:right w:w="28" w:type="dxa"/>
        </w:tblCellMar>
      </w:tblPr>
      <w:tblGrid>
        <w:gridCol w:w="124"/>
        <w:gridCol w:w="256"/>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7401" w:type="dxa"/>
        <w:jc w:val="left"/>
        <w:tblInd w:w="0" w:type="dxa"/>
        <w:tblCellMar>
          <w:top w:w="28" w:type="dxa"/>
          <w:left w:w="28" w:type="dxa"/>
          <w:bottom w:w="28" w:type="dxa"/>
          <w:right w:w="28" w:type="dxa"/>
        </w:tblCellMar>
      </w:tblPr>
      <w:tblGrid>
        <w:gridCol w:w="124"/>
        <w:gridCol w:w="256"/>
        <w:gridCol w:w="70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Intangible and Long-Lived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evaluate the recoverability of our long-lived assets, including property and equipment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impairment occurs. Discounted cash flow models are typically used in these tests, and the models require the use of significant estimates and assumptions including but not limited to:</w:t>
      </w:r>
    </w:p>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costs to complete the in-process projects;</w:t>
            </w:r>
          </w:p>
        </w:tc>
      </w:tr>
    </w:tbl>
    <w:tbl>
      <w:tblPr>
        <w:tblW w:w="6666" w:type="dxa"/>
        <w:jc w:val="left"/>
        <w:tblInd w:w="0" w:type="dxa"/>
        <w:tblCellMar>
          <w:top w:w="28" w:type="dxa"/>
          <w:left w:w="28" w:type="dxa"/>
          <w:bottom w:w="28" w:type="dxa"/>
          <w:right w:w="28" w:type="dxa"/>
        </w:tblCellMar>
      </w:tblPr>
      <w:tblGrid>
        <w:gridCol w:w="124"/>
        <w:gridCol w:w="256"/>
        <w:gridCol w:w="6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probability of success of clinical events or regulatory approvals;</w:t>
            </w:r>
          </w:p>
        </w:tc>
      </w:tr>
    </w:tbl>
    <w:tbl>
      <w:tblPr>
        <w:tblW w:w="9396" w:type="dxa"/>
        <w:jc w:val="left"/>
        <w:tblInd w:w="0" w:type="dxa"/>
        <w:tblCellMar>
          <w:top w:w="28" w:type="dxa"/>
          <w:left w:w="28" w:type="dxa"/>
          <w:bottom w:w="28" w:type="dxa"/>
          <w:right w:w="28" w:type="dxa"/>
        </w:tblCellMar>
      </w:tblPr>
      <w:tblGrid>
        <w:gridCol w:w="124"/>
        <w:gridCol w:w="256"/>
        <w:gridCol w:w="9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cash flows from product sales resulting from completed products and in-process projects; and</w:t>
            </w:r>
          </w:p>
        </w:tc>
      </w:tr>
    </w:tbl>
    <w:tbl>
      <w:tblPr>
        <w:tblW w:w="1656" w:type="dxa"/>
        <w:jc w:val="left"/>
        <w:tblInd w:w="0" w:type="dxa"/>
        <w:tblCellMar>
          <w:top w:w="28" w:type="dxa"/>
          <w:left w:w="28" w:type="dxa"/>
          <w:bottom w:w="28" w:type="dxa"/>
          <w:right w:w="28" w:type="dxa"/>
        </w:tblCellMar>
      </w:tblPr>
      <w:tblGrid>
        <w:gridCol w:w="124"/>
        <w:gridCol w:w="256"/>
        <w:gridCol w:w="1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w:t>
            </w:r>
          </w:p>
        </w:tc>
      </w:tr>
    </w:tbl>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Each IPR&amp;D asset is assessed for impairment at least annually or when impairment indicators are present. During the fourth quarter of 2020, we decided that although we had developed promising data for the AxL target within the TAM program, we would focus our efforts on out-licensing opportunities for the TAM program. As a result, we evaluated the TAM program IPR&amp;D asset for potential impairment due to the change in projected development and regulatory timelines related to the program and recorded a non-cash partial impairment charge of $14.5 million for the fourth quarter of 2020. During the third quarter of 2021, we evaluated our out-licensing progress since December 31, 2020 and the status and expectation for the TAM program. Despite our efforts to out-license, there was a lack of interest in the program from third parties. Therefore, we evaluated the TAM program IPR&amp;D asset for potential impairment using a discounted cash flow fair value model and concluded that the TAM IPR&amp;D asset was fully impaired. A non-cash impairment charge of $3.5 million was recorded during the third quarter of 2021. As a result of the discontinuation of the CDX- 3379 program in the second quarter of 2020, we concluded that the CDX-3379 IPR&amp;D asset was fully impaired, and a non-cash impairment charge of $3.5 million was recorded in the second quarter of 2020. We performed an annual impairment test of the remaining IPR&amp;D assets during the fourth quarter of 2021 and concluded that the IPR&amp;D assets were not impaired.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Stock-Based Compensation Expense</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We record stock-based compensation expense for all stock-based awards made to employees, consultants and non-employee directors based on the estimated fair values of the stock-based awards expected to vest at the grant date and adjust, if necessary, to reflect actual forfeitures. Our estimates of employee, consultant, and non-employ director stock option values rely on estimates of future uncertain events. Significant assumptions include the use of historical volatility to estimate the expected stock price volatility. We also estimate expected term based on historical exercise patterns. For consultant and non-employee director grants, we may elect to use the contractual term as the expected term in the option-pricing model. Actual volatility and lives of options may be significantly different from our estimates. Compensation expense for all stock-based awards is recognized using the straight-line method over the term of vesting or performance.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Year Ended December 31, 2021 compared with Year Ended December 31, 2020</w:t>
      </w:r>
    </w:p>
    <w:tbl>
      <w:tblPr>
        <w:tblW w:w="10205" w:type="dxa"/>
        <w:jc w:val="left"/>
        <w:tblInd w:w="0" w:type="dxa"/>
        <w:tblCellMar>
          <w:top w:w="0" w:type="dxa"/>
          <w:left w:w="0" w:type="dxa"/>
          <w:bottom w:w="0" w:type="dxa"/>
          <w:right w:w="0" w:type="dxa"/>
        </w:tblCellMar>
      </w:tblPr>
      <w:tblGrid>
        <w:gridCol w:w="4721"/>
        <w:gridCol w:w="326"/>
        <w:gridCol w:w="211"/>
        <w:gridCol w:w="788"/>
        <w:gridCol w:w="326"/>
        <w:gridCol w:w="211"/>
        <w:gridCol w:w="788"/>
        <w:gridCol w:w="326"/>
        <w:gridCol w:w="211"/>
        <w:gridCol w:w="788"/>
        <w:gridCol w:w="326"/>
        <w:gridCol w:w="863"/>
        <w:gridCol w:w="320"/>
      </w:tblGrid>
      <w:tr>
        <w:trPr/>
        <w:tc>
          <w:tcPr>
            <w:tcW w:w="4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997835" cy="175260"/>
                      <wp:effectExtent l="0" t="0" r="0" b="0"/>
                      <wp:wrapNone/>
                      <wp:docPr id="48" name="Frame47"/>
                      <a:graphic xmlns:a="http://schemas.openxmlformats.org/drawingml/2006/main">
                        <a:graphicData uri="http://schemas.microsoft.com/office/word/2010/wordprocessingShape">
                          <wps:wsp>
                            <wps:cNvSpPr txBox="1"/>
                            <wps:spPr>
                              <a:xfrm>
                                <a:off x="0" y="0"/>
                                <a:ext cx="299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0380" cy="175260"/>
                      <wp:effectExtent l="0" t="0" r="0" b="0"/>
                      <wp:wrapNone/>
                      <wp:docPr id="51" name="Frame50"/>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0380" cy="175260"/>
                      <wp:effectExtent l="0" t="0" r="0" b="0"/>
                      <wp:wrapNone/>
                      <wp:docPr id="54" name="Frame53"/>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0380" cy="175260"/>
                      <wp:effectExtent l="0" t="0" r="0" b="0"/>
                      <wp:wrapNone/>
                      <wp:docPr id="57" name="Frame56"/>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48005" cy="175260"/>
                      <wp:effectExtent l="0" t="0" r="0" b="0"/>
                      <wp:wrapNone/>
                      <wp:docPr id="59" name="Frame58"/>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3200" cy="175260"/>
                      <wp:effectExtent l="0" t="0" r="0" b="0"/>
                      <wp:wrapNone/>
                      <wp:docPr id="60" name="Frame59"/>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24" w:type="dxa"/>
            <w:gridSpan w:val="5"/>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 Ended</w:t>
            </w:r>
          </w:p>
        </w:tc>
        <w:tc>
          <w:tcPr>
            <w:tcW w:w="326" w:type="dxa"/>
            <w:tcBorders/>
            <w:shd w:fill="auto" w:val="clear"/>
            <w:vAlign w:val="center"/>
          </w:tcPr>
          <w:p>
            <w:pPr>
              <w:pStyle w:val="TableContents"/>
              <w:spacing w:before="0" w:after="0"/>
              <w:ind w:left="0" w:right="0" w:hanging="0"/>
              <w:rPr/>
            </w:pPr>
            <w:r>
              <w:rPr/>
              <w:t>​</w:t>
            </w:r>
          </w:p>
        </w:tc>
        <w:tc>
          <w:tcPr>
            <w:tcW w:w="999" w:type="dxa"/>
            <w:gridSpan w:val="2"/>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Increase/</w:t>
            </w:r>
          </w:p>
        </w:tc>
        <w:tc>
          <w:tcPr>
            <w:tcW w:w="326"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0" w:type="dxa"/>
            <w:tcBorders/>
            <w:shd w:fill="auto" w:val="clear"/>
            <w:vAlign w:val="center"/>
          </w:tcPr>
          <w:p>
            <w:pPr>
              <w:pStyle w:val="TableContents"/>
              <w:spacing w:before="0" w:after="0"/>
              <w:ind w:left="0" w:right="0" w:hanging="0"/>
              <w:rPr/>
            </w:pPr>
            <w:r>
              <w:rPr/>
              <w:t>​</w:t>
            </w:r>
          </w:p>
        </w:tc>
      </w:tr>
      <w:tr>
        <w:trPr/>
        <w:tc>
          <w:tcPr>
            <w:tcW w:w="4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2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w:t>
            </w:r>
          </w:p>
        </w:tc>
        <w:tc>
          <w:tcPr>
            <w:tcW w:w="326" w:type="dxa"/>
            <w:tcBorders/>
            <w:shd w:fill="auto" w:val="clear"/>
            <w:vAlign w:val="center"/>
          </w:tcPr>
          <w:p>
            <w:pPr>
              <w:pStyle w:val="TableContents"/>
              <w:spacing w:before="0" w:after="0"/>
              <w:ind w:left="0" w:right="0" w:hanging="0"/>
              <w:rPr/>
            </w:pPr>
            <w:r>
              <w:rPr/>
              <w:t>​</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(Decrease)</w:t>
            </w:r>
          </w:p>
        </w:tc>
        <w:tc>
          <w:tcPr>
            <w:tcW w:w="326" w:type="dxa"/>
            <w:tcBorders/>
            <w:shd w:fill="auto" w:val="clear"/>
            <w:vAlign w:val="center"/>
          </w:tcPr>
          <w:p>
            <w:pPr>
              <w:pStyle w:val="TableContents"/>
              <w:spacing w:before="0" w:after="0"/>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0" w:type="dxa"/>
            <w:tcBorders/>
            <w:shd w:fill="auto" w:val="clear"/>
            <w:vAlign w:val="center"/>
          </w:tcPr>
          <w:p>
            <w:pPr>
              <w:pStyle w:val="TableContents"/>
              <w:spacing w:before="0" w:after="0"/>
              <w:ind w:left="0" w:right="0" w:hanging="0"/>
              <w:rPr/>
            </w:pPr>
            <w:r>
              <w:rPr/>
              <w:t>​</w:t>
            </w:r>
          </w:p>
        </w:tc>
      </w:tr>
      <w:tr>
        <w:trPr/>
        <w:tc>
          <w:tcPr>
            <w:tcW w:w="4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0" w:type="dxa"/>
            <w:tcBorders/>
            <w:shd w:fill="auto" w:val="clear"/>
            <w:vAlign w:val="center"/>
          </w:tcPr>
          <w:p>
            <w:pPr>
              <w:pStyle w:val="TableContents"/>
              <w:spacing w:before="0" w:after="0"/>
              <w:ind w:left="0" w:right="0" w:hanging="0"/>
              <w:rPr/>
            </w:pPr>
            <w:r>
              <w:rPr/>
              <w:t>​</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58"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rPr>
                <w:color w:val="231F20"/>
              </w:rPr>
            </w:pPr>
            <w:r>
              <w:rPr>
                <w:color w:val="231F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pPr>
            <w:r>
              <w:rPr/>
              <w:t>​</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Product development and licensing agreements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Contracts and grants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0"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revenues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0" w:type="dxa"/>
            <w:tcBorders/>
            <w:shd w:fill="CCEEFF" w:val="clear"/>
            <w:vAlign w:val="center"/>
          </w:tcPr>
          <w:p>
            <w:pPr>
              <w:pStyle w:val="TableContents"/>
              <w:spacing w:before="0" w:after="0"/>
              <w:ind w:left="0" w:right="0" w:hanging="0"/>
              <w:jc w:val="center"/>
              <w:rPr/>
            </w:pPr>
            <w:r>
              <w:rPr/>
              <w:t> </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53,311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42,534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326"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20,488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14,456</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Intangible asset impairment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(14,500)</w:t>
            </w:r>
          </w:p>
        </w:tc>
        <w:tc>
          <w:tcPr>
            <w:tcW w:w="326"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Gain on fair value remeasurement of contingent consideration </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326"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operating expenses </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75,894</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70,772</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5,122</w:t>
            </w:r>
          </w:p>
        </w:tc>
        <w:tc>
          <w:tcPr>
            <w:tcW w:w="326"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loss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(71,243)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(63,354)</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7,889</w:t>
            </w:r>
          </w:p>
        </w:tc>
        <w:tc>
          <w:tcPr>
            <w:tcW w:w="326"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Investment and other income, net </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2,407</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26"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before income tax benefit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(70,738)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(60,947)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9,791</w:t>
            </w:r>
          </w:p>
        </w:tc>
        <w:tc>
          <w:tcPr>
            <w:tcW w:w="326"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benefit </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(70,511)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10,731</w:t>
            </w:r>
          </w:p>
        </w:tc>
        <w:tc>
          <w:tcPr>
            <w:tcW w:w="326"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Loss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$10.7 million increase in net loss for the year ended December 31, 2021, as compared to the year ended December 31, 2020, was primarily the result of an increase in research and development and general and administrative expenses, a decrease in the gain on fair value remeasurement of contingent consideration and revenue, partially offset by a decrease in non-cash intangible asset impairment expense.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The $2.3 million decrease in revenue from product development and licensing agreements for the year ended December 31, 2021, as compared to the year ended December 31, 2020, was primarily due to the $1.8 million received from the Rockefeller Transaction in the first quarter of 2020. The $0.5 million decrease in revenue from contracts and grants for the year ended December 31, 2021, as compared to the year ended December 31, 2020, was primarily related to a decrease in services performed under our contract manufacturing and research and development agreements with Rockefeller University and Gilead Sciences. We expect revenue to decrease over the next twelve months as a result of a decrease in revenue from contracts and grants.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638" w:type="dxa"/>
        <w:jc w:val="left"/>
        <w:tblInd w:w="0" w:type="dxa"/>
        <w:tblCellMar>
          <w:top w:w="0" w:type="dxa"/>
          <w:left w:w="0" w:type="dxa"/>
          <w:bottom w:w="0" w:type="dxa"/>
          <w:right w:w="0" w:type="dxa"/>
        </w:tblCellMar>
      </w:tblPr>
      <w:tblGrid>
        <w:gridCol w:w="1906"/>
        <w:gridCol w:w="326"/>
        <w:gridCol w:w="211"/>
        <w:gridCol w:w="676"/>
        <w:gridCol w:w="326"/>
        <w:gridCol w:w="211"/>
        <w:gridCol w:w="676"/>
        <w:gridCol w:w="326"/>
        <w:gridCol w:w="211"/>
        <w:gridCol w:w="691"/>
        <w:gridCol w:w="326"/>
        <w:gridCol w:w="436"/>
        <w:gridCol w:w="316"/>
      </w:tblGrid>
      <w:tr>
        <w:trPr/>
        <w:tc>
          <w:tcPr>
            <w:tcW w:w="1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10310" cy="175260"/>
                      <wp:effectExtent l="0" t="0" r="0" b="0"/>
                      <wp:wrapNone/>
                      <wp:docPr id="61" name="Frame60"/>
                      <a:graphic xmlns:a="http://schemas.openxmlformats.org/drawingml/2006/main">
                        <a:graphicData uri="http://schemas.microsoft.com/office/word/2010/wordprocessingShape">
                          <wps:wsp>
                            <wps:cNvSpPr txBox="1"/>
                            <wps:spPr>
                              <a:xfrm>
                                <a:off x="0" y="0"/>
                                <a:ext cx="1210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29260" cy="175260"/>
                      <wp:effectExtent l="0" t="0" r="0" b="0"/>
                      <wp:wrapNone/>
                      <wp:docPr id="67" name="Frame6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70" name="Frame6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76860" cy="175260"/>
                      <wp:effectExtent l="0" t="0" r="0" b="0"/>
                      <wp:wrapNone/>
                      <wp:docPr id="72" name="Frame71"/>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0660" cy="175260"/>
                      <wp:effectExtent l="0" t="0" r="0" b="0"/>
                      <wp:wrapNone/>
                      <wp:docPr id="73" name="Frame7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 Ended</w:t>
            </w:r>
          </w:p>
        </w:tc>
        <w:tc>
          <w:tcPr>
            <w:tcW w:w="326" w:type="dxa"/>
            <w:tcBorders/>
            <w:shd w:fill="auto" w:val="clear"/>
            <w:vAlign w:val="center"/>
          </w:tcPr>
          <w:p>
            <w:pPr>
              <w:pStyle w:val="TableContents"/>
              <w:spacing w:before="0" w:after="0"/>
              <w:ind w:left="0" w:right="0" w:hanging="0"/>
              <w:rPr/>
            </w:pPr>
            <w:r>
              <w:rPr/>
              <w:t>​</w:t>
            </w:r>
          </w:p>
        </w:tc>
        <w:tc>
          <w:tcPr>
            <w:tcW w:w="166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shd w:fill="auto" w:val="clear"/>
            <w:vAlign w:val="center"/>
          </w:tcPr>
          <w:p>
            <w:pPr>
              <w:pStyle w:val="TableContents"/>
              <w:spacing w:before="0" w:after="0"/>
              <w:ind w:left="0" w:right="0" w:hanging="0"/>
              <w:rPr/>
            </w:pPr>
            <w:r>
              <w:rPr/>
              <w:t>​</w:t>
            </w:r>
          </w:p>
        </w:tc>
      </w:tr>
      <w:tr>
        <w:trPr/>
        <w:tc>
          <w:tcPr>
            <w:tcW w:w="1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w:t>
            </w:r>
          </w:p>
        </w:tc>
        <w:tc>
          <w:tcPr>
            <w:tcW w:w="326" w:type="dxa"/>
            <w:tcBorders/>
            <w:shd w:fill="auto" w:val="clear"/>
            <w:vAlign w:val="center"/>
          </w:tcPr>
          <w:p>
            <w:pPr>
              <w:pStyle w:val="TableContents"/>
              <w:spacing w:before="0" w:after="0"/>
              <w:ind w:left="0" w:right="0" w:hanging="0"/>
              <w:rPr/>
            </w:pPr>
            <w:r>
              <w:rPr/>
              <w:t>​</w:t>
            </w:r>
          </w:p>
        </w:tc>
        <w:tc>
          <w:tcPr>
            <w:tcW w:w="166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(Decrease)</w:t>
            </w:r>
          </w:p>
        </w:tc>
        <w:tc>
          <w:tcPr>
            <w:tcW w:w="316" w:type="dxa"/>
            <w:tcBorders/>
            <w:shd w:fill="auto" w:val="clear"/>
            <w:vAlign w:val="center"/>
          </w:tcPr>
          <w:p>
            <w:pPr>
              <w:pStyle w:val="TableContents"/>
              <w:spacing w:before="0" w:after="0"/>
              <w:ind w:left="0" w:right="0" w:hanging="0"/>
              <w:rPr>
                <w:color w:val="231F20"/>
              </w:rPr>
            </w:pPr>
            <w:r>
              <w:rPr>
                <w:color w:val="231F20"/>
              </w:rPr>
              <w:t>​</w:t>
            </w:r>
          </w:p>
        </w:tc>
      </w:tr>
      <w:tr>
        <w:trPr/>
        <w:tc>
          <w:tcPr>
            <w:tcW w:w="1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16" w:type="dxa"/>
            <w:tcBorders/>
            <w:shd w:fill="auto" w:val="clear"/>
            <w:vAlign w:val="center"/>
          </w:tcPr>
          <w:p>
            <w:pPr>
              <w:pStyle w:val="TableContents"/>
              <w:spacing w:before="0" w:after="0"/>
              <w:ind w:left="0" w:right="0" w:hanging="0"/>
              <w:rPr/>
            </w:pPr>
            <w:r>
              <w:rPr/>
              <w:t>​</w:t>
            </w:r>
          </w:p>
        </w:tc>
      </w:tr>
      <w:tr>
        <w:trPr/>
        <w:tc>
          <w:tcPr>
            <w:tcW w:w="6638"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rPr>
                <w:color w:val="231F20"/>
              </w:rPr>
            </w:pPr>
            <w:r>
              <w:rPr>
                <w:color w:val="231F20"/>
              </w:rPr>
              <w:t>​</w:t>
            </w:r>
          </w:p>
        </w:tc>
        <w:tc>
          <w:tcPr>
            <w:tcW w:w="69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436" w:type="dxa"/>
            <w:tcBorders/>
            <w:shd w:fill="auto" w:val="clear"/>
            <w:vAlign w:val="center"/>
          </w:tcPr>
          <w:p>
            <w:pPr>
              <w:pStyle w:val="TableContents"/>
              <w:spacing w:before="0" w:after="0"/>
              <w:ind w:left="0" w:right="0" w:hanging="0"/>
              <w:rPr>
                <w:color w:val="231F20"/>
              </w:rPr>
            </w:pPr>
            <w:r>
              <w:rPr>
                <w:color w:val="231F20"/>
              </w:rPr>
              <w:t>​</w:t>
            </w:r>
          </w:p>
        </w:tc>
        <w:tc>
          <w:tcPr>
            <w:tcW w:w="316" w:type="dxa"/>
            <w:tcBorders/>
            <w:shd w:fill="auto" w:val="clear"/>
            <w:vAlign w:val="center"/>
          </w:tcPr>
          <w:p>
            <w:pPr>
              <w:pStyle w:val="TableContents"/>
              <w:spacing w:before="0" w:after="0"/>
              <w:ind w:left="0" w:right="0" w:hanging="0"/>
              <w:rPr>
                <w:color w:val="231F20"/>
              </w:rPr>
            </w:pPr>
            <w:r>
              <w:rPr>
                <w:color w:val="231F20"/>
              </w:rPr>
              <w:t>​</w:t>
            </w:r>
          </w:p>
        </w:tc>
      </w:tr>
      <w:tr>
        <w:trPr/>
        <w:tc>
          <w:tcPr>
            <w:tcW w:w="1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Personnel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Laboratory supplies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Facility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Product development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5,997</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Personnel expenses primarily include salary, benefits, stock-based compensation and payroll taxes. The $4.5 million increase in personnel expenses for the year ended December 31, 2021, as compared to the year ended December 31, 2020, was primarily due to higher stock-based compensation expense and an increase in employee headcount. We expect personnel expenses to increase over the next twelve months as a result of additional headcount to support the expanded development of CDX-0159, although there may be fluctuations on a quarterly basis.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$1.6 million increase in laboratory supply expenses for the year ended December 31, 2021, as compared to the year ended December 31, 2020, was primarily due to higher laboratory materials and supplies purchases. We expect laboratory supplies expenses to remain relatively consistent over the next twelve months, although there may be fluctuations on a quarterly basis.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Facility expenses include depreciation, amortization, utilities, rent, maintenance and other related expenses incurred at our facilities. The $1.6 million decrease in facility expenses for the year ended December 31, 2021, as compared to the year ended December 31, 2020, was primarily due to lower rent as a result of the consolidation of our Massachusetts lab and manufacturing facilities in the second quarter of 2020 and lower depreciation expenses. We expect facility expenses to remain relatively consistent over the next twelve months, although there may be fluctuations on a quarterly basis.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Product development expenses include clinical investigator site fees, external trial monitoring costs, data accumulation costs, contracted research and outside clinical drug product manufacturing. The $6.0 million increase in product development expenses for the year ended December 31, 2021, as compared to the year ended December 31, 2020, was primarily due to an increase in CDX-0159 clinical trial and contract research expenses. We expect product development expenses to increase over the next twelve months as a result of further increases in CDX-0159 clinical trial, contract manufacturing and contract research expenses, although there may be fluctuations on a quarterly basis.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$6.0 million increase in general and administrative expenses for the year ended December 31, 2021, as compared to the year ended December 31, 2020, was primarily due to higher stock-based compensation and legal expenses. We expect general and administrative expenses to increase over the next twelve months primarily due to increased commercial planning efforts for CDX-0159, although there may be fluctuations on a quarterly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Intangible Asset Impairment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We evaluated the TAM program IPR&amp;D asset for potential impairment in the fourth quarter of 2020 as a result of our decision to focus our efforts on out-licensing opportunities for the program, which caused changes in projected development and regulatory timelines related to the program. We concluded that the TAM program IPR&amp;D asset was partially impaired, and a non-cash impairment charge of $14.5 million was recorded in the fourth quarter of 2020. During the third quarter of 2021, 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 We evaluated the CDX-3379 IPR&amp;D asset for potential impairment as a result of the discontinuation of the CDX-3379 program in the second quarter of 2020. We concluded that the CDX-3379 IPR&amp;D asset was fully impaired, and a non-cash impairment charge of $3.5 million was recorded in the second quarter of 2020.</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Gain on Fair Value Remeasurement of Contingent Consideration</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$1.4 million gain on fair value remeasurement of contingent consideration for the year ended December 31, 2021 was primarily due to updated assumptions for the TAM program, partially offset by losses related to changes in discount rates and the passage of time.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Investment and Other Income, Net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$1.9 million decrease in investment and other income, net for the year ended December 31, 2021, as compared to the year ended December 31, 2020, was primarily due to lower other income related to our sale of New Jersey tax benefits. We expect investment and other income to increase over the next twelve months due to higher levels of cash as a result of our July 2021 underwritten public offering, although there may be fluctuations on a quarterly basis.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 Benefit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A $0.2 million non-cash income tax benefit was recorded for the year ended December 31, 2021 related to the impairment of the TAM program IPR&amp;D asset in the third quarter of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Year Ended December 31, 2020 compared with Year Ended December 31, 2019</w:t>
      </w:r>
    </w:p>
    <w:tbl>
      <w:tblPr>
        <w:tblW w:w="10205" w:type="dxa"/>
        <w:jc w:val="left"/>
        <w:tblInd w:w="0" w:type="dxa"/>
        <w:tblCellMar>
          <w:top w:w="0" w:type="dxa"/>
          <w:left w:w="0" w:type="dxa"/>
          <w:bottom w:w="0" w:type="dxa"/>
          <w:right w:w="0" w:type="dxa"/>
        </w:tblCellMar>
      </w:tblPr>
      <w:tblGrid>
        <w:gridCol w:w="4814"/>
        <w:gridCol w:w="326"/>
        <w:gridCol w:w="211"/>
        <w:gridCol w:w="790"/>
        <w:gridCol w:w="326"/>
        <w:gridCol w:w="211"/>
        <w:gridCol w:w="790"/>
        <w:gridCol w:w="326"/>
        <w:gridCol w:w="211"/>
        <w:gridCol w:w="689"/>
        <w:gridCol w:w="326"/>
        <w:gridCol w:w="865"/>
        <w:gridCol w:w="320"/>
      </w:tblGrid>
      <w:tr>
        <w:trPr/>
        <w:tc>
          <w:tcPr>
            <w:tcW w:w="48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056890" cy="175260"/>
                      <wp:effectExtent l="0" t="0" r="0" b="0"/>
                      <wp:wrapNone/>
                      <wp:docPr id="74" name="Frame73"/>
                      <a:graphic xmlns:a="http://schemas.openxmlformats.org/drawingml/2006/main">
                        <a:graphicData uri="http://schemas.microsoft.com/office/word/2010/wordprocessingShape">
                          <wps:wsp>
                            <wps:cNvSpPr txBox="1"/>
                            <wps:spPr>
                              <a:xfrm>
                                <a:off x="0" y="0"/>
                                <a:ext cx="3056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01650" cy="175260"/>
                      <wp:effectExtent l="0" t="0" r="0" b="0"/>
                      <wp:wrapNone/>
                      <wp:docPr id="77" name="Frame76"/>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1650" cy="175260"/>
                      <wp:effectExtent l="0" t="0" r="0" b="0"/>
                      <wp:wrapNone/>
                      <wp:docPr id="80" name="Frame79"/>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7515" cy="175260"/>
                      <wp:effectExtent l="0" t="0" r="0" b="0"/>
                      <wp:wrapNone/>
                      <wp:docPr id="83" name="Frame82"/>
                      <a:graphic xmlns:a="http://schemas.openxmlformats.org/drawingml/2006/main">
                        <a:graphicData uri="http://schemas.microsoft.com/office/word/2010/wordprocessingShape">
                          <wps:wsp>
                            <wps:cNvSpPr txBox="1"/>
                            <wps:spPr>
                              <a:xfrm>
                                <a:off x="0" y="0"/>
                                <a:ext cx="437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49275" cy="175260"/>
                      <wp:effectExtent l="0" t="0" r="0" b="0"/>
                      <wp:wrapNone/>
                      <wp:docPr id="85" name="Frame84"/>
                      <a:graphic xmlns:a="http://schemas.openxmlformats.org/drawingml/2006/main">
                        <a:graphicData uri="http://schemas.microsoft.com/office/word/2010/wordprocessingShape">
                          <wps:wsp>
                            <wps:cNvSpPr txBox="1"/>
                            <wps:spPr>
                              <a:xfrm>
                                <a:off x="0" y="0"/>
                                <a:ext cx="549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3200" cy="175260"/>
                      <wp:effectExtent l="0" t="0" r="0" b="0"/>
                      <wp:wrapNone/>
                      <wp:docPr id="86" name="Frame85"/>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2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shd w:fill="auto" w:val="clear"/>
            <w:vAlign w:val="center"/>
          </w:tcPr>
          <w:p>
            <w:pPr>
              <w:pStyle w:val="TableContents"/>
              <w:spacing w:before="0" w:after="0"/>
              <w:ind w:left="0" w:right="0" w:hanging="0"/>
              <w:jc w:val="center"/>
              <w:rPr/>
            </w:pPr>
            <w:r>
              <w:rPr/>
              <w:t>​</w:t>
            </w:r>
          </w:p>
        </w:tc>
        <w:tc>
          <w:tcPr>
            <w:tcW w:w="86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0" w:type="dxa"/>
            <w:tcBorders/>
            <w:shd w:fill="auto" w:val="clear"/>
            <w:vAlign w:val="center"/>
          </w:tcPr>
          <w:p>
            <w:pPr>
              <w:pStyle w:val="TableContents"/>
              <w:spacing w:before="0" w:after="0"/>
              <w:ind w:left="0" w:right="0" w:hanging="0"/>
              <w:jc w:val="center"/>
              <w:rPr/>
            </w:pPr>
            <w:r>
              <w:rPr/>
              <w:t> </w:t>
            </w:r>
          </w:p>
        </w:tc>
      </w:tr>
      <w:tr>
        <w:trPr/>
        <w:tc>
          <w:tcPr>
            <w:tcW w:w="48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2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shd w:fill="auto" w:val="clear"/>
            <w:vAlign w:val="center"/>
          </w:tcPr>
          <w:p>
            <w:pPr>
              <w:pStyle w:val="TableContents"/>
              <w:spacing w:before="0" w:after="0"/>
              <w:ind w:left="0" w:right="0" w:hanging="0"/>
              <w:jc w:val="center"/>
              <w:rPr/>
            </w:pPr>
            <w:r>
              <w:rPr/>
              <w:t>​</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0" w:type="dxa"/>
            <w:tcBorders/>
            <w:shd w:fill="auto" w:val="clear"/>
            <w:vAlign w:val="center"/>
          </w:tcPr>
          <w:p>
            <w:pPr>
              <w:pStyle w:val="TableContents"/>
              <w:spacing w:before="0" w:after="0"/>
              <w:ind w:left="0" w:right="0" w:hanging="0"/>
              <w:jc w:val="center"/>
              <w:rPr/>
            </w:pPr>
            <w:r>
              <w:rPr/>
              <w:t> </w:t>
            </w:r>
          </w:p>
        </w:tc>
      </w:tr>
      <w:tr>
        <w:trPr/>
        <w:tc>
          <w:tcPr>
            <w:tcW w:w="48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86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0" w:type="dxa"/>
            <w:tcBorders/>
            <w:shd w:fill="auto" w:val="clear"/>
            <w:vAlign w:val="center"/>
          </w:tcPr>
          <w:p>
            <w:pPr>
              <w:pStyle w:val="TableContents"/>
              <w:spacing w:before="0" w:after="0"/>
              <w:ind w:left="0" w:right="0" w:hanging="0"/>
              <w:jc w:val="center"/>
              <w:rPr/>
            </w:pPr>
            <w:r>
              <w:rPr/>
              <w:t> </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8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45"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0" w:type="dxa"/>
            <w:tcBorders/>
            <w:shd w:fill="auto" w:val="clear"/>
            <w:vAlign w:val="center"/>
          </w:tcPr>
          <w:p>
            <w:pPr>
              <w:pStyle w:val="TableContents"/>
              <w:spacing w:before="0" w:after="0"/>
              <w:ind w:left="0" w:right="0" w:hanging="0"/>
              <w:jc w:val="center"/>
              <w:rPr/>
            </w:pPr>
            <w:r>
              <w:rPr/>
              <w:t> </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pPr>
            <w:r>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2,017</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3,845</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9"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pPr>
            <w:r>
              <w:rPr/>
              <w:t>  </w:t>
            </w:r>
          </w:p>
        </w:tc>
        <w:tc>
          <w:tcPr>
            <w:tcW w:w="320" w:type="dxa"/>
            <w:tcBorders/>
            <w:shd w:fill="CCEEFF" w:val="clear"/>
            <w:vAlign w:val="center"/>
          </w:tcPr>
          <w:p>
            <w:pPr>
              <w:pStyle w:val="TableContents"/>
              <w:spacing w:before="0" w:after="0"/>
              <w:ind w:left="0" w:right="0" w:hanging="0"/>
              <w:rPr/>
            </w:pPr>
            <w:r>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pPr>
            <w:r>
              <w:rPr/>
              <w:t>—</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 impairment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0" w:type="dxa"/>
            <w:tcBorders/>
            <w:shd w:fill="auto" w:val="clear"/>
            <w:vAlign w:val="center"/>
          </w:tcPr>
          <w:p>
            <w:pPr>
              <w:pStyle w:val="TableContents"/>
              <w:spacing w:before="0" w:after="0"/>
              <w:ind w:left="0" w:right="0" w:hanging="0"/>
              <w:rPr/>
            </w:pPr>
            <w:r>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 impairment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2,924</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58,604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12,168</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8,323</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(1,746)</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before income tax benefit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10,069</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0" w:type="dxa"/>
            <w:tcBorders/>
            <w:shd w:fill="CCEEFF" w:val="clear"/>
            <w:vAlign w:val="center"/>
          </w:tcPr>
          <w:p>
            <w:pPr>
              <w:pStyle w:val="TableContents"/>
              <w:spacing w:before="0" w:after="0"/>
              <w:ind w:left="0" w:right="0" w:hanging="0"/>
              <w:rPr/>
            </w:pPr>
            <w:r>
              <w:rPr/>
              <w:t>​</w:t>
            </w:r>
          </w:p>
        </w:tc>
      </w:tr>
      <w:tr>
        <w:trPr/>
        <w:tc>
          <w:tcPr>
            <w:tcW w:w="48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8,902</w:t>
            </w:r>
          </w:p>
        </w:tc>
        <w:tc>
          <w:tcPr>
            <w:tcW w:w="326"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Loss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$8.9 million increase in net loss for the year ended December 31, 2020, as compared to the year ended December 31, 2019, was primarily the result of an increase in non-cash intangible asset impairment expense, partially offset by an increase in revenue and an increase in the gain on fair value remeasurement of contingent consideration.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$1.8 million increase in product development and licensing agreements revenue for the year ended December 31, 2020, as compared to the year ended December 31, 2019, was primarily due to the $1.8 million received from the Rockefeller Transaction. The $2.0 million increase in contracts and grants revenue for the year ended December 31, 2020, as compared to the year ended December 31, 2019, was primarily related to an increase in services performed under our contract manufacturing and research and development agreements with Rockefeller University and Gilead Sciences, partially offset by a decrease in services performed under our manufacturing and research and development agreement with Duke University.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338" w:type="dxa"/>
        <w:jc w:val="left"/>
        <w:tblInd w:w="0" w:type="dxa"/>
        <w:tblCellMar>
          <w:top w:w="0" w:type="dxa"/>
          <w:left w:w="0" w:type="dxa"/>
          <w:bottom w:w="0" w:type="dxa"/>
          <w:right w:w="0" w:type="dxa"/>
        </w:tblCellMar>
      </w:tblPr>
      <w:tblGrid>
        <w:gridCol w:w="1861"/>
        <w:gridCol w:w="326"/>
        <w:gridCol w:w="211"/>
        <w:gridCol w:w="676"/>
        <w:gridCol w:w="326"/>
        <w:gridCol w:w="211"/>
        <w:gridCol w:w="676"/>
        <w:gridCol w:w="326"/>
        <w:gridCol w:w="211"/>
        <w:gridCol w:w="541"/>
        <w:gridCol w:w="326"/>
        <w:gridCol w:w="331"/>
        <w:gridCol w:w="316"/>
      </w:tblGrid>
      <w:tr>
        <w:trPr/>
        <w:tc>
          <w:tcPr>
            <w:tcW w:w="1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81735" cy="175260"/>
                      <wp:effectExtent l="0" t="0" r="0" b="0"/>
                      <wp:wrapNone/>
                      <wp:docPr id="87" name="Frame86"/>
                      <a:graphic xmlns:a="http://schemas.openxmlformats.org/drawingml/2006/main">
                        <a:graphicData uri="http://schemas.microsoft.com/office/word/2010/wordprocessingShape">
                          <wps:wsp>
                            <wps:cNvSpPr txBox="1"/>
                            <wps:spPr>
                              <a:xfrm>
                                <a:off x="0" y="0"/>
                                <a:ext cx="1181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29260" cy="175260"/>
                      <wp:effectExtent l="0" t="0" r="0" b="0"/>
                      <wp:wrapNone/>
                      <wp:docPr id="90" name="Frame8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29260" cy="175260"/>
                      <wp:effectExtent l="0" t="0" r="0" b="0"/>
                      <wp:wrapNone/>
                      <wp:docPr id="93" name="Frame9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3535" cy="175260"/>
                      <wp:effectExtent l="0" t="0" r="0" b="0"/>
                      <wp:wrapNone/>
                      <wp:docPr id="96" name="Frame95"/>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0185" cy="175260"/>
                      <wp:effectExtent l="0" t="0" r="0" b="0"/>
                      <wp:wrapNone/>
                      <wp:docPr id="98" name="Frame97"/>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0660" cy="175260"/>
                      <wp:effectExtent l="0" t="0" r="0" b="0"/>
                      <wp:wrapNone/>
                      <wp:docPr id="99" name="Frame9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409"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jc w:val="center"/>
              <w:rPr/>
            </w:pPr>
            <w:r>
              <w:rPr/>
              <w:t>​</w:t>
            </w:r>
          </w:p>
        </w:tc>
        <w:tc>
          <w:tcPr>
            <w:tcW w:w="140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0"/>
              <w:ind w:left="0" w:right="0" w:hanging="0"/>
              <w:jc w:val="center"/>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6338"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3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Laboratory supplies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Personnel expenses primarily include salary, benefits, stock-based compensation and payroll taxes. The $0.4 million increase in personnel expenses for the year ended December 31, 2020, as compared to the year ended December 31, 2019, was primarily due to an increase in bonus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$0.1 million increase in laboratory supply expenses for the year ended December 31, 2020, as compared to the year ended December 31, 2019, was primarily due to higher laboratory materials and supplies purchases.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Facility expenses include depreciation, amortization, utilities, rent, maintenance and other related expenses incurred at our facilities. The $0.4 million decrease in facility expenses for the year ended December 31, 2020, as compared to the year ended December 31, 2019, was primarily due to lower rent and depreciation expense.</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Product development expenses include clinical investigator site fees, external trial monitoring costs, data accumulation costs, contracted research and outside clinical drug product manufacturing. The $0.1 million increase in product development expenses for the year ended December 31, 2020, as compared to the year ended December 31, 2019, was primarily due to an increase in clinical trial and contract manufacturing expenses of $1.2 million, partially offset by a decrease in contract research expenses of $1.0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$1.0 million decrease in general and administrative expenses for the year ended December 31, 2020, as compared to the year ended December 31, 2019, was primarily due lower stock-based compensation expense and lower facility expenses as a result of the consolidation our Massachusetts lab and manufacturing facilities in the second quarter of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Intangible Asset Impairment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We evaluated the TAM program IPR&amp;D asset for potential impairment as a result of changes in projected development and regulatory timelines related to the program in the fourth quarter of 2020. We concluded that the TAM program IPR&amp;D asset was partially impaired, and a non-cash impairment charge of $14.5 million was recorded in the fourth quarter of 2020. We evaluated the CDX-3379 IPR&amp;D asset for potential impairment as a result of the discontinuation of the CDX-3379 program in the second quarter of 2020. We concluded that the CDX-3379 IPR&amp;D asset was fully impaired, and a non-cash impairment charge of $3.5 million was recorded in the second quarter of 2020.</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Asset Impairment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We concluded that the Company’s investment in an undisclosed private company was impaired as a result of a deterioration in the private company’s financial condition and recorded a non-cash impairment charge of $1.8 million during the first quarter of 2019.</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Gain on Fair Value Remeasurement of Contingent Consideration</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$4.2 million gain on fair value remeasurement of contingent consideration for the year ended December 31, 2020 was primarily due to updated assumptions for CDX-3379 related milestones due to the discontinuation of the CDX-3379 program partially offset by changes in discount rates and the passage of time.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Investment and Other Income, Net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$1.7 million decrease in investment and other income, net for the year ended December 31, 2020, as compared to the year ended December 31, 2019, was primarily due to lower interest rates on fixed income investments and lower other income related to our sale of New Jersey tax benefits.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 Benefit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A $1.2 million non-cash income tax benefit was recorded for the year ended December 31, 2020 related to the partial impairment of the TAM program IPR&amp;D asset in the fourth quarter of 2020 and the full impairment of the CDX-3379 IPR&amp;D asset in the second quarter of 2020.</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 grade corporate bonds that meet high credit quality standards, as specified in our investment policy. Our investment policy seeks to manage these assets to achieve our goals of preserving principal and maintaining adequate liquidity.</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spacing w:before="0" w:after="0"/>
        <w:ind w:left="0" w:right="0" w:firstLine="360"/>
        <w:rPr>
          <w:rFonts w:ascii="Times New Roman;Times;serif" w:hAnsi="Times New Roman;Times;serif"/>
          <w:color w:val="231F20"/>
          <w:sz w:val="20"/>
        </w:rPr>
      </w:pPr>
      <w:bookmarkStart w:id="43" w:name="_Hlk91156432"/>
      <w:bookmarkEnd w:id="43"/>
      <w:r>
        <w:rPr>
          <w:rFonts w:ascii="Times New Roman;Times;serif" w:hAnsi="Times New Roman;Times;serif"/>
          <w:color w:val="231F20"/>
          <w:sz w:val="20"/>
        </w:rPr>
        <w:t xml:space="preserve">At December 31, 2021, our principal sources of liquidity consisted of cash, cash equivalents and marketable securities of $408.3 million. We have had recurring losses and incurred a loss of $70.5 million for the year ended December 31, 2021. Net cash used in operations for the year ended December 31, 2021 was $60.9 million. We believe that the cash, cash equivalents and marketable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securities at December 31, 2021 are sufficient to meet estimated working capital requirements and fund planned operations through 2025. This could be impacted if we elected to pay Kolltan contingent milestones, if any, in cash. </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Net cash used in operating activities was $60.9 million for the year ended December 31, 2021 compared to $40.4 million for the year ended December 31, 2020. The increase in net cash used in operating activities was primarily due to increases in research and development and general and administrative expenses and a decrease in revenue. We expect that cash used in operating activities will increase over the next twelve months as a result of the expanded development of CDX-0159, although there may be fluctuations on a quarterly basis.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Net cash used in operating activities was $40.4 million for the year ended December 31, 2020 compared to $46.4 million for the year ended December 31, 2019. The decrease in net cash used in operating activities was primarily due to an increase in revenue and decreases in both general and administrative and research and development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Net cash used in investing activities was $216.2 million for the year ended December 31, 2021 compared to $98.2 million for the year ended December 31, 2020. The increase in net cash used in investing activities was primarily due to net purchases of marketable securities for the year ended December 31, 2021 of $214.9 million as compared to $96.7 million for the year ended December 31, 2020.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Net cash used in investing activities was $98.2 million for the year ended December 31, 2020 compared to net cash provided by investing activities of $17.1 million for the year ended December 31, 2019. The increase in net cash used in investing activities was primarily due to net purchases of marketable securities for the year ended December 31, 2020 of $96.7 million as compared to net sales and maturities of marketable securities of $17.8 million for the year ended December 31,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Net cash provided by financing activities was $272.4 million for the year ended December 31, 2021 compared to $171.2 million for the year ended December 31, 2020. Net proceeds from stock issuances, including stock issued pursuant to employee benefit plans, were $272.4 million during the year ended December 31, 2021 compared to $171.2 million for the year ended December 31, 2020.</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Net cash provided by financing activities was $171.2 million for the year ended December 31, 2020 compared to $16.3 million for the year ended December 31, 2019. Net proceeds from stock issuances, including stock issued pursuant to employee benefit plans, were $171.2 million during the year ended December 31, 2020 compared to $16.3 million for the year ended December 31, 2019.</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 Offerings</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In November 2020, we filed an automatic shelf registration statement with the Securities and Exchange Commission to register for sale any combination of the types of securities described in the shelf registration statement.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color w:val="231F20"/>
          <w:sz w:val="20"/>
        </w:rPr>
        <w:t xml:space="preserve">In May 2016, we entered into a controlled equity offering sales agreement with Cantor Fitzgerald &amp; Co. (“Cantor”) to allow us to issue and sell shares of our common stock from time to time through Cantor, acting as agent. During the years ended December 31, 2020 and 2019, we issued 7.1 million and 5.0 million shares of common stock, respectively, under the agreement with Cantor resulting in net proceeds of $29.4 million and $16.2 million, respectively, after deducting commission and offering expenses. </w:t>
      </w:r>
      <w:r>
        <w:rPr>
          <w:rFonts w:ascii="Times New Roman;Times;serif" w:hAnsi="Times New Roman;Times;serif"/>
          <w:sz w:val="20"/>
        </w:rPr>
        <w:t xml:space="preserve">No shares of common stock were sold under the Cantor Agreement during the year ended December 31, 2021. </w:t>
      </w:r>
      <w:r>
        <w:rPr>
          <w:rFonts w:ascii="Times New Roman;Times;serif" w:hAnsi="Times New Roman;Times;serif"/>
          <w:color w:val="231F20"/>
          <w:sz w:val="20"/>
        </w:rPr>
        <w:t>At December 31, 2021, we had $50.0 million remaining in aggregate gross offering price available under our November 2020 prospectus supplement.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During the second quarter of 2020, the Company issued 15,384,614 shares of its common stock in an underwritten public offering resulting in net proceeds to the Company of $141.4 million, after deducting underwriting fees and offering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third quarter of 2021, we issued 6,845,238 shares of common stock in an underwritten public offering resulting in net proceeds of $269.9 million, after deducting underwriting fees and offering expenses.</w:t>
      </w:r>
    </w:p>
    <w:p>
      <w:pPr>
        <w:pStyle w:val="TextBody"/>
        <w:spacing w:before="0" w:after="240"/>
        <w:ind w:left="0" w:right="0" w:hanging="0"/>
        <w:rPr>
          <w:rFonts w:ascii="Times New Roman;Times;serif" w:hAnsi="Times New Roman;Times;serif"/>
          <w:b/>
          <w:sz w:val="20"/>
        </w:rPr>
      </w:pPr>
      <w:bookmarkStart w:id="44" w:name="Item7AQUANTITATIVEANDQUALITATIVE_388458"/>
      <w:bookmarkStart w:id="45" w:name="_73ed944a_a3af_4838_b4d5_68041c2a2a67"/>
      <w:bookmarkEnd w:id="44"/>
      <w:bookmarkEnd w:id="45"/>
      <w:r>
        <w:rPr>
          <w:rFonts w:ascii="Times New Roman;Times;serif" w:hAnsi="Times New Roman;Times;serif"/>
          <w:b/>
          <w:sz w:val="20"/>
        </w:rPr>
        <w:t>Item 7A. QUANTITATIVE AND QUALITATIVE DISCLOSURES ABOUT MARKET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balance sheet of cash and cash equivalents, accounts receivables and accounts payable approximates fair value at December 31, 2021 due to the short-term maturities of these instruments.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46" w:name="Item8FINANCIALSTATEMENTS_953180"/>
      <w:bookmarkStart w:id="47" w:name="_747c904b_5326_4f00_b4ef_bc000178429f"/>
      <w:bookmarkEnd w:id="46"/>
      <w:bookmarkEnd w:id="47"/>
      <w:r>
        <w:rPr>
          <w:rFonts w:ascii="Times New Roman;Times;serif" w:hAnsi="Times New Roman;Times;serif"/>
          <w:b/>
          <w:i w:val="false"/>
          <w:caps w:val="false"/>
          <w:smallCaps w:val="false"/>
          <w:sz w:val="20"/>
        </w:rPr>
        <w:t>Item 8.</w:t>
      </w:r>
      <w:r>
        <w:rPr>
          <w:rFonts w:ascii="Times New Roman;Times;serif" w:hAnsi="Times New Roman;Times;serif"/>
          <w:sz w:val="20"/>
        </w:rPr>
        <w:t xml:space="preserve"> </w:t>
      </w:r>
      <w:r>
        <w:rPr>
          <w:rFonts w:ascii="Times New Roman;Times;serif" w:hAnsi="Times New Roman;Times;serif"/>
          <w:b/>
          <w:sz w:val="20"/>
        </w:rPr>
        <w:t>FINANCIAL STATEMENTS AND SUPPLEMENTARY DATA</w:t>
      </w:r>
    </w:p>
    <w:p>
      <w:pPr>
        <w:pStyle w:val="TextBody"/>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 the Board of Directors and Stockholders of Celldex Therapeutics, Inc.</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We have audited the accompanying consolidated balance sheets of Celldex Therapeutics, Inc. and its subsidiary (the “Company”) as of December 31, 2021 and 2020, and the related consolidated statements of operations and comprehensive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for Opinions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regarding prevention or timely detection of unauthorized acquisition, use, or disposition of the company’s assets that could have a material effect on the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Critical Audit Matters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Fair Value of Contingent Consideration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described in Notes 2 and 4 to the consolidated financial statements, contingent consideration resulting from a business combination is recorded at fair value on the acquisition date and is revalued on a quarterly basis, with increases or decreases in their fair value as an adjustment to operating earnings. As of and for the year ended December 31, 2021, management recorded total contingent consideration liabilities of $6.9 million and a gain on fair value remeasurement of contingent consideration of $1.4 million. The valuation technique used to measure fair value of the Company’s contingent consideration liabilities was primarily an income approach. The significant unobservable inputs used in the fair value measurement of the contingent consideration are estimates, including probability of success, discount rates and amount of time until the conditions of the milestone payments are met.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fair value of contingent consideration liabilities is a critical audit matter are the significant judgment by management due to the significant measurement uncertainty when estimating the fair value of these contingent obligations, as the fair value is based on the probability of success associated with achieving clinical events or regulatory approval. This in turn led to a high degree of auditor judgment, subjectivity, and effort in performing procedures and evaluating evidence relating to the fair value of contingent consideration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contingent consideration, including controls over the development of assumptions used to estimate the contingent consideration liabilities. These procedures also included, among others, developing independent estimates of the fair value of contingent consideration liabilities by estimating the probability of achieving certain clinical events or the probability associated with achieving regulatory approval and comparing the independent estimates to management’s estimates to evaluate the reasonableness of management’s estimates. Developing the independent estimates involved evaluating the agreements associated with the transaction, the consistency with industry studies, historical data, and the stage of product development.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 PricewaterhouseCoopers LLP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Boston, Massachusetts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February 28,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served as the Company’s auditor since 2008.</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8" w:name="_f9f633a8_e2a9_4701_a77b_457297e78b13"/>
      <w:bookmarkEnd w:id="48"/>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49" w:name="Tc_e4F3CagrxUGS9Bx6fnL5aQ_32_5"/>
      <w:bookmarkStart w:id="50" w:name="Tc_QTphOkJnR0GyjHmCFq5M8Q_32_2"/>
      <w:bookmarkStart w:id="51" w:name="Tc_8LKpJsj9p0GUkLh8wINCmQ_32_0"/>
      <w:bookmarkStart w:id="52" w:name="Tc_WX-daGhMVUqlNQvh_jBxng_31_0"/>
      <w:bookmarkStart w:id="53" w:name="Tc_ii642sBY9UG-Mc_yInDvLw_30_0"/>
      <w:bookmarkStart w:id="54" w:name="Tc_v2x2eFzgaECmk796xWzSXQ_29_0"/>
      <w:bookmarkStart w:id="55" w:name="Tc_4MhgWS1sK0OWUMrRt2Ehyw_28_0"/>
      <w:bookmarkStart w:id="56" w:name="Tc_6G7CHeStYUOZWOEowXULFw_27_0"/>
      <w:bookmarkStart w:id="57" w:name="Tc_-dOulStyXkKbk71P73slaA_26_6"/>
      <w:bookmarkStart w:id="58" w:name="Tc_gSVCOGNUCEqrZDQNPKDwIQ_26_3"/>
      <w:bookmarkStart w:id="59" w:name="_84516bff_6e1d_416a_ac97_d23f44a4380f_3"/>
      <w:bookmarkStart w:id="60" w:name="_84516bff_6e1d_416a_ac97_d23f44a4380f_2"/>
      <w:bookmarkStart w:id="61" w:name="_84516bff_6e1d_416a_ac97_d23f44a4380f"/>
      <w:bookmarkStart w:id="62" w:name="Tc_jyVroMckWkGHEyQgaR7CHg_26_0"/>
      <w:bookmarkStart w:id="63" w:name="Tc_EPrptb-B5EWq2gzAAylvcQ_25_0"/>
      <w:bookmarkStart w:id="64" w:name="Tc_FjgZmyr2-UG7j3kailBIdQ_24_0"/>
      <w:bookmarkStart w:id="65" w:name="Tc_1tWrTXvGKUSBGI986-3zmA_23_0"/>
      <w:bookmarkStart w:id="66" w:name="Tc_qL5tJ3lRLkmcwWTHvJ42Cg_22_0"/>
      <w:bookmarkStart w:id="67" w:name="Tc_AG_z6odEAUyWLVwoorrmHA_21_0"/>
      <w:bookmarkStart w:id="68" w:name="Tc_RIqiuSzv1UKtMURbvp4ldQ_20_0"/>
      <w:bookmarkStart w:id="69" w:name="Tc_gcEcLqL2mUSjdLTeviLP9g_19_0"/>
      <w:bookmarkStart w:id="70" w:name="Tc_paYyigHQ7UqQDNAp-fuE4A_18_0"/>
      <w:bookmarkStart w:id="71" w:name="Tc_1tfnq1IAVUq26MllF3PWyw_17_0"/>
      <w:bookmarkStart w:id="72" w:name="Tc_Rjh1VOGcNEqxL14-RfJAVQ_16_5"/>
      <w:bookmarkStart w:id="73" w:name="Tc_CiXG1NJf4EWWrIBqtlkF0w_16_2"/>
      <w:bookmarkStart w:id="74" w:name="Tc_vXgdZMeTH0uX4lPIFaNRnQ_16_0"/>
      <w:bookmarkStart w:id="75" w:name="Tc_zbMSp1Vpc0uBz7Dko6_0BA_15_0"/>
      <w:bookmarkStart w:id="76" w:name="Tc_sdMdWdhmEE6kfBlrAV9pRw_14_0"/>
      <w:bookmarkStart w:id="77" w:name="Tc_D3RIBXiDA0OCJWFB0Ni4Ew_13_5"/>
      <w:bookmarkStart w:id="78" w:name="Tc_ASxvIP2qFkmv3n76ILNO3A_13_2"/>
      <w:bookmarkStart w:id="79" w:name="Tc_YnDmxXuI2US0_yoOKA7PFg_13_0"/>
      <w:bookmarkStart w:id="80" w:name="Tc_hhkumMKs0EazLpipzDkfTQ_12_0"/>
      <w:bookmarkStart w:id="81" w:name="Tc_VWuSPPjkr0CNiSbWGby9DA_11_0"/>
      <w:bookmarkStart w:id="82" w:name="Tc_ODrAZSIGe06si2kffNZWjA_10_0"/>
      <w:bookmarkStart w:id="83" w:name="Tc_-r6k0j6eyUaizUDiXu-X6g_9_0"/>
      <w:bookmarkStart w:id="84" w:name="Tc_q-QxOVE5nkSKGliKos2nFg_8_0"/>
      <w:bookmarkStart w:id="85" w:name="Tc_ABwY78nnLEyBZ-nHdCpGcg_7_0"/>
      <w:bookmarkStart w:id="86" w:name="Tc_SFNzHCAt2EyYkM4azMIu6Q_6_0"/>
      <w:bookmarkStart w:id="87" w:name="Tc_qlazKUbtvkqvIsckEWh-Ag_5_0"/>
      <w:bookmarkStart w:id="88" w:name="Tc_-MP4wB3gCU2M85XxVhc0mw_4_5"/>
      <w:bookmarkStart w:id="89" w:name="Tc_ok_NhznvSEeTlun9LfuJHQ_4_2"/>
      <w:bookmarkStart w:id="90" w:name="Tc_HovsvrFLxk-6fCZdqkM03g_4_0"/>
      <w:bookmarkStart w:id="91" w:name="Tc_pSKQUAZXBUqDcWII2x3SlA_3_0"/>
      <w:bookmarkStart w:id="92" w:name="Tc_oQ6CaI5rb0CeaFlJnfYJRw_2_0"/>
      <w:bookmarkStart w:id="93" w:name="Tc_pz6ntOq1uU2sKcjaOLnxbQ_1_5"/>
      <w:bookmarkStart w:id="94" w:name="Tc_4U3kZ6rxSE-9nm5nVyDY6Q_1_2"/>
      <w:bookmarkStart w:id="95" w:name="_3104edf3_c3f7_4eb3_b72d_c2d40c9bfd2c"/>
      <w:bookmarkStart w:id="96" w:name="Tc_e4F3CagrxUGS9Bx6fnL5aQ_32_5"/>
      <w:bookmarkStart w:id="97" w:name="Tc_QTphOkJnR0GyjHmCFq5M8Q_32_2"/>
      <w:bookmarkStart w:id="98" w:name="Tc_8LKpJsj9p0GUkLh8wINCmQ_32_0"/>
      <w:bookmarkStart w:id="99" w:name="Tc_WX-daGhMVUqlNQvh_jBxng_31_0"/>
      <w:bookmarkStart w:id="100" w:name="Tc_ii642sBY9UG-Mc_yInDvLw_30_0"/>
      <w:bookmarkStart w:id="101" w:name="Tc_v2x2eFzgaECmk796xWzSXQ_29_0"/>
      <w:bookmarkStart w:id="102" w:name="Tc_4MhgWS1sK0OWUMrRt2Ehyw_28_0"/>
      <w:bookmarkStart w:id="103" w:name="Tc_6G7CHeStYUOZWOEowXULFw_27_0"/>
      <w:bookmarkStart w:id="104" w:name="Tc_-dOulStyXkKbk71P73slaA_26_6"/>
      <w:bookmarkStart w:id="105" w:name="Tc_gSVCOGNUCEqrZDQNPKDwIQ_26_3"/>
      <w:bookmarkStart w:id="106" w:name="_84516bff_6e1d_416a_ac97_d23f44a4380f_3"/>
      <w:bookmarkStart w:id="107" w:name="_84516bff_6e1d_416a_ac97_d23f44a4380f_2"/>
      <w:bookmarkStart w:id="108" w:name="_84516bff_6e1d_416a_ac97_d23f44a4380f"/>
      <w:bookmarkStart w:id="109" w:name="Tc_jyVroMckWkGHEyQgaR7CHg_26_0"/>
      <w:bookmarkStart w:id="110" w:name="Tc_EPrptb-B5EWq2gzAAylvcQ_25_0"/>
      <w:bookmarkStart w:id="111" w:name="Tc_FjgZmyr2-UG7j3kailBIdQ_24_0"/>
      <w:bookmarkStart w:id="112" w:name="Tc_1tWrTXvGKUSBGI986-3zmA_23_0"/>
      <w:bookmarkStart w:id="113" w:name="Tc_qL5tJ3lRLkmcwWTHvJ42Cg_22_0"/>
      <w:bookmarkStart w:id="114" w:name="Tc_AG_z6odEAUyWLVwoorrmHA_21_0"/>
      <w:bookmarkStart w:id="115" w:name="Tc_RIqiuSzv1UKtMURbvp4ldQ_20_0"/>
      <w:bookmarkStart w:id="116" w:name="Tc_gcEcLqL2mUSjdLTeviLP9g_19_0"/>
      <w:bookmarkStart w:id="117" w:name="Tc_paYyigHQ7UqQDNAp-fuE4A_18_0"/>
      <w:bookmarkStart w:id="118" w:name="Tc_1tfnq1IAVUq26MllF3PWyw_17_0"/>
      <w:bookmarkStart w:id="119" w:name="Tc_Rjh1VOGcNEqxL14-RfJAVQ_16_5"/>
      <w:bookmarkStart w:id="120" w:name="Tc_CiXG1NJf4EWWrIBqtlkF0w_16_2"/>
      <w:bookmarkStart w:id="121" w:name="Tc_vXgdZMeTH0uX4lPIFaNRnQ_16_0"/>
      <w:bookmarkStart w:id="122" w:name="Tc_zbMSp1Vpc0uBz7Dko6_0BA_15_0"/>
      <w:bookmarkStart w:id="123" w:name="Tc_sdMdWdhmEE6kfBlrAV9pRw_14_0"/>
      <w:bookmarkStart w:id="124" w:name="Tc_D3RIBXiDA0OCJWFB0Ni4Ew_13_5"/>
      <w:bookmarkStart w:id="125" w:name="Tc_ASxvIP2qFkmv3n76ILNO3A_13_2"/>
      <w:bookmarkStart w:id="126" w:name="Tc_YnDmxXuI2US0_yoOKA7PFg_13_0"/>
      <w:bookmarkStart w:id="127" w:name="Tc_hhkumMKs0EazLpipzDkfTQ_12_0"/>
      <w:bookmarkStart w:id="128" w:name="Tc_VWuSPPjkr0CNiSbWGby9DA_11_0"/>
      <w:bookmarkStart w:id="129" w:name="Tc_ODrAZSIGe06si2kffNZWjA_10_0"/>
      <w:bookmarkStart w:id="130" w:name="Tc_-r6k0j6eyUaizUDiXu-X6g_9_0"/>
      <w:bookmarkStart w:id="131" w:name="Tc_q-QxOVE5nkSKGliKos2nFg_8_0"/>
      <w:bookmarkStart w:id="132" w:name="Tc_ABwY78nnLEyBZ-nHdCpGcg_7_0"/>
      <w:bookmarkStart w:id="133" w:name="Tc_SFNzHCAt2EyYkM4azMIu6Q_6_0"/>
      <w:bookmarkStart w:id="134" w:name="Tc_qlazKUbtvkqvIsckEWh-Ag_5_0"/>
      <w:bookmarkStart w:id="135" w:name="Tc_-MP4wB3gCU2M85XxVhc0mw_4_5"/>
      <w:bookmarkStart w:id="136" w:name="Tc_ok_NhznvSEeTlun9LfuJHQ_4_2"/>
      <w:bookmarkStart w:id="137" w:name="Tc_HovsvrFLxk-6fCZdqkM03g_4_0"/>
      <w:bookmarkStart w:id="138" w:name="Tc_pSKQUAZXBUqDcWII2x3SlA_3_0"/>
      <w:bookmarkStart w:id="139" w:name="Tc_oQ6CaI5rb0CeaFlJnfYJRw_2_0"/>
      <w:bookmarkStart w:id="140" w:name="Tc_pz6ntOq1uU2sKcjaOLnxbQ_1_5"/>
      <w:bookmarkStart w:id="141" w:name="Tc_4U3kZ6rxSE-9nm5nVyDY6Q_1_2"/>
      <w:bookmarkStart w:id="142" w:name="_3104edf3_c3f7_4eb3_b72d_c2d40c9bfd2c"/>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W w:w="10205" w:type="dxa"/>
        <w:jc w:val="left"/>
        <w:tblInd w:w="0" w:type="dxa"/>
        <w:tblCellMar>
          <w:top w:w="0" w:type="dxa"/>
          <w:left w:w="0" w:type="dxa"/>
          <w:bottom w:w="0" w:type="dxa"/>
          <w:right w:w="0" w:type="dxa"/>
        </w:tblCellMar>
      </w:tblPr>
      <w:tblGrid>
        <w:gridCol w:w="6506"/>
        <w:gridCol w:w="326"/>
        <w:gridCol w:w="263"/>
        <w:gridCol w:w="1238"/>
        <w:gridCol w:w="326"/>
        <w:gridCol w:w="261"/>
        <w:gridCol w:w="1285"/>
      </w:tblGrid>
      <w:tr>
        <w:trPr/>
        <w:tc>
          <w:tcPr>
            <w:tcW w:w="6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7005" cy="175260"/>
                      <wp:effectExtent l="0" t="0" r="0" b="0"/>
                      <wp:wrapNone/>
                      <wp:docPr id="101" name="Frame100"/>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86130" cy="175260"/>
                      <wp:effectExtent l="0" t="0" r="0" b="0"/>
                      <wp:wrapNone/>
                      <wp:docPr id="102" name="Frame101"/>
                      <a:graphic xmlns:a="http://schemas.openxmlformats.org/drawingml/2006/main">
                        <a:graphicData uri="http://schemas.microsoft.com/office/word/2010/wordprocessingShape">
                          <wps:wsp>
                            <wps:cNvSpPr txBox="1"/>
                            <wps:spPr>
                              <a:xfrm>
                                <a:off x="0" y="0"/>
                                <a:ext cx="786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5735" cy="175260"/>
                      <wp:effectExtent l="0" t="0" r="0" b="0"/>
                      <wp:wrapNone/>
                      <wp:docPr id="104" name="Frame103"/>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815975" cy="175260"/>
                      <wp:effectExtent l="0" t="0" r="0" b="0"/>
                      <wp:wrapNone/>
                      <wp:docPr id="105" name="Frame104"/>
                      <a:graphic xmlns:a="http://schemas.openxmlformats.org/drawingml/2006/main">
                        <a:graphicData uri="http://schemas.microsoft.com/office/word/2010/wordprocessingShape">
                          <wps:wsp>
                            <wps:cNvSpPr txBox="1"/>
                            <wps:spPr>
                              <a:xfrm>
                                <a:off x="0" y="0"/>
                                <a:ext cx="815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0"/>
              <w:ind w:left="0" w:right="0" w:hanging="0"/>
              <w:jc w:val="center"/>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123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1285" w:type="dxa"/>
            <w:tcBorders/>
            <w:shd w:fill="CCEEFF" w:val="clear"/>
            <w:vAlign w:val="center"/>
          </w:tcPr>
          <w:p>
            <w:pPr>
              <w:pStyle w:val="TableContents"/>
              <w:spacing w:before="0" w:after="0"/>
              <w:ind w:left="0" w:right="0" w:hanging="0"/>
              <w:rPr/>
            </w:pPr>
            <w:r>
              <w:rPr/>
              <w:t>​</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12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285" w:type="dxa"/>
            <w:tcBorders/>
            <w:shd w:fill="auto" w:val="clear"/>
            <w:vAlign w:val="center"/>
          </w:tcPr>
          <w:p>
            <w:pPr>
              <w:pStyle w:val="TableContents"/>
              <w:spacing w:before="0" w:after="0"/>
              <w:ind w:left="0" w:right="0" w:hanging="0"/>
              <w:rPr/>
            </w:pPr>
            <w:r>
              <w:rPr/>
              <w:t>​</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39,143</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43,836</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369,107</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150,586</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jc w:val="right"/>
              <w:rPr/>
            </w:pPr>
            <w:r>
              <w:rPr/>
              <w:t>​</w:t>
            </w:r>
          </w:p>
        </w:tc>
        <w:tc>
          <w:tcPr>
            <w:tcW w:w="12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jc w:val="right"/>
              <w:rPr/>
            </w:pPr>
            <w:r>
              <w:rPr/>
              <w:t>​</w:t>
            </w:r>
          </w:p>
        </w:tc>
        <w:tc>
          <w:tcPr>
            <w:tcW w:w="12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2,417</w:t>
            </w:r>
          </w:p>
        </w:tc>
        <w:tc>
          <w:tcPr>
            <w:tcW w:w="326"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1,619</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410,839</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197,843</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3,815</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jc w:val="right"/>
              <w:rPr/>
            </w:pPr>
            <w:r>
              <w:rPr/>
              <w:t>​</w:t>
            </w:r>
          </w:p>
        </w:tc>
        <w:tc>
          <w:tcPr>
            <w:tcW w:w="12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jc w:val="right"/>
              <w:rPr/>
            </w:pPr>
            <w:r>
              <w:rPr/>
              <w:t>​</w:t>
            </w:r>
          </w:p>
        </w:tc>
        <w:tc>
          <w:tcPr>
            <w:tcW w:w="12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3,449</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30,690</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444,654</w:t>
            </w:r>
          </w:p>
        </w:tc>
        <w:tc>
          <w:tcPr>
            <w:tcW w:w="326" w:type="dxa"/>
            <w:tcBorders/>
            <w:shd w:fill="auto" w:val="clear"/>
            <w:vAlign w:val="center"/>
          </w:tcPr>
          <w:p>
            <w:pPr>
              <w:pStyle w:val="TableContents"/>
              <w:spacing w:before="0" w:after="0"/>
              <w:ind w:left="0" w:right="0" w:hanging="0"/>
              <w:rPr/>
            </w:pPr>
            <w:r>
              <w:rPr/>
              <w:t>​</w:t>
            </w:r>
          </w:p>
        </w:tc>
        <w:tc>
          <w:tcPr>
            <w:tcW w:w="26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235,838</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123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1285" w:type="dxa"/>
            <w:tcBorders/>
            <w:shd w:fill="CCEEFF" w:val="clear"/>
            <w:vAlign w:val="center"/>
          </w:tcPr>
          <w:p>
            <w:pPr>
              <w:pStyle w:val="TableContents"/>
              <w:spacing w:before="0" w:after="0"/>
              <w:ind w:left="0" w:right="0" w:hanging="0"/>
              <w:rPr/>
            </w:pPr>
            <w:r>
              <w:rPr/>
              <w:t>​</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12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285" w:type="dxa"/>
            <w:tcBorders/>
            <w:shd w:fill="auto" w:val="clear"/>
            <w:vAlign w:val="center"/>
          </w:tcPr>
          <w:p>
            <w:pPr>
              <w:pStyle w:val="TableContents"/>
              <w:spacing w:before="0" w:after="0"/>
              <w:ind w:left="0" w:right="0" w:hanging="0"/>
              <w:rPr/>
            </w:pPr>
            <w:r>
              <w:rPr/>
              <w:t>​</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8,459</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jc w:val="right"/>
              <w:rPr/>
            </w:pPr>
            <w:r>
              <w:rPr/>
              <w:t>​</w:t>
            </w:r>
          </w:p>
        </w:tc>
        <w:tc>
          <w:tcPr>
            <w:tcW w:w="12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1,746</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jc w:val="right"/>
              <w:rPr/>
            </w:pPr>
            <w:r>
              <w:rPr/>
              <w:t>​</w:t>
            </w:r>
          </w:p>
        </w:tc>
        <w:tc>
          <w:tcPr>
            <w:tcW w:w="12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long-term liabilities</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26"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3,372</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16,528</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14,206</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7,354</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10,121</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25,178</w:t>
            </w:r>
          </w:p>
        </w:tc>
        <w:tc>
          <w:tcPr>
            <w:tcW w:w="326"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26,481</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Commitments and contingent liabilities (Note 14)</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123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1285" w:type="dxa"/>
            <w:tcBorders/>
            <w:shd w:fill="CCEEFF" w:val="clear"/>
            <w:vAlign w:val="center"/>
          </w:tcPr>
          <w:p>
            <w:pPr>
              <w:pStyle w:val="TableContents"/>
              <w:spacing w:before="0" w:after="0"/>
              <w:ind w:left="0" w:right="0" w:hanging="0"/>
              <w:rPr/>
            </w:pPr>
            <w:r>
              <w:rPr/>
              <w:t>​</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12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1285" w:type="dxa"/>
            <w:tcBorders/>
            <w:shd w:fill="auto" w:val="clear"/>
            <w:vAlign w:val="center"/>
          </w:tcPr>
          <w:p>
            <w:pPr>
              <w:pStyle w:val="TableContents"/>
              <w:spacing w:before="0" w:after="0"/>
              <w:ind w:left="0" w:right="0" w:hanging="0"/>
              <w:rPr/>
            </w:pPr>
            <w:r>
              <w:rPr/>
              <w:t>​</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December 31, 2021 and 2020</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jc w:val="right"/>
              <w:rPr/>
            </w:pPr>
            <w:r>
              <w:rPr/>
              <w:t>​</w:t>
            </w:r>
          </w:p>
        </w:tc>
        <w:tc>
          <w:tcPr>
            <w:tcW w:w="123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jc w:val="right"/>
              <w:rPr/>
            </w:pPr>
            <w:r>
              <w:rPr/>
              <w:t>​</w:t>
            </w:r>
          </w:p>
        </w:tc>
        <w:tc>
          <w:tcPr>
            <w:tcW w:w="1285" w:type="dxa"/>
            <w:tcBorders/>
            <w:shd w:fill="CCEEFF" w:val="clear"/>
            <w:vAlign w:val="center"/>
          </w:tcPr>
          <w:p>
            <w:pPr>
              <w:pStyle w:val="TableContents"/>
              <w:spacing w:before="0" w:after="0"/>
              <w:ind w:left="0" w:right="0" w:hanging="0"/>
              <w:jc w:val="right"/>
              <w:rPr/>
            </w:pPr>
            <w:r>
              <w:rPr/>
              <w:t>—</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Common stock, $.001 par value; 297,000,000 shares authorized; 46,730,198 and 39,603,771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2021 and 2020, respectively</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jc w:val="right"/>
              <w:rPr/>
            </w:pPr>
            <w:r>
              <w:rPr/>
              <w:t>​</w:t>
            </w:r>
          </w:p>
        </w:tc>
        <w:tc>
          <w:tcPr>
            <w:tcW w:w="12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1,561,142</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jc w:val="right"/>
              <w:rPr/>
            </w:pPr>
            <w:r>
              <w:rPr/>
              <w:t>​</w:t>
            </w:r>
          </w:p>
        </w:tc>
        <w:tc>
          <w:tcPr>
            <w:tcW w:w="12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1,279,824</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jc w:val="right"/>
              <w:rPr/>
            </w:pPr>
            <w:r>
              <w:rPr/>
              <w:t>​</w:t>
            </w:r>
          </w:p>
        </w:tc>
        <w:tc>
          <w:tcPr>
            <w:tcW w:w="12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jc w:val="right"/>
              <w:rPr/>
            </w:pPr>
            <w:r>
              <w:rPr/>
              <w:t>​</w:t>
            </w:r>
          </w:p>
        </w:tc>
        <w:tc>
          <w:tcPr>
            <w:tcW w:w="12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2,589</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(1,143,607)</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(1,073,096)</w:t>
            </w:r>
          </w:p>
        </w:tc>
      </w:tr>
      <w:tr>
        <w:trPr/>
        <w:tc>
          <w:tcPr>
            <w:tcW w:w="65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419,476</w:t>
            </w:r>
          </w:p>
        </w:tc>
        <w:tc>
          <w:tcPr>
            <w:tcW w:w="326"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209,357</w:t>
            </w:r>
          </w:p>
        </w:tc>
      </w:tr>
      <w:tr>
        <w:trPr/>
        <w:tc>
          <w:tcPr>
            <w:tcW w:w="65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444,654</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235,838</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43" w:name="_69734b95_b529_4254_8384_4b0685949045"/>
      <w:bookmarkEnd w:id="143"/>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AND COMPREHENSIVE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144" w:name="Tc_uKOjfu0uNkaw7vLdXxYwhg_25_8"/>
      <w:bookmarkStart w:id="145" w:name="Tc_teqBAJYvnkmLSTbQzKFgzQ_25_5"/>
      <w:bookmarkStart w:id="146" w:name="Tc_xo7tXfHYaEKkRRk1fYWFRw_25_2"/>
      <w:bookmarkStart w:id="147" w:name="Tc_4zXAVYgWbEWTvMj3D3UZTg_25_0"/>
      <w:bookmarkStart w:id="148" w:name="Tc_pNEAegsaEU-UbFUj7XQ3KA_24_0"/>
      <w:bookmarkStart w:id="149" w:name="Tc_3qx1uH1cVUKFyuB3uUe6JA_23_0"/>
      <w:bookmarkStart w:id="150" w:name="Tc_Dtr1vL99xk22i_HGxVfWgg_22_8"/>
      <w:bookmarkStart w:id="151" w:name="Tc_Lc4r8A_chEG618VZPuj9cg_22_5"/>
      <w:bookmarkStart w:id="152" w:name="Tc_APDXeosfw0m6g-3PaGV00w_22_2"/>
      <w:bookmarkStart w:id="153" w:name="Tc_Cgq2ndYd0UmcVK-vfrrQWg_22_0"/>
      <w:bookmarkStart w:id="154" w:name="Tc_EsGMZeBOXE6OBc2ZY4vNOg_21_0"/>
      <w:bookmarkStart w:id="155" w:name="Tc_eGP_IVYBcEqB5nBvOedE2w_20_0"/>
      <w:bookmarkStart w:id="156" w:name="Tc_gpfcJOMay0GtoAaouhj44w_19_0"/>
      <w:bookmarkStart w:id="157" w:name="Tc_Getj38DEuEy2aonveLYudw_18_8"/>
      <w:bookmarkStart w:id="158" w:name="Tc_W5NurJUTdECvsC_Zi-6yVg_18_5"/>
      <w:bookmarkStart w:id="159" w:name="Tc_ae0JgsMC1Uu3ssmq_1-ivA_18_2"/>
      <w:bookmarkStart w:id="160" w:name="Tc_7BtwUnxOLEOmIgcuJuvUZg_18_0"/>
      <w:bookmarkStart w:id="161" w:name="Tc_5_kDSiOCV0ufzj98dyb_3g_17_9"/>
      <w:bookmarkStart w:id="162" w:name="Tc_LDcHULhAa0qUDxVoH6MTzw_17_0"/>
      <w:bookmarkStart w:id="163" w:name="Tc_7-ZK6rIeekmuPVjHZwaRkQ_16_8"/>
      <w:bookmarkStart w:id="164" w:name="Tc_alP6rO0ZQUSWp2hEE6nUyg_16_5"/>
      <w:bookmarkStart w:id="165" w:name="Tc_6u0ZV4Is-Eu-rxG-7WjldQ_16_2"/>
      <w:bookmarkStart w:id="166" w:name="Tc_fCqPO9-apUGWqZ123gxagg_16_0"/>
      <w:bookmarkStart w:id="167" w:name="Tc_dVlnZ99cCkirY-3UPPY-iA_15_0"/>
      <w:bookmarkStart w:id="168" w:name="Tc_UnOXy2w8bkuAbKb-LMxMTA_14_0"/>
      <w:bookmarkStart w:id="169" w:name="Tc_u5nbDKdz3ES0KLM3Sd8DCw_13_0"/>
      <w:bookmarkStart w:id="170" w:name="Tc_JTV6N3JYukWZWhQfLU9iuQ_12_0"/>
      <w:bookmarkStart w:id="171" w:name="Tc_zrIoy8eFRkuuKKZVZ8Kl3Q_11_6"/>
      <w:bookmarkStart w:id="172" w:name="Tc_-2XN_iRtIEKkpyhPiPmThw_11_3"/>
      <w:bookmarkStart w:id="173" w:name="Tc_riQmv4ICkU-YcbAQ2N5ihQ_11_0"/>
      <w:bookmarkStart w:id="174" w:name="Tc_qQ5WZDx6AkeTK8zBu57f8w_10_9"/>
      <w:bookmarkStart w:id="175" w:name="Tc_Rm0vdieIlkSksvLGXNROUQ_10_0"/>
      <w:bookmarkStart w:id="176" w:name="Tc_I1IHt_yAh0yfK-UfZwG81g_9_0"/>
      <w:bookmarkStart w:id="177" w:name="Tc_AqKDrkvJ2EW2Z0xxUfvjVg_8_0"/>
      <w:bookmarkStart w:id="178" w:name="Tc_OjAEsd8Ol0Kb6LQLIFbvgg_7_0"/>
      <w:bookmarkStart w:id="179" w:name="Tc_zuiKeaY5Wkam_cVxhFff9w_6_0"/>
      <w:bookmarkStart w:id="180" w:name="Tc_JchFnSPD50eWGL3UZTJuog_5_0"/>
      <w:bookmarkStart w:id="181" w:name="Tc_juoUU3n0HkqpM3x4n1Cv1g_4_8"/>
      <w:bookmarkStart w:id="182" w:name="Tc_ry9-qOD9IkSaLWGH4W0pIA_4_5"/>
      <w:bookmarkStart w:id="183" w:name="Tc_xOnRxGDSw0KOH5j5t8qSXQ_4_2"/>
      <w:bookmarkStart w:id="184" w:name="Tc_5fCPSs--w0mwIqQWrSs4xQ_4_0"/>
      <w:bookmarkStart w:id="185" w:name="Tc_PN5itRC32UeAU3FSStonlA_3_0"/>
      <w:bookmarkStart w:id="186" w:name="Tc_5BMK85NqFkOQwLmkfWReMA_2_8"/>
      <w:bookmarkStart w:id="187" w:name="Tc_eZLP-o1Rqk-vNtu2RKgO7g_2_5"/>
      <w:bookmarkStart w:id="188" w:name="Tc_V6l9leaiVEC-xp-r9zHKrg_2_2"/>
      <w:bookmarkStart w:id="189" w:name="Tc_DKm3pBVte0-bUw0xWNNarw_1_8"/>
      <w:bookmarkStart w:id="190" w:name="Tc_-KiAZt-mKkKYEd5i2u3I2w_1_5"/>
      <w:bookmarkStart w:id="191" w:name="Tc_P8BO4N0dvkKl_d_7wuuyKg_1_2"/>
      <w:bookmarkStart w:id="192" w:name="_d666833f_e7b9_49ab_a539_956457d450a7"/>
      <w:bookmarkStart w:id="193" w:name="Tc_uKOjfu0uNkaw7vLdXxYwhg_25_8"/>
      <w:bookmarkStart w:id="194" w:name="Tc_teqBAJYvnkmLSTbQzKFgzQ_25_5"/>
      <w:bookmarkStart w:id="195" w:name="Tc_xo7tXfHYaEKkRRk1fYWFRw_25_2"/>
      <w:bookmarkStart w:id="196" w:name="Tc_4zXAVYgWbEWTvMj3D3UZTg_25_0"/>
      <w:bookmarkStart w:id="197" w:name="Tc_pNEAegsaEU-UbFUj7XQ3KA_24_0"/>
      <w:bookmarkStart w:id="198" w:name="Tc_3qx1uH1cVUKFyuB3uUe6JA_23_0"/>
      <w:bookmarkStart w:id="199" w:name="Tc_Dtr1vL99xk22i_HGxVfWgg_22_8"/>
      <w:bookmarkStart w:id="200" w:name="Tc_Lc4r8A_chEG618VZPuj9cg_22_5"/>
      <w:bookmarkStart w:id="201" w:name="Tc_APDXeosfw0m6g-3PaGV00w_22_2"/>
      <w:bookmarkStart w:id="202" w:name="Tc_Cgq2ndYd0UmcVK-vfrrQWg_22_0"/>
      <w:bookmarkStart w:id="203" w:name="Tc_EsGMZeBOXE6OBc2ZY4vNOg_21_0"/>
      <w:bookmarkStart w:id="204" w:name="Tc_eGP_IVYBcEqB5nBvOedE2w_20_0"/>
      <w:bookmarkStart w:id="205" w:name="Tc_gpfcJOMay0GtoAaouhj44w_19_0"/>
      <w:bookmarkStart w:id="206" w:name="Tc_Getj38DEuEy2aonveLYudw_18_8"/>
      <w:bookmarkStart w:id="207" w:name="Tc_W5NurJUTdECvsC_Zi-6yVg_18_5"/>
      <w:bookmarkStart w:id="208" w:name="Tc_ae0JgsMC1Uu3ssmq_1-ivA_18_2"/>
      <w:bookmarkStart w:id="209" w:name="Tc_7BtwUnxOLEOmIgcuJuvUZg_18_0"/>
      <w:bookmarkStart w:id="210" w:name="Tc_5_kDSiOCV0ufzj98dyb_3g_17_9"/>
      <w:bookmarkStart w:id="211" w:name="Tc_LDcHULhAa0qUDxVoH6MTzw_17_0"/>
      <w:bookmarkStart w:id="212" w:name="Tc_7-ZK6rIeekmuPVjHZwaRkQ_16_8"/>
      <w:bookmarkStart w:id="213" w:name="Tc_alP6rO0ZQUSWp2hEE6nUyg_16_5"/>
      <w:bookmarkStart w:id="214" w:name="Tc_6u0ZV4Is-Eu-rxG-7WjldQ_16_2"/>
      <w:bookmarkStart w:id="215" w:name="Tc_fCqPO9-apUGWqZ123gxagg_16_0"/>
      <w:bookmarkStart w:id="216" w:name="Tc_dVlnZ99cCkirY-3UPPY-iA_15_0"/>
      <w:bookmarkStart w:id="217" w:name="Tc_UnOXy2w8bkuAbKb-LMxMTA_14_0"/>
      <w:bookmarkStart w:id="218" w:name="Tc_u5nbDKdz3ES0KLM3Sd8DCw_13_0"/>
      <w:bookmarkStart w:id="219" w:name="Tc_JTV6N3JYukWZWhQfLU9iuQ_12_0"/>
      <w:bookmarkStart w:id="220" w:name="Tc_zrIoy8eFRkuuKKZVZ8Kl3Q_11_6"/>
      <w:bookmarkStart w:id="221" w:name="Tc_-2XN_iRtIEKkpyhPiPmThw_11_3"/>
      <w:bookmarkStart w:id="222" w:name="Tc_riQmv4ICkU-YcbAQ2N5ihQ_11_0"/>
      <w:bookmarkStart w:id="223" w:name="Tc_qQ5WZDx6AkeTK8zBu57f8w_10_9"/>
      <w:bookmarkStart w:id="224" w:name="Tc_Rm0vdieIlkSksvLGXNROUQ_10_0"/>
      <w:bookmarkStart w:id="225" w:name="Tc_I1IHt_yAh0yfK-UfZwG81g_9_0"/>
      <w:bookmarkStart w:id="226" w:name="Tc_AqKDrkvJ2EW2Z0xxUfvjVg_8_0"/>
      <w:bookmarkStart w:id="227" w:name="Tc_OjAEsd8Ol0Kb6LQLIFbvgg_7_0"/>
      <w:bookmarkStart w:id="228" w:name="Tc_zuiKeaY5Wkam_cVxhFff9w_6_0"/>
      <w:bookmarkStart w:id="229" w:name="Tc_JchFnSPD50eWGL3UZTJuog_5_0"/>
      <w:bookmarkStart w:id="230" w:name="Tc_juoUU3n0HkqpM3x4n1Cv1g_4_8"/>
      <w:bookmarkStart w:id="231" w:name="Tc_ry9-qOD9IkSaLWGH4W0pIA_4_5"/>
      <w:bookmarkStart w:id="232" w:name="Tc_xOnRxGDSw0KOH5j5t8qSXQ_4_2"/>
      <w:bookmarkStart w:id="233" w:name="Tc_5fCPSs--w0mwIqQWrSs4xQ_4_0"/>
      <w:bookmarkStart w:id="234" w:name="Tc_PN5itRC32UeAU3FSStonlA_3_0"/>
      <w:bookmarkStart w:id="235" w:name="Tc_5BMK85NqFkOQwLmkfWReMA_2_8"/>
      <w:bookmarkStart w:id="236" w:name="Tc_eZLP-o1Rqk-vNtu2RKgO7g_2_5"/>
      <w:bookmarkStart w:id="237" w:name="Tc_V6l9leaiVEC-xp-r9zHKrg_2_2"/>
      <w:bookmarkStart w:id="238" w:name="Tc_DKm3pBVte0-bUw0xWNNarw_1_8"/>
      <w:bookmarkStart w:id="239" w:name="Tc_-KiAZt-mKkKYEd5i2u3I2w_1_5"/>
      <w:bookmarkStart w:id="240" w:name="Tc_P8BO4N0dvkKl_d_7wuuyKg_1_2"/>
      <w:bookmarkStart w:id="241" w:name="_d666833f_e7b9_49ab_a539_956457d450a7"/>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10205" w:type="dxa"/>
        <w:jc w:val="left"/>
        <w:tblInd w:w="0" w:type="dxa"/>
        <w:tblCellMar>
          <w:top w:w="0" w:type="dxa"/>
          <w:left w:w="0" w:type="dxa"/>
          <w:bottom w:w="0" w:type="dxa"/>
          <w:right w:w="0" w:type="dxa"/>
        </w:tblCellMar>
      </w:tblPr>
      <w:tblGrid>
        <w:gridCol w:w="4679"/>
        <w:gridCol w:w="326"/>
        <w:gridCol w:w="334"/>
        <w:gridCol w:w="1167"/>
        <w:gridCol w:w="326"/>
        <w:gridCol w:w="334"/>
        <w:gridCol w:w="1167"/>
        <w:gridCol w:w="326"/>
        <w:gridCol w:w="328"/>
        <w:gridCol w:w="1218"/>
      </w:tblGrid>
      <w:tr>
        <w:trPr/>
        <w:tc>
          <w:tcPr>
            <w:tcW w:w="46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2090" cy="175260"/>
                      <wp:effectExtent l="0" t="0" r="0" b="0"/>
                      <wp:wrapNone/>
                      <wp:docPr id="107" name="Frame106"/>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41045" cy="175260"/>
                      <wp:effectExtent l="0" t="0" r="0" b="0"/>
                      <wp:wrapNone/>
                      <wp:docPr id="108" name="Frame107"/>
                      <a:graphic xmlns:a="http://schemas.openxmlformats.org/drawingml/2006/main">
                        <a:graphicData uri="http://schemas.microsoft.com/office/word/2010/wordprocessingShape">
                          <wps:wsp>
                            <wps:cNvSpPr txBox="1"/>
                            <wps:spPr>
                              <a:xfrm>
                                <a:off x="0" y="0"/>
                                <a:ext cx="741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2090" cy="175260"/>
                      <wp:effectExtent l="0" t="0" r="0" b="0"/>
                      <wp:wrapNone/>
                      <wp:docPr id="110" name="Frame109"/>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41045" cy="175260"/>
                      <wp:effectExtent l="0" t="0" r="0" b="0"/>
                      <wp:wrapNone/>
                      <wp:docPr id="111" name="Frame110"/>
                      <a:graphic xmlns:a="http://schemas.openxmlformats.org/drawingml/2006/main">
                        <a:graphicData uri="http://schemas.microsoft.com/office/word/2010/wordprocessingShape">
                          <wps:wsp>
                            <wps:cNvSpPr txBox="1"/>
                            <wps:spPr>
                              <a:xfrm>
                                <a:off x="0" y="0"/>
                                <a:ext cx="741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8280" cy="175260"/>
                      <wp:effectExtent l="0" t="0" r="0" b="0"/>
                      <wp:wrapNone/>
                      <wp:docPr id="113" name="Frame112"/>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73430" cy="175260"/>
                      <wp:effectExtent l="0" t="0" r="0" b="0"/>
                      <wp:wrapNone/>
                      <wp:docPr id="114" name="Frame113"/>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shd w:fill="auto" w:val="clear"/>
            <w:vAlign w:val="center"/>
          </w:tcPr>
          <w:p>
            <w:pPr>
              <w:pStyle w:val="TableContents"/>
              <w:spacing w:before="0" w:after="0"/>
              <w:ind w:left="0" w:right="0" w:hanging="0"/>
              <w:jc w:val="center"/>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shd w:fill="auto" w:val="clear"/>
            <w:vAlign w:val="center"/>
          </w:tcPr>
          <w:p>
            <w:pPr>
              <w:pStyle w:val="TableContents"/>
              <w:spacing w:before="0" w:after="0"/>
              <w:ind w:left="0" w:right="0" w:hanging="0"/>
              <w:jc w:val="center"/>
              <w:rPr/>
            </w:pPr>
            <w:r>
              <w:rPr/>
              <w:t>    </w:t>
            </w:r>
          </w:p>
        </w:tc>
        <w:tc>
          <w:tcPr>
            <w:tcW w:w="15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46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0"/>
              <w:ind w:left="0" w:right="0" w:hanging="0"/>
              <w:jc w:val="center"/>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326" w:type="dxa"/>
            <w:tcBorders/>
            <w:shd w:fill="auto" w:val="clear"/>
            <w:vAlign w:val="center"/>
          </w:tcPr>
          <w:p>
            <w:pPr>
              <w:pStyle w:val="TableContents"/>
              <w:spacing w:before="0" w:after="0"/>
              <w:ind w:left="0" w:right="0" w:hanging="0"/>
              <w:jc w:val="center"/>
              <w:rPr/>
            </w:pPr>
            <w:r>
              <w:rPr/>
              <w:t>​</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2019</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rPr/>
            </w:pPr>
            <w:r>
              <w:rPr/>
              <w:t>​</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4,620</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5,117</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4,651</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7,418</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3,573</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rPr/>
            </w:pPr>
            <w:r>
              <w:rPr/>
              <w:t>​</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jc w:val="right"/>
              <w:rPr/>
            </w:pPr>
            <w:r>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53,311</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jc w:val="right"/>
              <w:rPr/>
            </w:pPr>
            <w:r>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42,534</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jc w:val="right"/>
              <w:rPr/>
            </w:pPr>
            <w:r>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42,672</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jc w:val="right"/>
              <w:rPr/>
            </w:pPr>
            <w:r>
              <w:rPr/>
              <w:t>​</w:t>
            </w:r>
          </w:p>
        </w:tc>
        <w:tc>
          <w:tcPr>
            <w:tcW w:w="11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20,488</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jc w:val="right"/>
              <w:rPr/>
            </w:pPr>
            <w:r>
              <w:rPr/>
              <w:t>​</w:t>
            </w:r>
          </w:p>
        </w:tc>
        <w:tc>
          <w:tcPr>
            <w:tcW w:w="11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14,456</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jc w:val="right"/>
              <w:rPr/>
            </w:pPr>
            <w:r>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15,426</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 impairment</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jc w:val="right"/>
              <w:rPr/>
            </w:pPr>
            <w:r>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jc w:val="right"/>
              <w:rPr/>
            </w:pPr>
            <w:r>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jc w:val="right"/>
              <w:rPr/>
            </w:pPr>
            <w:r>
              <w:rPr/>
              <w:t>​</w:t>
            </w:r>
          </w:p>
        </w:tc>
        <w:tc>
          <w:tcPr>
            <w:tcW w:w="1218" w:type="dxa"/>
            <w:tcBorders/>
            <w:shd w:fill="auto" w:val="clear"/>
            <w:vAlign w:val="center"/>
          </w:tcPr>
          <w:p>
            <w:pPr>
              <w:pStyle w:val="TableContents"/>
              <w:spacing w:before="0" w:after="0"/>
              <w:ind w:left="0" w:right="0" w:hanging="0"/>
              <w:jc w:val="right"/>
              <w:rPr/>
            </w:pPr>
            <w:r>
              <w:rPr/>
              <w:t>—</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 impairment</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jc w:val="right"/>
              <w:rPr/>
            </w:pPr>
            <w:r>
              <w:rPr/>
              <w:t>​</w:t>
            </w:r>
          </w:p>
        </w:tc>
        <w:tc>
          <w:tcPr>
            <w:tcW w:w="116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jc w:val="right"/>
              <w:rPr/>
            </w:pPr>
            <w:r>
              <w:rPr/>
              <w:t>​</w:t>
            </w:r>
          </w:p>
        </w:tc>
        <w:tc>
          <w:tcPr>
            <w:tcW w:w="116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jc w:val="right"/>
              <w:rPr/>
            </w:pPr>
            <w:r>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75,894</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70,772</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58,604</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jc w:val="right"/>
              <w:rPr/>
            </w:pPr>
            <w:r>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(71,243)</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jc w:val="right"/>
              <w:rPr/>
            </w:pPr>
            <w:r>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(63,354)</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jc w:val="right"/>
              <w:rPr/>
            </w:pPr>
            <w:r>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(55,031)</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2,407</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before income tax benefit</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(70,738)</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(60,947)</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(70,511)</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Basic and diluted net loss per common share </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42,870</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29,640</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2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14,507</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rPr/>
            </w:pPr>
            <w:r>
              <w:rPr/>
              <w:t>​</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(70,511)</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w:t>
            </w:r>
          </w:p>
        </w:tc>
        <w:tc>
          <w:tcPr>
            <w:tcW w:w="116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rPr/>
            </w:pPr>
            <w:r>
              <w:rPr/>
              <w:t>​</w:t>
            </w:r>
          </w:p>
        </w:tc>
      </w:tr>
      <w:tr>
        <w:trPr/>
        <w:tc>
          <w:tcPr>
            <w:tcW w:w="46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gain on marketable securities</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6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(71,206)</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(59,810)</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(50,842)</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42" w:name="_9d99d2b9_f736_404d_bfda_6d7bd9aed919"/>
      <w:bookmarkEnd w:id="242"/>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243" w:name="Tc_AxjE_EyrV0K-3pcd99rOaw_24_16"/>
      <w:bookmarkStart w:id="244" w:name="Tc_hFxY95rlU0CYOkNELhZ7Ug_24_13"/>
      <w:bookmarkStart w:id="245" w:name="Tc_FOyDOgUfCUyrUWcMYAyUHA_24_10"/>
      <w:bookmarkStart w:id="246" w:name="Tc_O-pViifS8UKUX4aPC87_xQ_24_7"/>
      <w:bookmarkStart w:id="247" w:name="Tc_MBfrCyc0xku2KJmL2JfDww_24_4"/>
      <w:bookmarkStart w:id="248" w:name="Tc_4z0vXLO-hU6Xnogb6u6Miw_24_0"/>
      <w:bookmarkStart w:id="249" w:name="Tc_n-3jhCtrRUa2mqa-e7CK8A_23_11"/>
      <w:bookmarkStart w:id="250" w:name="Tc_TOJBEgpzMUCeGtYTJSU9JA_23_8"/>
      <w:bookmarkStart w:id="251" w:name="Tc_8GW1gSiPdUGg5Ui6ozKv7Q_23_5"/>
      <w:bookmarkStart w:id="252" w:name="Tc_Y9Opx2HCikqSWbC276SCZg_23_2"/>
      <w:bookmarkStart w:id="253" w:name="Tc_1kD8sSL8s0GYPJBbixkIAw_23_0"/>
      <w:bookmarkStart w:id="254" w:name="Tc_gyxQ2uyx4keHiv4JmpeqQA_22_14"/>
      <w:bookmarkStart w:id="255" w:name="Tc_ZDuzo75bwkakyBpBDR7dfQ_22_8"/>
      <w:bookmarkStart w:id="256" w:name="Tc_4_BUDjDSTEihjadDrXrRAQ_22_5"/>
      <w:bookmarkStart w:id="257" w:name="Tc_GTs6mwrBlEWU__kFmxF1ig_22_2"/>
      <w:bookmarkStart w:id="258" w:name="Tc_34PuqqbtH0Ghh4ZauQL35Q_22_0"/>
      <w:bookmarkStart w:id="259" w:name="Tc_2_a-hgYFHU6NHJ6xWqxtaA_21_14"/>
      <w:bookmarkStart w:id="260" w:name="Tc_WpHUEtIwAEy_nxyWRoK-Sg_21_11"/>
      <w:bookmarkStart w:id="261" w:name="Tc_0PJSGbWmZkmycODN5yKNgg_21_5"/>
      <w:bookmarkStart w:id="262" w:name="Tc_OAeWvEe5O0CdeN4WiqApHQ_21_2"/>
      <w:bookmarkStart w:id="263" w:name="Tc_2n5qz4saNUSohnHHz7Yw2w_21_0"/>
      <w:bookmarkStart w:id="264" w:name="Tc_pkt0uxjaPkW__NyZCb8gjw_20_14"/>
      <w:bookmarkStart w:id="265" w:name="Tc_5i1lHhnzkk-_erVSMhg3Rg_20_11"/>
      <w:bookmarkStart w:id="266" w:name="Tc_RYWLKn31j0aE4cbSkhJ3Aw_20_0"/>
      <w:bookmarkStart w:id="267" w:name="Tc_XJrayypTm0Cu7NxdlOYW-Q_19_14"/>
      <w:bookmarkStart w:id="268" w:name="Tc_F0p1Np2n10CRhwvEWxS4QA_19_11"/>
      <w:bookmarkStart w:id="269" w:name="Tc_M8UMEdQvBUK_VZiEy_ivJA_19_5"/>
      <w:bookmarkStart w:id="270" w:name="Tc_vNjMyoLwHUeLTA7FndRvYw_19_0"/>
      <w:bookmarkStart w:id="271" w:name="Tc_BruUN-YZR0iL_ImqLbXMQg_18_16"/>
      <w:bookmarkStart w:id="272" w:name="Tc_lZ0gLBKXtESedgXfCmZ9eg_18_13"/>
      <w:bookmarkStart w:id="273" w:name="Tc_vReyVxHgMEKTxU1K4ghoLg_18_10"/>
      <w:bookmarkStart w:id="274" w:name="Tc_bxP_pDM8dk6x_UzqTVcN8w_18_7"/>
      <w:bookmarkStart w:id="275" w:name="Tc_cIBGYDMLj0SLTFbBZxoNyw_18_4"/>
      <w:bookmarkStart w:id="276" w:name="Tc_tU5-CMFIW0600nMYEeWERA_18_0"/>
      <w:bookmarkStart w:id="277" w:name="Tc_uuVPSHyPwUydhawgYz5aNw_17_11"/>
      <w:bookmarkStart w:id="278" w:name="Tc_1vH-ToxUJke480zLtw0UJw_17_8"/>
      <w:bookmarkStart w:id="279" w:name="Tc_xZgWLDt9R06JTPC1CNKskw_17_5"/>
      <w:bookmarkStart w:id="280" w:name="Tc_Nja_EMjqvkWm15H0HNRV8Q_17_2"/>
      <w:bookmarkStart w:id="281" w:name="Tc_UWaQw3YA3EefTbJVTJ0XMg_17_0"/>
      <w:bookmarkStart w:id="282" w:name="Tc_s8CuDCagM0WjvLzqbS_7dg_16_14"/>
      <w:bookmarkStart w:id="283" w:name="Tc_j9HC3yYO7ketzCzDyFWFiQ_16_8"/>
      <w:bookmarkStart w:id="284" w:name="Tc_A5IbXxb56UCqcYsD_gIrkw_16_5"/>
      <w:bookmarkStart w:id="285" w:name="Tc_kWmRO-9ve0Os6yWyu6GyLw_16_2"/>
      <w:bookmarkStart w:id="286" w:name="Tc_WqB3Yq_kd0qWS977QxAJCQ_16_0"/>
      <w:bookmarkStart w:id="287" w:name="Tc_bRkgS3N9Hk6dzWfwavcg5g_15_14"/>
      <w:bookmarkStart w:id="288" w:name="Tc_DsPMyeDSZEmkZazkV2wkPg_15_11"/>
      <w:bookmarkStart w:id="289" w:name="Tc_o3hzNkTjHUaJwxl7HKnnVw_15_5"/>
      <w:bookmarkStart w:id="290" w:name="Tc_JztLZXmiyU2K4LvtHpNboQ_15_2"/>
      <w:bookmarkStart w:id="291" w:name="Tc_aIy7D55AW0O-ls1BprHbIg_15_0"/>
      <w:bookmarkStart w:id="292" w:name="Tc_b5n6seIRq06v0GOk9T_OFA_14_14"/>
      <w:bookmarkStart w:id="293" w:name="Tc_SfMf2wWRG0yW_H4EdCg5dA_14_11"/>
      <w:bookmarkStart w:id="294" w:name="Tc_ci2GqC_i1ESiihb0FyIs_A_14_0"/>
      <w:bookmarkStart w:id="295" w:name="Tc_1QFyrjQOQEOy81ntyVXkiQ_13_14"/>
      <w:bookmarkStart w:id="296" w:name="Tc_LYHPrlXcLUOGY6Ekqo996w_13_11"/>
      <w:bookmarkStart w:id="297" w:name="Tc_-Ggv9xnas02xAB5mU4KiMA_13_0"/>
      <w:bookmarkStart w:id="298" w:name="Tc_e5aWWz3fU0iItLd_bu4iCg_12_14"/>
      <w:bookmarkStart w:id="299" w:name="Tc_YF5k3fYzb02-0-zxXpbKJQ_12_11"/>
      <w:bookmarkStart w:id="300" w:name="Tc_3vFDL55gxES6ZmEUoRKWyA_12_5"/>
      <w:bookmarkStart w:id="301" w:name="Tc_Sx9dtAGNdk-qmyTOsX-8sw_12_0"/>
      <w:bookmarkStart w:id="302" w:name="Tc_bJkbk9kOVEmH2r2t6QvbhA_11_16"/>
      <w:bookmarkStart w:id="303" w:name="Tc_g6JVy2tMD0u96KXnwW5PcQ_11_13"/>
      <w:bookmarkStart w:id="304" w:name="Tc_359X9W11WU6rbL3YuDIKrg_11_10"/>
      <w:bookmarkStart w:id="305" w:name="Tc_T36caawJ0Eq6QHIcQnOd9g_11_7"/>
      <w:bookmarkStart w:id="306" w:name="Tc_DvL9s4o2QUiZn9OueBBd3g_11_4"/>
      <w:bookmarkStart w:id="307" w:name="Tc_mqGlMP5vrEqjNTxjmwSKtw_11_0"/>
      <w:bookmarkStart w:id="308" w:name="Tc_Zy4Gun3F6EWuOSOt44H5yA_10_11"/>
      <w:bookmarkStart w:id="309" w:name="Tc_R7EbXuVOVkqPUOQ4pMC_Ig_10_8"/>
      <w:bookmarkStart w:id="310" w:name="Tc_PFDxws98Oku2nJ7EfcUWYw_10_5"/>
      <w:bookmarkStart w:id="311" w:name="Tc_8nQpW0hCOkmBNX7EHu81_w_10_2"/>
      <w:bookmarkStart w:id="312" w:name="Tc_WZu1rCt-U0Kvk_Kf9VvLcg_10_0"/>
      <w:bookmarkStart w:id="313" w:name="Tc_mkxCY6Pln0ykC00UXiLN4Q_9_14"/>
      <w:bookmarkStart w:id="314" w:name="Tc_fhC9MeNLT0GKFYb8UBvmWw_9_8"/>
      <w:bookmarkStart w:id="315" w:name="Tc_3ABX4O9oz0aZlHoBGp4kVA_9_5"/>
      <w:bookmarkStart w:id="316" w:name="Tc_YPhHQOOejkWgr53lxrBpXQ_9_2"/>
      <w:bookmarkStart w:id="317" w:name="Tc_nuVCadSRUEeTSgPugR8w8g_9_0"/>
      <w:bookmarkStart w:id="318" w:name="Tc_riaAvJzLiE-HTTTjJlyDKw_8_14"/>
      <w:bookmarkStart w:id="319" w:name="Tc_21D_aQblxkK4BiuWpBXP4g_8_11"/>
      <w:bookmarkStart w:id="320" w:name="Tc_dK2Mllj9wkmeQ2Rc8HXCOQ_8_5"/>
      <w:bookmarkStart w:id="321" w:name="Tc_gsX3hdjFAUy2j-uI0J_u_w_8_2"/>
      <w:bookmarkStart w:id="322" w:name="Tc_2bUnuhCYBkaHmFLHI9ZWxQ_8_0"/>
      <w:bookmarkStart w:id="323" w:name="Tc_FI7GWmBBxke_H1oAtyMXWg_7_14"/>
      <w:bookmarkStart w:id="324" w:name="Tc_1WmjT6SHEkW-eounT9q-3Q_7_11"/>
      <w:bookmarkStart w:id="325" w:name="Tc_RepV5WDEoEqoNQe0u5iYkA_7_0"/>
      <w:bookmarkStart w:id="326" w:name="Tc_gkm6ZvPEYEq2VQYYrl9_yQ_6_14"/>
      <w:bookmarkStart w:id="327" w:name="Tc_vcnQxTcKXE2Xp36GujAmCA_6_11"/>
      <w:bookmarkStart w:id="328" w:name="Tc_DUw7BpXp-UqkV_hLFnrZdQ_6_5"/>
      <w:bookmarkStart w:id="329" w:name="Tc_oQ4BTkt430iwwuc5GM--hA_6_0"/>
      <w:bookmarkStart w:id="330" w:name="Tc_sAoUg2eHrkSkdcHmECowbw_5_16"/>
      <w:bookmarkStart w:id="331" w:name="Tc_HL3nEQW_ckCF44YxAhnAlQ_5_13"/>
      <w:bookmarkStart w:id="332" w:name="Tc_FuX03nnDIk2une4iJPay3Q_5_10"/>
      <w:bookmarkStart w:id="333" w:name="Tc_E4h9aFXPPESw5w3CT-5OsA_5_7"/>
      <w:bookmarkStart w:id="334" w:name="Tc_vLYJ8pIT0k69dCDpuziCrw_5_4"/>
      <w:bookmarkStart w:id="335" w:name="Tc_0Omq3fz4_ESmiw56S56Iew_5_0"/>
      <w:bookmarkStart w:id="336" w:name="Tc_xw8XXFCHeEqw6BMmKGFcoQ_4_16"/>
      <w:bookmarkStart w:id="337" w:name="Tc_GCvKSTrcbUWGFKsJVg-wpA_4_13"/>
      <w:bookmarkStart w:id="338" w:name="Tc_MP64yCwE9kODKj_bGAbHQg_4_10"/>
      <w:bookmarkStart w:id="339" w:name="Tc_49g3WSOv_0O7f_z7bw-7ag_4_7"/>
      <w:bookmarkStart w:id="340" w:name="Tc_wEiFx7bNckq0BUO04agDwQ_4_4"/>
      <w:bookmarkStart w:id="341" w:name="Tc_xkS77plaNUe92ONEbshwBQ_4_2"/>
      <w:bookmarkStart w:id="342" w:name="Tc_m6j6ZaPaRUuFgVFZkGzu4A_3_16"/>
      <w:bookmarkStart w:id="343" w:name="Tc_kt6MQ5gxGUGqbMGHEvXYiw_3_13"/>
      <w:bookmarkStart w:id="344" w:name="Tc_nHhMPeU8g0S6Og6i1ImxPQ_3_10"/>
      <w:bookmarkStart w:id="345" w:name="Tc_2sMBWmpeg0-aCirlABPwcg_3_7"/>
      <w:bookmarkStart w:id="346" w:name="Tc_WCFzy6diPk6_aZOZNMQ_FQ_3_4"/>
      <w:bookmarkStart w:id="347" w:name="Tc_bhbw12lKAE6TlnLOhJXM_w_3_2"/>
      <w:bookmarkStart w:id="348" w:name="Tc_lUORGFyKt0-_NneQp00sQw_2_16"/>
      <w:bookmarkStart w:id="349" w:name="Tc_rzMWG1nn3063_VaDqIjVXQ_2_10"/>
      <w:bookmarkStart w:id="350" w:name="Tc___g9W06AfEeunZBzEg5XkQ_2_7"/>
      <w:bookmarkStart w:id="351" w:name="Tc_W5aPnJ8p6EKd6KCJ8F4kpQ_2_4"/>
      <w:bookmarkStart w:id="352" w:name="Tc_u3wdaVFy-UacWwGQeaCEqQ_2_2"/>
      <w:bookmarkStart w:id="353" w:name="Tc_NedzdiaYQk2wPyx88pZc5Q_1_10"/>
      <w:bookmarkStart w:id="354" w:name="_336b7bb1_04c1_4023_9364_0058d7310eeb"/>
      <w:bookmarkStart w:id="355" w:name="Tc_AxjE_EyrV0K-3pcd99rOaw_24_16"/>
      <w:bookmarkStart w:id="356" w:name="Tc_hFxY95rlU0CYOkNELhZ7Ug_24_13"/>
      <w:bookmarkStart w:id="357" w:name="Tc_FOyDOgUfCUyrUWcMYAyUHA_24_10"/>
      <w:bookmarkStart w:id="358" w:name="Tc_O-pViifS8UKUX4aPC87_xQ_24_7"/>
      <w:bookmarkStart w:id="359" w:name="Tc_MBfrCyc0xku2KJmL2JfDww_24_4"/>
      <w:bookmarkStart w:id="360" w:name="Tc_4z0vXLO-hU6Xnogb6u6Miw_24_0"/>
      <w:bookmarkStart w:id="361" w:name="Tc_n-3jhCtrRUa2mqa-e7CK8A_23_11"/>
      <w:bookmarkStart w:id="362" w:name="Tc_TOJBEgpzMUCeGtYTJSU9JA_23_8"/>
      <w:bookmarkStart w:id="363" w:name="Tc_8GW1gSiPdUGg5Ui6ozKv7Q_23_5"/>
      <w:bookmarkStart w:id="364" w:name="Tc_Y9Opx2HCikqSWbC276SCZg_23_2"/>
      <w:bookmarkStart w:id="365" w:name="Tc_1kD8sSL8s0GYPJBbixkIAw_23_0"/>
      <w:bookmarkStart w:id="366" w:name="Tc_gyxQ2uyx4keHiv4JmpeqQA_22_14"/>
      <w:bookmarkStart w:id="367" w:name="Tc_ZDuzo75bwkakyBpBDR7dfQ_22_8"/>
      <w:bookmarkStart w:id="368" w:name="Tc_4_BUDjDSTEihjadDrXrRAQ_22_5"/>
      <w:bookmarkStart w:id="369" w:name="Tc_GTs6mwrBlEWU__kFmxF1ig_22_2"/>
      <w:bookmarkStart w:id="370" w:name="Tc_34PuqqbtH0Ghh4ZauQL35Q_22_0"/>
      <w:bookmarkStart w:id="371" w:name="Tc_2_a-hgYFHU6NHJ6xWqxtaA_21_14"/>
      <w:bookmarkStart w:id="372" w:name="Tc_WpHUEtIwAEy_nxyWRoK-Sg_21_11"/>
      <w:bookmarkStart w:id="373" w:name="Tc_0PJSGbWmZkmycODN5yKNgg_21_5"/>
      <w:bookmarkStart w:id="374" w:name="Tc_OAeWvEe5O0CdeN4WiqApHQ_21_2"/>
      <w:bookmarkStart w:id="375" w:name="Tc_2n5qz4saNUSohnHHz7Yw2w_21_0"/>
      <w:bookmarkStart w:id="376" w:name="Tc_pkt0uxjaPkW__NyZCb8gjw_20_14"/>
      <w:bookmarkStart w:id="377" w:name="Tc_5i1lHhnzkk-_erVSMhg3Rg_20_11"/>
      <w:bookmarkStart w:id="378" w:name="Tc_RYWLKn31j0aE4cbSkhJ3Aw_20_0"/>
      <w:bookmarkStart w:id="379" w:name="Tc_XJrayypTm0Cu7NxdlOYW-Q_19_14"/>
      <w:bookmarkStart w:id="380" w:name="Tc_F0p1Np2n10CRhwvEWxS4QA_19_11"/>
      <w:bookmarkStart w:id="381" w:name="Tc_M8UMEdQvBUK_VZiEy_ivJA_19_5"/>
      <w:bookmarkStart w:id="382" w:name="Tc_vNjMyoLwHUeLTA7FndRvYw_19_0"/>
      <w:bookmarkStart w:id="383" w:name="Tc_BruUN-YZR0iL_ImqLbXMQg_18_16"/>
      <w:bookmarkStart w:id="384" w:name="Tc_lZ0gLBKXtESedgXfCmZ9eg_18_13"/>
      <w:bookmarkStart w:id="385" w:name="Tc_vReyVxHgMEKTxU1K4ghoLg_18_10"/>
      <w:bookmarkStart w:id="386" w:name="Tc_bxP_pDM8dk6x_UzqTVcN8w_18_7"/>
      <w:bookmarkStart w:id="387" w:name="Tc_cIBGYDMLj0SLTFbBZxoNyw_18_4"/>
      <w:bookmarkStart w:id="388" w:name="Tc_tU5-CMFIW0600nMYEeWERA_18_0"/>
      <w:bookmarkStart w:id="389" w:name="Tc_uuVPSHyPwUydhawgYz5aNw_17_11"/>
      <w:bookmarkStart w:id="390" w:name="Tc_1vH-ToxUJke480zLtw0UJw_17_8"/>
      <w:bookmarkStart w:id="391" w:name="Tc_xZgWLDt9R06JTPC1CNKskw_17_5"/>
      <w:bookmarkStart w:id="392" w:name="Tc_Nja_EMjqvkWm15H0HNRV8Q_17_2"/>
      <w:bookmarkStart w:id="393" w:name="Tc_UWaQw3YA3EefTbJVTJ0XMg_17_0"/>
      <w:bookmarkStart w:id="394" w:name="Tc_s8CuDCagM0WjvLzqbS_7dg_16_14"/>
      <w:bookmarkStart w:id="395" w:name="Tc_j9HC3yYO7ketzCzDyFWFiQ_16_8"/>
      <w:bookmarkStart w:id="396" w:name="Tc_A5IbXxb56UCqcYsD_gIrkw_16_5"/>
      <w:bookmarkStart w:id="397" w:name="Tc_kWmRO-9ve0Os6yWyu6GyLw_16_2"/>
      <w:bookmarkStart w:id="398" w:name="Tc_WqB3Yq_kd0qWS977QxAJCQ_16_0"/>
      <w:bookmarkStart w:id="399" w:name="Tc_bRkgS3N9Hk6dzWfwavcg5g_15_14"/>
      <w:bookmarkStart w:id="400" w:name="Tc_DsPMyeDSZEmkZazkV2wkPg_15_11"/>
      <w:bookmarkStart w:id="401" w:name="Tc_o3hzNkTjHUaJwxl7HKnnVw_15_5"/>
      <w:bookmarkStart w:id="402" w:name="Tc_JztLZXmiyU2K4LvtHpNboQ_15_2"/>
      <w:bookmarkStart w:id="403" w:name="Tc_aIy7D55AW0O-ls1BprHbIg_15_0"/>
      <w:bookmarkStart w:id="404" w:name="Tc_b5n6seIRq06v0GOk9T_OFA_14_14"/>
      <w:bookmarkStart w:id="405" w:name="Tc_SfMf2wWRG0yW_H4EdCg5dA_14_11"/>
      <w:bookmarkStart w:id="406" w:name="Tc_ci2GqC_i1ESiihb0FyIs_A_14_0"/>
      <w:bookmarkStart w:id="407" w:name="Tc_1QFyrjQOQEOy81ntyVXkiQ_13_14"/>
      <w:bookmarkStart w:id="408" w:name="Tc_LYHPrlXcLUOGY6Ekqo996w_13_11"/>
      <w:bookmarkStart w:id="409" w:name="Tc_-Ggv9xnas02xAB5mU4KiMA_13_0"/>
      <w:bookmarkStart w:id="410" w:name="Tc_e5aWWz3fU0iItLd_bu4iCg_12_14"/>
      <w:bookmarkStart w:id="411" w:name="Tc_YF5k3fYzb02-0-zxXpbKJQ_12_11"/>
      <w:bookmarkStart w:id="412" w:name="Tc_3vFDL55gxES6ZmEUoRKWyA_12_5"/>
      <w:bookmarkStart w:id="413" w:name="Tc_Sx9dtAGNdk-qmyTOsX-8sw_12_0"/>
      <w:bookmarkStart w:id="414" w:name="Tc_bJkbk9kOVEmH2r2t6QvbhA_11_16"/>
      <w:bookmarkStart w:id="415" w:name="Tc_g6JVy2tMD0u96KXnwW5PcQ_11_13"/>
      <w:bookmarkStart w:id="416" w:name="Tc_359X9W11WU6rbL3YuDIKrg_11_10"/>
      <w:bookmarkStart w:id="417" w:name="Tc_T36caawJ0Eq6QHIcQnOd9g_11_7"/>
      <w:bookmarkStart w:id="418" w:name="Tc_DvL9s4o2QUiZn9OueBBd3g_11_4"/>
      <w:bookmarkStart w:id="419" w:name="Tc_mqGlMP5vrEqjNTxjmwSKtw_11_0"/>
      <w:bookmarkStart w:id="420" w:name="Tc_Zy4Gun3F6EWuOSOt44H5yA_10_11"/>
      <w:bookmarkStart w:id="421" w:name="Tc_R7EbXuVOVkqPUOQ4pMC_Ig_10_8"/>
      <w:bookmarkStart w:id="422" w:name="Tc_PFDxws98Oku2nJ7EfcUWYw_10_5"/>
      <w:bookmarkStart w:id="423" w:name="Tc_8nQpW0hCOkmBNX7EHu81_w_10_2"/>
      <w:bookmarkStart w:id="424" w:name="Tc_WZu1rCt-U0Kvk_Kf9VvLcg_10_0"/>
      <w:bookmarkStart w:id="425" w:name="Tc_mkxCY6Pln0ykC00UXiLN4Q_9_14"/>
      <w:bookmarkStart w:id="426" w:name="Tc_fhC9MeNLT0GKFYb8UBvmWw_9_8"/>
      <w:bookmarkStart w:id="427" w:name="Tc_3ABX4O9oz0aZlHoBGp4kVA_9_5"/>
      <w:bookmarkStart w:id="428" w:name="Tc_YPhHQOOejkWgr53lxrBpXQ_9_2"/>
      <w:bookmarkStart w:id="429" w:name="Tc_nuVCadSRUEeTSgPugR8w8g_9_0"/>
      <w:bookmarkStart w:id="430" w:name="Tc_riaAvJzLiE-HTTTjJlyDKw_8_14"/>
      <w:bookmarkStart w:id="431" w:name="Tc_21D_aQblxkK4BiuWpBXP4g_8_11"/>
      <w:bookmarkStart w:id="432" w:name="Tc_dK2Mllj9wkmeQ2Rc8HXCOQ_8_5"/>
      <w:bookmarkStart w:id="433" w:name="Tc_gsX3hdjFAUy2j-uI0J_u_w_8_2"/>
      <w:bookmarkStart w:id="434" w:name="Tc_2bUnuhCYBkaHmFLHI9ZWxQ_8_0"/>
      <w:bookmarkStart w:id="435" w:name="Tc_FI7GWmBBxke_H1oAtyMXWg_7_14"/>
      <w:bookmarkStart w:id="436" w:name="Tc_1WmjT6SHEkW-eounT9q-3Q_7_11"/>
      <w:bookmarkStart w:id="437" w:name="Tc_RepV5WDEoEqoNQe0u5iYkA_7_0"/>
      <w:bookmarkStart w:id="438" w:name="Tc_gkm6ZvPEYEq2VQYYrl9_yQ_6_14"/>
      <w:bookmarkStart w:id="439" w:name="Tc_vcnQxTcKXE2Xp36GujAmCA_6_11"/>
      <w:bookmarkStart w:id="440" w:name="Tc_DUw7BpXp-UqkV_hLFnrZdQ_6_5"/>
      <w:bookmarkStart w:id="441" w:name="Tc_oQ4BTkt430iwwuc5GM--hA_6_0"/>
      <w:bookmarkStart w:id="442" w:name="Tc_sAoUg2eHrkSkdcHmECowbw_5_16"/>
      <w:bookmarkStart w:id="443" w:name="Tc_HL3nEQW_ckCF44YxAhnAlQ_5_13"/>
      <w:bookmarkStart w:id="444" w:name="Tc_FuX03nnDIk2une4iJPay3Q_5_10"/>
      <w:bookmarkStart w:id="445" w:name="Tc_E4h9aFXPPESw5w3CT-5OsA_5_7"/>
      <w:bookmarkStart w:id="446" w:name="Tc_vLYJ8pIT0k69dCDpuziCrw_5_4"/>
      <w:bookmarkStart w:id="447" w:name="Tc_0Omq3fz4_ESmiw56S56Iew_5_0"/>
      <w:bookmarkStart w:id="448" w:name="Tc_xw8XXFCHeEqw6BMmKGFcoQ_4_16"/>
      <w:bookmarkStart w:id="449" w:name="Tc_GCvKSTrcbUWGFKsJVg-wpA_4_13"/>
      <w:bookmarkStart w:id="450" w:name="Tc_MP64yCwE9kODKj_bGAbHQg_4_10"/>
      <w:bookmarkStart w:id="451" w:name="Tc_49g3WSOv_0O7f_z7bw-7ag_4_7"/>
      <w:bookmarkStart w:id="452" w:name="Tc_wEiFx7bNckq0BUO04agDwQ_4_4"/>
      <w:bookmarkStart w:id="453" w:name="Tc_xkS77plaNUe92ONEbshwBQ_4_2"/>
      <w:bookmarkStart w:id="454" w:name="Tc_m6j6ZaPaRUuFgVFZkGzu4A_3_16"/>
      <w:bookmarkStart w:id="455" w:name="Tc_kt6MQ5gxGUGqbMGHEvXYiw_3_13"/>
      <w:bookmarkStart w:id="456" w:name="Tc_nHhMPeU8g0S6Og6i1ImxPQ_3_10"/>
      <w:bookmarkStart w:id="457" w:name="Tc_2sMBWmpeg0-aCirlABPwcg_3_7"/>
      <w:bookmarkStart w:id="458" w:name="Tc_WCFzy6diPk6_aZOZNMQ_FQ_3_4"/>
      <w:bookmarkStart w:id="459" w:name="Tc_bhbw12lKAE6TlnLOhJXM_w_3_2"/>
      <w:bookmarkStart w:id="460" w:name="Tc_lUORGFyKt0-_NneQp00sQw_2_16"/>
      <w:bookmarkStart w:id="461" w:name="Tc_rzMWG1nn3063_VaDqIjVXQ_2_10"/>
      <w:bookmarkStart w:id="462" w:name="Tc___g9W06AfEeunZBzEg5XkQ_2_7"/>
      <w:bookmarkStart w:id="463" w:name="Tc_W5aPnJ8p6EKd6KCJ8F4kpQ_2_4"/>
      <w:bookmarkStart w:id="464" w:name="Tc_u3wdaVFy-UacWwGQeaCEqQ_2_2"/>
      <w:bookmarkStart w:id="465" w:name="Tc_NedzdiaYQk2wPyx88pZc5Q_1_10"/>
      <w:bookmarkStart w:id="466" w:name="_336b7bb1_04c1_4023_9364_0058d7310eeb"/>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tbl>
      <w:tblPr>
        <w:tblW w:w="10205" w:type="dxa"/>
        <w:jc w:val="left"/>
        <w:tblInd w:w="0" w:type="dxa"/>
        <w:tblCellMar>
          <w:top w:w="0" w:type="dxa"/>
          <w:left w:w="0" w:type="dxa"/>
          <w:bottom w:w="0" w:type="dxa"/>
          <w:right w:w="0" w:type="dxa"/>
        </w:tblCellMar>
      </w:tblPr>
      <w:tblGrid>
        <w:gridCol w:w="2074"/>
        <w:gridCol w:w="326"/>
        <w:gridCol w:w="916"/>
        <w:gridCol w:w="326"/>
        <w:gridCol w:w="298"/>
        <w:gridCol w:w="528"/>
        <w:gridCol w:w="326"/>
        <w:gridCol w:w="196"/>
        <w:gridCol w:w="826"/>
        <w:gridCol w:w="326"/>
        <w:gridCol w:w="336"/>
        <w:gridCol w:w="880"/>
        <w:gridCol w:w="326"/>
        <w:gridCol w:w="196"/>
        <w:gridCol w:w="901"/>
        <w:gridCol w:w="326"/>
        <w:gridCol w:w="215"/>
        <w:gridCol w:w="883"/>
      </w:tblGrid>
      <w:tr>
        <w:trPr/>
        <w:tc>
          <w:tcPr>
            <w:tcW w:w="2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81660" cy="175260"/>
                      <wp:effectExtent l="0" t="0" r="0" b="0"/>
                      <wp:wrapNone/>
                      <wp:docPr id="116" name="Frame115"/>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9230" cy="175260"/>
                      <wp:effectExtent l="0" t="0" r="0" b="0"/>
                      <wp:wrapNone/>
                      <wp:docPr id="118" name="Frame117"/>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35280" cy="175260"/>
                      <wp:effectExtent l="0" t="0" r="0" b="0"/>
                      <wp:wrapNone/>
                      <wp:docPr id="119" name="Frame118"/>
                      <a:graphic xmlns:a="http://schemas.openxmlformats.org/drawingml/2006/main">
                        <a:graphicData uri="http://schemas.microsoft.com/office/word/2010/wordprocessingShape">
                          <wps:wsp>
                            <wps:cNvSpPr txBox="1"/>
                            <wps:spPr>
                              <a:xfrm>
                                <a:off x="0" y="0"/>
                                <a:ext cx="335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21" name="Frame12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4510" cy="175260"/>
                      <wp:effectExtent l="0" t="0" r="0" b="0"/>
                      <wp:wrapNone/>
                      <wp:docPr id="122" name="Frame12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3360" cy="175260"/>
                      <wp:effectExtent l="0" t="0" r="0" b="0"/>
                      <wp:wrapNone/>
                      <wp:docPr id="124" name="Frame123"/>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58800" cy="175260"/>
                      <wp:effectExtent l="0" t="0" r="0" b="0"/>
                      <wp:wrapNone/>
                      <wp:docPr id="125" name="Frame124"/>
                      <a:graphic xmlns:a="http://schemas.openxmlformats.org/drawingml/2006/main">
                        <a:graphicData uri="http://schemas.microsoft.com/office/word/2010/wordprocessingShape">
                          <wps:wsp>
                            <wps:cNvSpPr txBox="1"/>
                            <wps:spPr>
                              <a:xfrm>
                                <a:off x="0" y="0"/>
                                <a:ext cx="558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7" name="Frame12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2135" cy="175260"/>
                      <wp:effectExtent l="0" t="0" r="0" b="0"/>
                      <wp:wrapNone/>
                      <wp:docPr id="128" name="Frame12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6525" cy="175260"/>
                      <wp:effectExtent l="0" t="0" r="0" b="0"/>
                      <wp:wrapNone/>
                      <wp:docPr id="130" name="Frame129"/>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0705" cy="175260"/>
                      <wp:effectExtent l="0" t="0" r="0" b="0"/>
                      <wp:wrapNone/>
                      <wp:docPr id="131" name="Frame130"/>
                      <a:graphic xmlns:a="http://schemas.openxmlformats.org/drawingml/2006/main">
                        <a:graphicData uri="http://schemas.microsoft.com/office/word/2010/wordprocessingShape">
                          <wps:wsp>
                            <wps:cNvSpPr txBox="1"/>
                            <wps:spPr>
                              <a:xfrm>
                                <a:off x="0" y="0"/>
                                <a:ext cx="560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5"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center"/>
              <w:rPr/>
            </w:pPr>
            <w:r>
              <w:rPr/>
              <w:t>​</w:t>
            </w:r>
          </w:p>
        </w:tc>
      </w:tr>
      <w:tr>
        <w:trPr/>
        <w:tc>
          <w:tcPr>
            <w:tcW w:w="2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jc w:val="center"/>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shd w:fill="auto" w:val="clear"/>
            <w:vAlign w:val="center"/>
          </w:tcPr>
          <w:p>
            <w:pPr>
              <w:pStyle w:val="TableContents"/>
              <w:spacing w:before="0" w:after="0"/>
              <w:ind w:left="0" w:right="0" w:hanging="0"/>
              <w:jc w:val="center"/>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109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jc w:val="center"/>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jc w:val="center"/>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at December 31, 2018</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11,957,635</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52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1,083,903</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2,583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(962,438)</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124,060</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3,285</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8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in connection with at the market agreement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5,011,157</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5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16,243</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88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16,248</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4,551</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8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4,551</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gain on marketable securities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5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(50,878)</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(50,878)</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at December 31, 2019</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16,972,077</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52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1,104,706</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2,619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(1,013,316)</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94,026</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122,076</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8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in connection with at the market agreement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7,125,004</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5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29,423</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88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29,431</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in underwritten offering, net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15,384,614</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141,346</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8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141,361</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5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3,915</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88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3,915</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loss on marketable securities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(59,780)</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(59,780)</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at December 31, 2020</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39,603,771</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52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1,279,824</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(1,073,096)</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209,357</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281,189</w:t>
            </w:r>
          </w:p>
        </w:tc>
        <w:tc>
          <w:tcPr>
            <w:tcW w:w="326" w:type="dxa"/>
            <w:tcBorders/>
            <w:shd w:fill="CCEEFF" w:val="clear"/>
            <w:vAlign w:val="center"/>
          </w:tcPr>
          <w:p>
            <w:pPr>
              <w:pStyle w:val="TableContents"/>
              <w:spacing w:before="0" w:after="0"/>
              <w:ind w:left="0" w:right="0" w:hanging="0"/>
              <w:jc w:val="right"/>
              <w:rPr/>
            </w:pPr>
            <w:r>
              <w:rPr/>
              <w:t>​</w:t>
            </w:r>
          </w:p>
        </w:tc>
        <w:tc>
          <w:tcPr>
            <w:tcW w:w="298" w:type="dxa"/>
            <w:tcBorders/>
            <w:shd w:fill="CCEEFF" w:val="clear"/>
            <w:vAlign w:val="center"/>
          </w:tcPr>
          <w:p>
            <w:pPr>
              <w:pStyle w:val="TableContents"/>
              <w:spacing w:before="0" w:after="0"/>
              <w:ind w:left="0" w:right="0" w:hanging="0"/>
              <w:jc w:val="right"/>
              <w:rPr/>
            </w:pPr>
            <w:r>
              <w:rPr/>
              <w:t>​</w:t>
            </w:r>
          </w:p>
        </w:tc>
        <w:tc>
          <w:tcPr>
            <w:tcW w:w="5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2,479</w:t>
            </w:r>
          </w:p>
        </w:tc>
        <w:tc>
          <w:tcPr>
            <w:tcW w:w="326" w:type="dxa"/>
            <w:tcBorders/>
            <w:shd w:fill="CCEEFF" w:val="cle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jc w:val="right"/>
              <w:rPr/>
            </w:pPr>
            <w:r>
              <w:rPr/>
              <w:t>​</w:t>
            </w:r>
          </w:p>
        </w:tc>
        <w:tc>
          <w:tcPr>
            <w:tcW w:w="88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jc w:val="right"/>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2,479</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in underwritten offering, net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6,845,238</w:t>
            </w:r>
          </w:p>
        </w:tc>
        <w:tc>
          <w:tcPr>
            <w:tcW w:w="326" w:type="dxa"/>
            <w:tcBorders/>
            <w:shd w:fill="auto" w:val="clear"/>
            <w:vAlign w:val="center"/>
          </w:tcPr>
          <w:p>
            <w:pPr>
              <w:pStyle w:val="TableContents"/>
              <w:spacing w:before="0" w:after="0"/>
              <w:ind w:left="0" w:right="0" w:hanging="0"/>
              <w:jc w:val="right"/>
              <w:rPr/>
            </w:pPr>
            <w:r>
              <w:rPr/>
              <w:t>​</w:t>
            </w:r>
          </w:p>
        </w:tc>
        <w:tc>
          <w:tcPr>
            <w:tcW w:w="298" w:type="dxa"/>
            <w:tcBorders/>
            <w:shd w:fill="auto" w:val="clear"/>
            <w:vAlign w:val="center"/>
          </w:tcPr>
          <w:p>
            <w:pPr>
              <w:pStyle w:val="TableContents"/>
              <w:spacing w:before="0" w:after="0"/>
              <w:ind w:left="0" w:right="0" w:hanging="0"/>
              <w:jc w:val="right"/>
              <w:rPr/>
            </w:pPr>
            <w:r>
              <w:rPr/>
              <w:t>​</w:t>
            </w:r>
          </w:p>
        </w:tc>
        <w:tc>
          <w:tcPr>
            <w:tcW w:w="5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269,886</w:t>
            </w:r>
          </w:p>
        </w:tc>
        <w:tc>
          <w:tcPr>
            <w:tcW w:w="326"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jc w:val="right"/>
              <w:rPr/>
            </w:pPr>
            <w:r>
              <w:rPr/>
              <w:t>​</w:t>
            </w:r>
          </w:p>
        </w:tc>
        <w:tc>
          <w:tcPr>
            <w:tcW w:w="8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right"/>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269,893</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98" w:type="dxa"/>
            <w:tcBorders/>
            <w:shd w:fill="CCEEFF" w:val="clear"/>
            <w:vAlign w:val="center"/>
          </w:tcPr>
          <w:p>
            <w:pPr>
              <w:pStyle w:val="TableContents"/>
              <w:spacing w:before="0" w:after="0"/>
              <w:ind w:left="0" w:right="0" w:hanging="0"/>
              <w:jc w:val="right"/>
              <w:rPr/>
            </w:pPr>
            <w:r>
              <w:rPr/>
              <w:t>​</w:t>
            </w:r>
          </w:p>
        </w:tc>
        <w:tc>
          <w:tcPr>
            <w:tcW w:w="5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8,953</w:t>
            </w:r>
          </w:p>
        </w:tc>
        <w:tc>
          <w:tcPr>
            <w:tcW w:w="326" w:type="dxa"/>
            <w:tcBorders/>
            <w:shd w:fill="CCEEFF" w:val="cle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jc w:val="right"/>
              <w:rPr/>
            </w:pPr>
            <w:r>
              <w:rPr/>
              <w:t>​</w:t>
            </w:r>
          </w:p>
        </w:tc>
        <w:tc>
          <w:tcPr>
            <w:tcW w:w="88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5" w:type="dxa"/>
            <w:tcBorders/>
            <w:shd w:fill="CCEEFF" w:val="clear"/>
            <w:vAlign w:val="center"/>
          </w:tcPr>
          <w:p>
            <w:pPr>
              <w:pStyle w:val="TableContents"/>
              <w:spacing w:before="0" w:after="0"/>
              <w:ind w:left="0" w:right="0" w:hanging="0"/>
              <w:jc w:val="right"/>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8,953</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loss on marketable securities</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98" w:type="dxa"/>
            <w:tcBorders/>
            <w:shd w:fill="auto" w:val="clear"/>
            <w:vAlign w:val="center"/>
          </w:tcPr>
          <w:p>
            <w:pPr>
              <w:pStyle w:val="TableContents"/>
              <w:spacing w:before="0" w:after="0"/>
              <w:ind w:left="0" w:right="0" w:hanging="0"/>
              <w:jc w:val="right"/>
              <w:rPr/>
            </w:pPr>
            <w:r>
              <w:rPr/>
              <w:t>​</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jc w:val="right"/>
              <w:rPr/>
            </w:pPr>
            <w:r>
              <w:rPr/>
              <w:t>​</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right"/>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r>
      <w:tr>
        <w:trPr/>
        <w:tc>
          <w:tcPr>
            <w:tcW w:w="207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3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(70,511)</w:t>
            </w:r>
          </w:p>
        </w:tc>
        <w:tc>
          <w:tcPr>
            <w:tcW w:w="326" w:type="dxa"/>
            <w:tcBorders/>
            <w:shd w:fill="CCEEFF" w:val="clear"/>
            <w:vAlign w:val="center"/>
          </w:tcPr>
          <w:p>
            <w:pPr>
              <w:pStyle w:val="TableContents"/>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(70,511)</w:t>
            </w:r>
          </w:p>
        </w:tc>
      </w:tr>
      <w:tr>
        <w:trPr/>
        <w:tc>
          <w:tcPr>
            <w:tcW w:w="2074"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at December 31, 2021</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46,730,198</w:t>
            </w:r>
          </w:p>
        </w:tc>
        <w:tc>
          <w:tcPr>
            <w:tcW w:w="326" w:type="dxa"/>
            <w:tcBorders/>
            <w:shd w:fill="auto" w:val="clear"/>
            <w:vAlign w:val="center"/>
          </w:tcPr>
          <w:p>
            <w:pPr>
              <w:pStyle w:val="TableContents"/>
              <w:spacing w:before="0" w:after="0"/>
              <w:ind w:left="0" w:right="0" w:hanging="0"/>
              <w:rPr/>
            </w:pPr>
            <w:r>
              <w:rPr/>
              <w:t>​</w:t>
            </w:r>
          </w:p>
        </w:tc>
        <w:tc>
          <w:tcPr>
            <w:tcW w:w="29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52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1,561,142</w:t>
            </w:r>
          </w:p>
        </w:tc>
        <w:tc>
          <w:tcPr>
            <w:tcW w:w="326" w:type="dxa"/>
            <w:tcBorders/>
            <w:shd w:fill="auto" w:val="clear"/>
            <w:vAlign w:val="center"/>
          </w:tcPr>
          <w:p>
            <w:pPr>
              <w:pStyle w:val="TableContents"/>
              <w:spacing w:before="0" w:after="0"/>
              <w:ind w:left="0" w:right="0" w:hanging="0"/>
              <w:rPr/>
            </w:pPr>
            <w:r>
              <w:rPr/>
              <w:t>​</w:t>
            </w:r>
          </w:p>
        </w:tc>
        <w:tc>
          <w:tcPr>
            <w:tcW w:w="33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1,894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(1,143,607)</w:t>
            </w:r>
          </w:p>
        </w:tc>
        <w:tc>
          <w:tcPr>
            <w:tcW w:w="326" w:type="dxa"/>
            <w:tcBorders/>
            <w:shd w:fill="auto" w:val="clear"/>
            <w:vAlign w:val="center"/>
          </w:tcPr>
          <w:p>
            <w:pPr>
              <w:pStyle w:val="TableContents"/>
              <w:spacing w:before="0" w:after="0"/>
              <w:ind w:left="0" w:right="0" w:hanging="0"/>
              <w:rPr/>
            </w:pPr>
            <w:r>
              <w:rPr/>
              <w:t>​</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88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419,476</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467" w:name="_acf08e3a_6e2d_481d_add5_a603f86b687a"/>
      <w:bookmarkEnd w:id="467"/>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rPr/>
      </w:pPr>
      <w:r>
        <w:rPr/>
        <w:t>​</w:t>
      </w:r>
    </w:p>
    <w:p>
      <w:pPr>
        <w:pStyle w:val="Normal"/>
        <w:spacing w:before="0" w:after="0"/>
        <w:rPr>
          <w:sz w:val="4"/>
          <w:szCs w:val="4"/>
        </w:rPr>
      </w:pPr>
      <w:r>
        <w:rPr>
          <w:sz w:val="4"/>
          <w:szCs w:val="4"/>
        </w:rPr>
      </w:r>
      <w:bookmarkStart w:id="468" w:name="Tc_z8xjlH0p-06-ENazN5d9CQ_37_8"/>
      <w:bookmarkStart w:id="469" w:name="Tc_mPL6hqHezkeazuI7VmrGeQ_37_5"/>
      <w:bookmarkStart w:id="470" w:name="Tc_jGb68Qw17EKkByANWq_nDA_37_2"/>
      <w:bookmarkStart w:id="471" w:name="Tc_o-nu2mSCrEWFCTSgIvE8Pw_37_0"/>
      <w:bookmarkStart w:id="472" w:name="Tc_6Le3RkpEvk6G1e7fJ_VaaA_36_0"/>
      <w:bookmarkStart w:id="473" w:name="Tc_2j2bDTS0uEmYVufsdRRRUQ_35_8"/>
      <w:bookmarkStart w:id="474" w:name="Tc_8DBPzYZKLEOaGvS89KxFlA_35_5"/>
      <w:bookmarkStart w:id="475" w:name="Tc_OpewWjuAu0ufnLscljfImA_35_2"/>
      <w:bookmarkStart w:id="476" w:name="Tc_ebZi_DUB60GLZjcpZwHsNw_35_0"/>
      <w:bookmarkStart w:id="477" w:name="Tc_IxzGa5O8x06P0x6oWkkMIQ_34_0"/>
      <w:bookmarkStart w:id="478" w:name="Tc_S97pTmSvzUCjW-5y9yermQ_33_0"/>
      <w:bookmarkStart w:id="479" w:name="Tc_iHddpyVaUU2QgaetmhzUpg_32_0"/>
      <w:bookmarkStart w:id="480" w:name="Tc_lEQZupxNd0KllRdXxNbsFg_31_9"/>
      <w:bookmarkStart w:id="481" w:name="Tc_CDpiO_fHfUS7L5BHclhhng_31_3"/>
      <w:bookmarkStart w:id="482" w:name="Tc_bwuVHkqTCEW6PuOqFrKCkQ_31_0"/>
      <w:bookmarkStart w:id="483" w:name="Tc_HX3lg7cQvU-K7OEIwQH_6g_30_9"/>
      <w:bookmarkStart w:id="484" w:name="Tc_i2fTYH8qJ0SxxEaKC27SuQ_30_3"/>
      <w:bookmarkStart w:id="485" w:name="Tc_Uf6Jx4CfkkOnyntz1cjy7g_30_0"/>
      <w:bookmarkStart w:id="486" w:name="Tc_e-a0uVQ-GkGMADgKO4wjlA_29_0"/>
      <w:bookmarkStart w:id="487" w:name="Tc_H_VlBmuDCEezJjRH8aZqCg_28_0"/>
      <w:bookmarkStart w:id="488" w:name="Tc_kMTa_0qA6kygb93twjRBSw_27_0"/>
      <w:bookmarkStart w:id="489" w:name="Tc_B-sK3U94s0aUuNtGlb-ihA_26_0"/>
      <w:bookmarkStart w:id="490" w:name="Tc_kGWOfHR-WEyKWvzcQDH8Nw_25_0"/>
      <w:bookmarkStart w:id="491" w:name="Tc_z8A4B2os5E2rx0qsiAxttA_24_0"/>
      <w:bookmarkStart w:id="492" w:name="Tc_OJaJtX0uHk62yIr0Eje94w_23_0"/>
      <w:bookmarkStart w:id="493" w:name="Tc_PmDnolGh8UChJ9ZsRBTEKA_22_0"/>
      <w:bookmarkStart w:id="494" w:name="Tc_GbV24hV2Yk-lIBT_R_5oTA_21_0"/>
      <w:bookmarkStart w:id="495" w:name="Tc_YVa17OsE6kSlOGigdL4M5A_20_0"/>
      <w:bookmarkStart w:id="496" w:name="Tc_u7Hpc4VLjki64rqiMaBSHg_19_0"/>
      <w:bookmarkStart w:id="497" w:name="Tc_SITDf0vfaUCZb2B_442p4Q_18_0"/>
      <w:bookmarkStart w:id="498" w:name="Tc_jL8bM5pSTUWk-C5NIHxJ5g_17_6"/>
      <w:bookmarkStart w:id="499" w:name="Tc_ojJQqGxUtEiB37MKXy2JJw_17_0"/>
      <w:bookmarkStart w:id="500" w:name="Tc_yJHA5bnXqkGk7WL1PbQMIw_16_0"/>
      <w:bookmarkStart w:id="501" w:name="Tc_VXpZIPptPUql5sY-tOnhjQ_15_0"/>
      <w:bookmarkStart w:id="502" w:name="Tc_DE7v-pbqeUmjG5-rUMx0kA_14_0"/>
      <w:bookmarkStart w:id="503" w:name="Tc_saA8o5w31UuIHA7v-GFGmg_13_0"/>
      <w:bookmarkStart w:id="504" w:name="Tc_EzBSAFePsEi8wDTSCx8o5g_12_9"/>
      <w:bookmarkStart w:id="505" w:name="Tc_IgKnK1hljEqYzTBvMShFLg_12_0"/>
      <w:bookmarkStart w:id="506" w:name="Tc_v_f6qD6ELUO7X6Szgx7Dng_11_0"/>
      <w:bookmarkStart w:id="507" w:name="Tc_Rtm186xUT0-qlBlLtXCtlg_10_6"/>
      <w:bookmarkStart w:id="508" w:name="Tc_hDHQ96sfxUe0088uXYS29g_10_3"/>
      <w:bookmarkStart w:id="509" w:name="Tc_vqATqmtTV0-QXE-snXt0kA_10_0"/>
      <w:bookmarkStart w:id="510" w:name="Tc_jBJqe3yaCUKEC3cL_A2GNQ_9_9"/>
      <w:bookmarkStart w:id="511" w:name="Tc_SRrP0_HfHUaGFEwv9uPpJQ_9_0"/>
      <w:bookmarkStart w:id="512" w:name="Tc_p1bFEl6ayEuzpX2znW7dbQ_8_0"/>
      <w:bookmarkStart w:id="513" w:name="Tc_gtulJLLSIEqk4dNJUk36mg_7_0"/>
      <w:bookmarkStart w:id="514" w:name="Tc_5xyvxW9OYUCFc2SPZnihAA_6_0"/>
      <w:bookmarkStart w:id="515" w:name="Tc_xQIryEWwbE-RdjW2vSqCCQ_5_0"/>
      <w:bookmarkStart w:id="516" w:name="Tc_lLdjXy8T-kyd3WLO6fRmhg_4_8"/>
      <w:bookmarkStart w:id="517" w:name="Tc_KrAjd0FXkEmY0QUvapvA7w_4_5"/>
      <w:bookmarkStart w:id="518" w:name="Tc_Hn9wOBlEmESemQG_BFWbCw_4_2"/>
      <w:bookmarkStart w:id="519" w:name="Tc_iXeUoJHDMUCcMzkU0OB3Eg_4_0"/>
      <w:bookmarkStart w:id="520" w:name="Tc_5T3UgnlZH0-Bg018iQ6p6w_3_0"/>
      <w:bookmarkStart w:id="521" w:name="Tc_oi5WVOOHmkSsBatPpn2d9g_2_8"/>
      <w:bookmarkStart w:id="522" w:name="Tc_s5ZTSiijJUiWxtPyI86QQw_2_5"/>
      <w:bookmarkStart w:id="523" w:name="Tc_USA9MWcoekSv73i8fvo28A_2_2"/>
      <w:bookmarkStart w:id="524" w:name="Tc_gPm0TFYmOkeejXyL6hJAow_1_8"/>
      <w:bookmarkStart w:id="525" w:name="Tc_RruFhynAgk6s3nUCRPMzug_1_5"/>
      <w:bookmarkStart w:id="526" w:name="Tc_FPSGbKm-HU65uSAnVT01Hg_1_2"/>
      <w:bookmarkStart w:id="527" w:name="_1cbb41a9_642f_4e0c_b7dc_ee478901e7a2"/>
      <w:bookmarkStart w:id="528" w:name="Tc_z8xjlH0p-06-ENazN5d9CQ_37_8"/>
      <w:bookmarkStart w:id="529" w:name="Tc_mPL6hqHezkeazuI7VmrGeQ_37_5"/>
      <w:bookmarkStart w:id="530" w:name="Tc_jGb68Qw17EKkByANWq_nDA_37_2"/>
      <w:bookmarkStart w:id="531" w:name="Tc_o-nu2mSCrEWFCTSgIvE8Pw_37_0"/>
      <w:bookmarkStart w:id="532" w:name="Tc_6Le3RkpEvk6G1e7fJ_VaaA_36_0"/>
      <w:bookmarkStart w:id="533" w:name="Tc_2j2bDTS0uEmYVufsdRRRUQ_35_8"/>
      <w:bookmarkStart w:id="534" w:name="Tc_8DBPzYZKLEOaGvS89KxFlA_35_5"/>
      <w:bookmarkStart w:id="535" w:name="Tc_OpewWjuAu0ufnLscljfImA_35_2"/>
      <w:bookmarkStart w:id="536" w:name="Tc_ebZi_DUB60GLZjcpZwHsNw_35_0"/>
      <w:bookmarkStart w:id="537" w:name="Tc_IxzGa5O8x06P0x6oWkkMIQ_34_0"/>
      <w:bookmarkStart w:id="538" w:name="Tc_S97pTmSvzUCjW-5y9yermQ_33_0"/>
      <w:bookmarkStart w:id="539" w:name="Tc_iHddpyVaUU2QgaetmhzUpg_32_0"/>
      <w:bookmarkStart w:id="540" w:name="Tc_lEQZupxNd0KllRdXxNbsFg_31_9"/>
      <w:bookmarkStart w:id="541" w:name="Tc_CDpiO_fHfUS7L5BHclhhng_31_3"/>
      <w:bookmarkStart w:id="542" w:name="Tc_bwuVHkqTCEW6PuOqFrKCkQ_31_0"/>
      <w:bookmarkStart w:id="543" w:name="Tc_HX3lg7cQvU-K7OEIwQH_6g_30_9"/>
      <w:bookmarkStart w:id="544" w:name="Tc_i2fTYH8qJ0SxxEaKC27SuQ_30_3"/>
      <w:bookmarkStart w:id="545" w:name="Tc_Uf6Jx4CfkkOnyntz1cjy7g_30_0"/>
      <w:bookmarkStart w:id="546" w:name="Tc_e-a0uVQ-GkGMADgKO4wjlA_29_0"/>
      <w:bookmarkStart w:id="547" w:name="Tc_H_VlBmuDCEezJjRH8aZqCg_28_0"/>
      <w:bookmarkStart w:id="548" w:name="Tc_kMTa_0qA6kygb93twjRBSw_27_0"/>
      <w:bookmarkStart w:id="549" w:name="Tc_B-sK3U94s0aUuNtGlb-ihA_26_0"/>
      <w:bookmarkStart w:id="550" w:name="Tc_kGWOfHR-WEyKWvzcQDH8Nw_25_0"/>
      <w:bookmarkStart w:id="551" w:name="Tc_z8A4B2os5E2rx0qsiAxttA_24_0"/>
      <w:bookmarkStart w:id="552" w:name="Tc_OJaJtX0uHk62yIr0Eje94w_23_0"/>
      <w:bookmarkStart w:id="553" w:name="Tc_PmDnolGh8UChJ9ZsRBTEKA_22_0"/>
      <w:bookmarkStart w:id="554" w:name="Tc_GbV24hV2Yk-lIBT_R_5oTA_21_0"/>
      <w:bookmarkStart w:id="555" w:name="Tc_YVa17OsE6kSlOGigdL4M5A_20_0"/>
      <w:bookmarkStart w:id="556" w:name="Tc_u7Hpc4VLjki64rqiMaBSHg_19_0"/>
      <w:bookmarkStart w:id="557" w:name="Tc_SITDf0vfaUCZb2B_442p4Q_18_0"/>
      <w:bookmarkStart w:id="558" w:name="Tc_jL8bM5pSTUWk-C5NIHxJ5g_17_6"/>
      <w:bookmarkStart w:id="559" w:name="Tc_ojJQqGxUtEiB37MKXy2JJw_17_0"/>
      <w:bookmarkStart w:id="560" w:name="Tc_yJHA5bnXqkGk7WL1PbQMIw_16_0"/>
      <w:bookmarkStart w:id="561" w:name="Tc_VXpZIPptPUql5sY-tOnhjQ_15_0"/>
      <w:bookmarkStart w:id="562" w:name="Tc_DE7v-pbqeUmjG5-rUMx0kA_14_0"/>
      <w:bookmarkStart w:id="563" w:name="Tc_saA8o5w31UuIHA7v-GFGmg_13_0"/>
      <w:bookmarkStart w:id="564" w:name="Tc_EzBSAFePsEi8wDTSCx8o5g_12_9"/>
      <w:bookmarkStart w:id="565" w:name="Tc_IgKnK1hljEqYzTBvMShFLg_12_0"/>
      <w:bookmarkStart w:id="566" w:name="Tc_v_f6qD6ELUO7X6Szgx7Dng_11_0"/>
      <w:bookmarkStart w:id="567" w:name="Tc_Rtm186xUT0-qlBlLtXCtlg_10_6"/>
      <w:bookmarkStart w:id="568" w:name="Tc_hDHQ96sfxUe0088uXYS29g_10_3"/>
      <w:bookmarkStart w:id="569" w:name="Tc_vqATqmtTV0-QXE-snXt0kA_10_0"/>
      <w:bookmarkStart w:id="570" w:name="Tc_jBJqe3yaCUKEC3cL_A2GNQ_9_9"/>
      <w:bookmarkStart w:id="571" w:name="Tc_SRrP0_HfHUaGFEwv9uPpJQ_9_0"/>
      <w:bookmarkStart w:id="572" w:name="Tc_p1bFEl6ayEuzpX2znW7dbQ_8_0"/>
      <w:bookmarkStart w:id="573" w:name="Tc_gtulJLLSIEqk4dNJUk36mg_7_0"/>
      <w:bookmarkStart w:id="574" w:name="Tc_5xyvxW9OYUCFc2SPZnihAA_6_0"/>
      <w:bookmarkStart w:id="575" w:name="Tc_xQIryEWwbE-RdjW2vSqCCQ_5_0"/>
      <w:bookmarkStart w:id="576" w:name="Tc_lLdjXy8T-kyd3WLO6fRmhg_4_8"/>
      <w:bookmarkStart w:id="577" w:name="Tc_KrAjd0FXkEmY0QUvapvA7w_4_5"/>
      <w:bookmarkStart w:id="578" w:name="Tc_Hn9wOBlEmESemQG_BFWbCw_4_2"/>
      <w:bookmarkStart w:id="579" w:name="Tc_iXeUoJHDMUCcMzkU0OB3Eg_4_0"/>
      <w:bookmarkStart w:id="580" w:name="Tc_5T3UgnlZH0-Bg018iQ6p6w_3_0"/>
      <w:bookmarkStart w:id="581" w:name="Tc_oi5WVOOHmkSsBatPpn2d9g_2_8"/>
      <w:bookmarkStart w:id="582" w:name="Tc_s5ZTSiijJUiWxtPyI86QQw_2_5"/>
      <w:bookmarkStart w:id="583" w:name="Tc_USA9MWcoekSv73i8fvo28A_2_2"/>
      <w:bookmarkStart w:id="584" w:name="Tc_gPm0TFYmOkeejXyL6hJAow_1_8"/>
      <w:bookmarkStart w:id="585" w:name="Tc_RruFhynAgk6s3nUCRPMzug_1_5"/>
      <w:bookmarkStart w:id="586" w:name="Tc_FPSGbKm-HU65uSAnVT01Hg_1_2"/>
      <w:bookmarkStart w:id="587" w:name="_1cbb41a9_642f_4e0c_b7dc_ee478901e7a2"/>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tbl>
      <w:tblPr>
        <w:tblW w:w="10205" w:type="dxa"/>
        <w:jc w:val="left"/>
        <w:tblInd w:w="0" w:type="dxa"/>
        <w:tblCellMar>
          <w:top w:w="0" w:type="dxa"/>
          <w:left w:w="0" w:type="dxa"/>
          <w:bottom w:w="0" w:type="dxa"/>
          <w:right w:w="0" w:type="dxa"/>
        </w:tblCellMar>
      </w:tblPr>
      <w:tblGrid>
        <w:gridCol w:w="4859"/>
        <w:gridCol w:w="266"/>
        <w:gridCol w:w="301"/>
        <w:gridCol w:w="1200"/>
        <w:gridCol w:w="266"/>
        <w:gridCol w:w="301"/>
        <w:gridCol w:w="1200"/>
        <w:gridCol w:w="266"/>
        <w:gridCol w:w="314"/>
        <w:gridCol w:w="1232"/>
      </w:tblGrid>
      <w:tr>
        <w:trPr/>
        <w:tc>
          <w:tcPr>
            <w:tcW w:w="485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8910" cy="175260"/>
                      <wp:effectExtent l="0" t="0" r="0" b="0"/>
                      <wp:wrapNone/>
                      <wp:docPr id="132" name="Frame131"/>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1135" cy="175260"/>
                      <wp:effectExtent l="0" t="0" r="0" b="0"/>
                      <wp:wrapNone/>
                      <wp:docPr id="133" name="Frame132"/>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62000" cy="175260"/>
                      <wp:effectExtent l="0" t="0" r="0" b="0"/>
                      <wp:wrapNone/>
                      <wp:docPr id="134" name="Frame133"/>
                      <a:graphic xmlns:a="http://schemas.openxmlformats.org/drawingml/2006/main">
                        <a:graphicData uri="http://schemas.microsoft.com/office/word/2010/wordprocessingShape">
                          <wps:wsp>
                            <wps:cNvSpPr txBox="1"/>
                            <wps:spPr>
                              <a:xfrm>
                                <a:off x="0" y="0"/>
                                <a:ext cx="762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8910" cy="175260"/>
                      <wp:effectExtent l="0" t="0" r="0" b="0"/>
                      <wp:wrapNone/>
                      <wp:docPr id="135" name="Frame13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1135" cy="175260"/>
                      <wp:effectExtent l="0" t="0" r="0" b="0"/>
                      <wp:wrapNone/>
                      <wp:docPr id="136" name="Frame135"/>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62000" cy="175260"/>
                      <wp:effectExtent l="0" t="0" r="0" b="0"/>
                      <wp:wrapNone/>
                      <wp:docPr id="137" name="Frame136"/>
                      <a:graphic xmlns:a="http://schemas.openxmlformats.org/drawingml/2006/main">
                        <a:graphicData uri="http://schemas.microsoft.com/office/word/2010/wordprocessingShape">
                          <wps:wsp>
                            <wps:cNvSpPr txBox="1"/>
                            <wps:spPr>
                              <a:xfrm>
                                <a:off x="0" y="0"/>
                                <a:ext cx="762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8910" cy="175260"/>
                      <wp:effectExtent l="0" t="0" r="0" b="0"/>
                      <wp:wrapNone/>
                      <wp:docPr id="138" name="Frame13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99390" cy="175260"/>
                      <wp:effectExtent l="0" t="0" r="0" b="0"/>
                      <wp:wrapNone/>
                      <wp:docPr id="139" name="Frame138"/>
                      <a:graphic xmlns:a="http://schemas.openxmlformats.org/drawingml/2006/main">
                        <a:graphicData uri="http://schemas.microsoft.com/office/word/2010/wordprocessingShape">
                          <wps:wsp>
                            <wps:cNvSpPr txBox="1"/>
                            <wps:spPr>
                              <a:xfrm>
                                <a:off x="0" y="0"/>
                                <a:ext cx="199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82320" cy="175260"/>
                      <wp:effectExtent l="0" t="0" r="0" b="0"/>
                      <wp:wrapNone/>
                      <wp:docPr id="140" name="Frame139"/>
                      <a:graphic xmlns:a="http://schemas.openxmlformats.org/drawingml/2006/main">
                        <a:graphicData uri="http://schemas.microsoft.com/office/word/2010/wordprocessingShape">
                          <wps:wsp>
                            <wps:cNvSpPr txBox="1"/>
                            <wps:spPr>
                              <a:xfrm>
                                <a:off x="0" y="0"/>
                                <a:ext cx="782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5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266" w:type="dxa"/>
            <w:tcBorders/>
            <w:shd w:fill="auto" w:val="clear"/>
            <w:vAlign w:val="center"/>
          </w:tcPr>
          <w:p>
            <w:pPr>
              <w:pStyle w:val="TableContents"/>
              <w:spacing w:before="0" w:after="0"/>
              <w:ind w:left="0" w:right="0" w:hanging="0"/>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266" w:type="dxa"/>
            <w:tcBorders/>
            <w:shd w:fill="auto" w:val="clear"/>
            <w:vAlign w:val="center"/>
          </w:tcPr>
          <w:p>
            <w:pPr>
              <w:pStyle w:val="TableContents"/>
              <w:spacing w:before="0" w:after="0"/>
              <w:ind w:left="0" w:right="0" w:hanging="0"/>
              <w:rPr/>
            </w:pPr>
            <w:r>
              <w:rPr/>
              <w:t>   </w:t>
            </w:r>
          </w:p>
        </w:tc>
        <w:tc>
          <w:tcPr>
            <w:tcW w:w="15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485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266" w:type="dxa"/>
            <w:tcBorders/>
            <w:shd w:fill="auto" w:val="clear"/>
            <w:vAlign w:val="center"/>
          </w:tcPr>
          <w:p>
            <w:pPr>
              <w:pStyle w:val="TableContents"/>
              <w:spacing w:before="0" w:after="0"/>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266" w:type="dxa"/>
            <w:tcBorders/>
            <w:shd w:fill="auto" w:val="clear"/>
            <w:vAlign w:val="center"/>
          </w:tcPr>
          <w:p>
            <w:pPr>
              <w:pStyle w:val="TableContents"/>
              <w:spacing w:before="0" w:after="0"/>
              <w:ind w:left="0" w:right="0" w:hanging="0"/>
              <w:rPr/>
            </w:pPr>
            <w:r>
              <w:rPr/>
              <w:t>​</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2019</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rPr/>
            </w:pPr>
            <w:r>
              <w:rPr/>
              <w:t>​</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(70,511)</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(59,780)</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rPr/>
            </w:pPr>
            <w:r>
              <w:rPr/>
              <w:t>​</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3,068</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4,858</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loss on sale or disposal of assets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 impairment</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pPr>
            <w:r>
              <w:rPr/>
              <w:t>—</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 impairment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income tax benefit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pPr>
            <w:r>
              <w:rPr/>
              <w:t>—</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8,953</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3,915</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4,551</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rPr/>
            </w:pPr>
            <w:r>
              <w:rPr/>
              <w:t>​</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and other receivables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and other current assets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 and accrued expenses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3,653</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1,638</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(4,405)</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266" w:type="dxa"/>
            <w:tcBorders/>
            <w:shd w:fill="CCEEFF" w:val="clear"/>
            <w:vAlign w:val="center"/>
          </w:tcPr>
          <w:p>
            <w:pPr>
              <w:pStyle w:val="TableContents"/>
              <w:spacing w:before="0" w:after="0"/>
              <w:ind w:left="0" w:right="0" w:hanging="0"/>
              <w:rPr/>
            </w:pPr>
            <w:r>
              <w:rPr/>
              <w:t>​</w:t>
            </w:r>
          </w:p>
        </w:tc>
        <w:tc>
          <w:tcPr>
            <w:tcW w:w="3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(6,599)</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(60,909)</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(40,404)</w:t>
            </w:r>
          </w:p>
        </w:tc>
        <w:tc>
          <w:tcPr>
            <w:tcW w:w="26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(46,415)</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rPr/>
            </w:pPr>
            <w:r>
              <w:rPr/>
              <w:t>​</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maturities of marketable securities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174,947</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123,600</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113,173</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marketable securities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(389,881)</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(220,321)</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(95,382)</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of property and equipment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sale or disposal of assets</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66" w:type="dxa"/>
            <w:tcBorders/>
            <w:shd w:fill="CCEEFF" w:val="clear"/>
            <w:vAlign w:val="center"/>
          </w:tcPr>
          <w:p>
            <w:pPr>
              <w:pStyle w:val="TableContents"/>
              <w:spacing w:before="0" w:after="0"/>
              <w:ind w:left="0" w:right="0" w:hanging="0"/>
              <w:rPr/>
            </w:pPr>
            <w:r>
              <w:rPr/>
              <w:t>​</w:t>
            </w:r>
          </w:p>
        </w:tc>
        <w:tc>
          <w:tcPr>
            <w:tcW w:w="3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 investing activities</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(216,156)</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(98,218)</w:t>
            </w:r>
          </w:p>
        </w:tc>
        <w:tc>
          <w:tcPr>
            <w:tcW w:w="26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17,080</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rPr/>
            </w:pPr>
            <w:r>
              <w:rPr/>
              <w:t>​</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proceeds from stock issuances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269,893</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170,792</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16,248</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term loan</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pPr>
            <w:r>
              <w:rPr/>
              <w:t>—</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Payment of term loan</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266" w:type="dxa"/>
            <w:tcBorders/>
            <w:shd w:fill="CCEEFF" w:val="clear"/>
            <w:vAlign w:val="center"/>
          </w:tcPr>
          <w:p>
            <w:pPr>
              <w:pStyle w:val="TableContents"/>
              <w:spacing w:before="0" w:after="0"/>
              <w:ind w:left="0" w:right="0" w:hanging="0"/>
              <w:rPr/>
            </w:pPr>
            <w:r>
              <w:rPr/>
              <w:t>​</w:t>
            </w:r>
          </w:p>
        </w:tc>
        <w:tc>
          <w:tcPr>
            <w:tcW w:w="3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272,372</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171,226</w:t>
            </w:r>
          </w:p>
        </w:tc>
        <w:tc>
          <w:tcPr>
            <w:tcW w:w="26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16,257</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increase in cash and cash equivalents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32,604</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(13,078)</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beginning of period</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43,836</w:t>
            </w:r>
          </w:p>
        </w:tc>
        <w:tc>
          <w:tcPr>
            <w:tcW w:w="26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11,232</w:t>
            </w:r>
          </w:p>
        </w:tc>
        <w:tc>
          <w:tcPr>
            <w:tcW w:w="26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24,310</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end of period</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39,143</w:t>
            </w:r>
          </w:p>
        </w:tc>
        <w:tc>
          <w:tcPr>
            <w:tcW w:w="266"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43,836</w:t>
            </w:r>
          </w:p>
        </w:tc>
        <w:tc>
          <w:tcPr>
            <w:tcW w:w="266" w:type="dxa"/>
            <w:tcBorders/>
            <w:shd w:fill="CCEEFF" w:val="clear"/>
            <w:vAlign w:val="center"/>
          </w:tcPr>
          <w:p>
            <w:pPr>
              <w:pStyle w:val="TableContents"/>
              <w:spacing w:before="0" w:after="0"/>
              <w:ind w:left="0" w:right="0" w:hanging="0"/>
              <w:rPr/>
            </w:pPr>
            <w:r>
              <w:rPr/>
              <w:t>​</w:t>
            </w:r>
          </w:p>
        </w:tc>
        <w:tc>
          <w:tcPr>
            <w:tcW w:w="3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11,232</w:t>
            </w:r>
          </w:p>
        </w:tc>
      </w:tr>
      <w:tr>
        <w:trPr/>
        <w:tc>
          <w:tcPr>
            <w:tcW w:w="4859"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Non-cash investing activities</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rPr/>
            </w:pPr>
            <w:r>
              <w:rPr/>
              <w:t>​</w:t>
            </w:r>
          </w:p>
        </w:tc>
      </w:tr>
      <w:tr>
        <w:trPr/>
        <w:tc>
          <w:tcPr>
            <w:tcW w:w="4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construction in progress</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26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26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88" w:name="_8a20aed6_8882_438b_a6c7_addfdd743b27"/>
      <w:bookmarkEnd w:id="588"/>
      <w:r>
        <w:rPr>
          <w:rFonts w:ascii="Times New Roman;Times;serif" w:hAnsi="Times New Roman;Times;serif"/>
          <w:b/>
          <w:sz w:val="20"/>
        </w:rPr>
        <w:t>CELLDEX THERAPEUTICS, INC.</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Nature of Business and 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Celldex Therapeutics, Inc. (the “Company” or “Celldex”) is a biopharmaceutical company dedicated to developing therapeutic monoclonal and bispecific antibodies that address diseases for which available treatments are inadequate. The Company is primarily focusing its efforts and resources on the continued research and development of CDX-0159, CDX-1140 and CDX-527.</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Board of Directors of the Company approved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At December 31, 2021, the Company had cash, cash equivalents and marketable securities of $408.3 million. The Company has had recurring losses and incurred a loss of $70.5 million for the year ended December 31, 2021. Net cash used in operations for the year ended December 31, 2021 was $60.9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the Company has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 Any prolonged negative impacts to our business could materially impact our operating results and could lead to impairments of our intangible in-process research and development (“IPR&amp;D”) assets with a carrying value of $27.2 million at December 31, 2021.</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589" w:name="_Hlk501180543"/>
      <w:bookmarkEnd w:id="589"/>
      <w:r>
        <w:rPr>
          <w:rFonts w:ascii="Times New Roman;Times;serif" w:hAnsi="Times New Roman;Times;serif"/>
          <w:b/>
          <w:sz w:val="20"/>
        </w:rPr>
        <w:t>(2) Summary of Significant Accounting Policies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Basis of Presentation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balance sheets and statements of operations and comprehensive loss, stockholders’ equity, and cash flows, are consolidated for the years ended December 31, 2021, 2020 and 2019. These consolidated financial statements reflect the operations of the Company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590" w:name="_Hlk501181213"/>
      <w:bookmarkEnd w:id="590"/>
      <w:r>
        <w:rPr>
          <w:rFonts w:ascii="Times New Roman;Times;serif" w:hAnsi="Times New Roman;Times;serif"/>
          <w:sz w:val="20"/>
        </w:rPr>
        <w:t>and its wholly-owned subsidiary. All intercompany balances and transactions have been eliminated in consolidation. The Company operates in one segment, which is the business of development, manufacturing and commercialization of novel therapeutics for human health care.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Use of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and Cash Equivalents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considers all highly liquid investments purchased with a maturity date of 90 days or less at the date of purchase to be cash equivalents. Cash equivalents consist principally of money market funds and debt securities.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Marketable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Concentration of Credit Risk and of Significant Customers and Suppliers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Revenue from Rockefeller University and Gilead Sciences represented 88% and 85% of total Company revenue for the year ended December 31, 2021 and 2020, respectively. Combined revenue from Rockefeller University and Duke University represented 74% of total Company revenue for the year ended December 31, 2019.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relies on contract manufacturing organizations (CMO) to manufacture drug substance and drug product as well as for future commercial supplies. The Company also relies on CMOs for supply of raw materials as well as filling, packaging, storing and shipping our drug products.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Fair Value Measurements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Level 2: Observable inputs other than Level 1 prices, such as quoted prices in active markets for similar assets or liabilities and quoted prices for identical assets or liabilities in markets that are not active.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Level 3: Unobservable inputs based on the Company’s assessment of the assumptions that market participants would use in pricing the asset or liability.</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Property and Equipment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Property and equipment is stated at cost and depreciated over the estimated useful lives of the related assets using the straight-line method. </w:t>
      </w:r>
      <w:r>
        <w:rPr>
          <w:rFonts w:ascii="Times New Roman;Times;serif" w:hAnsi="Times New Roman;Times;serif"/>
          <w:b w:val="false"/>
          <w:i w:val="false"/>
          <w:caps w:val="false"/>
          <w:smallCaps w:val="false"/>
          <w:sz w:val="20"/>
        </w:rPr>
        <w:t>Laboratory</w:t>
      </w:r>
      <w:r>
        <w:rPr>
          <w:rFonts w:ascii="Times New Roman;Times;serif" w:hAnsi="Times New Roman;Times;serif"/>
          <w:sz w:val="20"/>
        </w:rPr>
        <w:t xml:space="preserve"> equipment and office furniture and equipment are depreciated over five years, and computer equipment is depreciated over three years. Manufacturing equipment is depreciated over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has operating leases of office, manufacturing and laboratory space, which have remaining lease terms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and may include one or more options to renew or terminate early.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assets included a $1.8 million non-controlling investment in a privately-held company that was accounted for under the cost method of accounting as of December 31, 2018. Based on information received in April 2019, it was determined that there was a deterioration of the private company’s financial condition due to a working capital deficiency and an inability to secure additional funding. Therefore, the Company concluded that the investment was impaired, and a non-cash impairment charge of $1.8 million was recorded during the first quarter of 2019.</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Contingent Consideration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Intangible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 (ii) probability of partnership; (iii) partnership milestones; and (iv) discount rate.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Impairment of Intangible and Long-Lived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 Recognition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Revenues are recognized when performance obligations under agreements or contracts are satisfied, in an amount that reflects the consideration the Company expects to be entitled to in exchange for those services.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determines revenue recognition through the following steps:</w:t>
      </w:r>
    </w:p>
    <w:tbl>
      <w:tblPr>
        <w:tblW w:w="5316" w:type="dxa"/>
        <w:jc w:val="left"/>
        <w:tblInd w:w="0" w:type="dxa"/>
        <w:tblCellMar>
          <w:top w:w="28" w:type="dxa"/>
          <w:left w:w="28" w:type="dxa"/>
          <w:bottom w:w="28" w:type="dxa"/>
          <w:right w:w="28" w:type="dxa"/>
        </w:tblCellMar>
      </w:tblPr>
      <w:tblGrid>
        <w:gridCol w:w="124"/>
        <w:gridCol w:w="25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666" w:type="dxa"/>
        <w:jc w:val="left"/>
        <w:tblInd w:w="0" w:type="dxa"/>
        <w:tblCellMar>
          <w:top w:w="28" w:type="dxa"/>
          <w:left w:w="28" w:type="dxa"/>
          <w:bottom w:w="28" w:type="dxa"/>
          <w:right w:w="28" w:type="dxa"/>
        </w:tblCellMar>
      </w:tblPr>
      <w:tblGrid>
        <w:gridCol w:w="124"/>
        <w:gridCol w:w="256"/>
        <w:gridCol w:w="3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461" w:type="dxa"/>
        <w:jc w:val="left"/>
        <w:tblInd w:w="0" w:type="dxa"/>
        <w:tblCellMar>
          <w:top w:w="28" w:type="dxa"/>
          <w:left w:w="28" w:type="dxa"/>
          <w:bottom w:w="28" w:type="dxa"/>
          <w:right w:w="28" w:type="dxa"/>
        </w:tblCellMar>
      </w:tblPr>
      <w:tblGrid>
        <w:gridCol w:w="124"/>
        <w:gridCol w:w="256"/>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7401" w:type="dxa"/>
        <w:jc w:val="left"/>
        <w:tblInd w:w="0" w:type="dxa"/>
        <w:tblCellMar>
          <w:top w:w="28" w:type="dxa"/>
          <w:left w:w="28" w:type="dxa"/>
          <w:bottom w:w="28" w:type="dxa"/>
          <w:right w:w="28" w:type="dxa"/>
        </w:tblCellMar>
      </w:tblPr>
      <w:tblGrid>
        <w:gridCol w:w="124"/>
        <w:gridCol w:w="256"/>
        <w:gridCol w:w="70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Contract Assets and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contract liabilities result from arrangements where the Company has received payment in advance of performance under the contract. These amounts are included as deferred revenue within current portion of long-term liabilities on the consolidated balance sheets.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Patent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financial statements.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Stock-Based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records stock-based compensation expense for all stock-based awards made to employees, consultants and non-employee directors based on the estimated fair values of the stock-based awards expected to vest at the grant date and adjusts, if necessary, to reflect actual forfeitures. Compensation expense for all stock-based awards is recognized using the straight-line method over the term of vesting or performance.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bookmarkStart w:id="591" w:name="Tc_ZPOOqC0WKUOdKlri75Xmpg_4_4"/>
      <w:bookmarkStart w:id="592" w:name="Tc_-PdA7KfSZ0uCTnlYpRz3PA_4_2"/>
      <w:bookmarkStart w:id="593" w:name="Tc_BBDnu2eLJE-3dj9OAACagw_4_0"/>
      <w:bookmarkStart w:id="594" w:name="Tc_CaCM18_Fg0WMDk1WutIiNw_3_0"/>
      <w:bookmarkStart w:id="595" w:name="Tc_gW8KuflJwk27ddfiznIRiw_2_6"/>
      <w:bookmarkStart w:id="596" w:name="Tc_h_3aIpToTk2_UGmojeCm4w_2_4"/>
      <w:bookmarkStart w:id="597" w:name="Tc_KE-21GEhsEKoNU9yInaF7w_2_2"/>
      <w:bookmarkStart w:id="598" w:name="Tc_y6hhn3_Vn0eRbf-JIZsomg_1_2"/>
      <w:bookmarkStart w:id="599" w:name="_f2882649_894d_4e3b_be51_67dc4e01d59f"/>
      <w:bookmarkEnd w:id="591"/>
      <w:bookmarkEnd w:id="592"/>
      <w:bookmarkEnd w:id="593"/>
      <w:bookmarkEnd w:id="594"/>
      <w:bookmarkEnd w:id="595"/>
      <w:bookmarkEnd w:id="596"/>
      <w:bookmarkEnd w:id="597"/>
      <w:bookmarkEnd w:id="598"/>
      <w:bookmarkEnd w:id="599"/>
      <w:r>
        <w:rPr>
          <w:rFonts w:ascii="Times New Roman;Times;serif" w:hAnsi="Times New Roman;Times;serif"/>
          <w:i/>
          <w:sz w:val="20"/>
        </w:rPr>
        <w:t>Foreign Currency Translation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unrealized gains and losses resulting from foreign currency translation are included in accumulated other comprehensive income. At December 31, 2021 and 2020, accumulated other comprehensive income includes a net unrealized gain related to foreign currency translation of $2.6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Comprehensive Loss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2021, 2020 and 2019.</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Loss Per Share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spacing w:before="0" w:after="0"/>
        <w:ind w:left="0" w:right="0" w:hanging="0"/>
        <w:rPr/>
      </w:pPr>
      <w:r>
        <w:rPr/>
        <w:t>​</w:t>
      </w:r>
    </w:p>
    <w:tbl>
      <w:tblPr>
        <w:tblW w:w="5302" w:type="dxa"/>
        <w:jc w:val="left"/>
        <w:tblInd w:w="0" w:type="dxa"/>
        <w:tblCellMar>
          <w:top w:w="0" w:type="dxa"/>
          <w:left w:w="0" w:type="dxa"/>
          <w:bottom w:w="0" w:type="dxa"/>
          <w:right w:w="0" w:type="dxa"/>
        </w:tblCellMar>
      </w:tblPr>
      <w:tblGrid>
        <w:gridCol w:w="1426"/>
        <w:gridCol w:w="326"/>
        <w:gridCol w:w="931"/>
        <w:gridCol w:w="326"/>
        <w:gridCol w:w="931"/>
        <w:gridCol w:w="326"/>
        <w:gridCol w:w="1036"/>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05510" cy="175260"/>
                      <wp:effectExtent l="0" t="0" r="0" b="0"/>
                      <wp:wrapNone/>
                      <wp:docPr id="141" name="Frame140"/>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143" name="Frame14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91185" cy="175260"/>
                      <wp:effectExtent l="0" t="0" r="0" b="0"/>
                      <wp:wrapNone/>
                      <wp:docPr id="145" name="Frame14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57860" cy="175260"/>
                      <wp:effectExtent l="0" t="0" r="0" b="0"/>
                      <wp:wrapNone/>
                      <wp:docPr id="147" name="Frame14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5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4,077,667</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3,042,229</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1,699,202</w:t>
            </w:r>
          </w:p>
        </w:tc>
      </w:tr>
      <w:tr>
        <w:trPr/>
        <w:tc>
          <w:tcPr>
            <w:tcW w:w="1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r>
      <w:tr>
        <w:trPr/>
        <w:tc>
          <w:tcPr>
            <w:tcW w:w="14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4,077,667</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3,042,229</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1,700,312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Recent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The adoption of this new guidance is not expected to have a material impact on the Company’s consolidated financial statements and related disclosures.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00" w:name="Tc_6ToRDg2ZvUegXfREQR1pZw_8_8"/>
      <w:bookmarkStart w:id="601" w:name="Tc_-gyv4Mxre0u7cix8JAMEyA_8_5"/>
      <w:bookmarkStart w:id="602" w:name="Tc_IfolhwvMZUCs4vzGJlKQLQ_8_2"/>
      <w:bookmarkStart w:id="603" w:name="Tc_rUUUEbhZVE-__sigvNvA7g_8_0"/>
      <w:bookmarkStart w:id="604" w:name="Tc_5nuAXSRM4kaFMQZFFS3NeA_7_6"/>
      <w:bookmarkStart w:id="605" w:name="Tc_oHqtDfjCdEi_TiF0Z_CbGg_7_0"/>
      <w:bookmarkStart w:id="606" w:name="Tc_2ApyDtFcR0u62jx4exlY6w_6_8"/>
      <w:bookmarkStart w:id="607" w:name="Tc_loSraIpHykCYTYaoucYmEA_6_5"/>
      <w:bookmarkStart w:id="608" w:name="Tc_E1sPDdGqlkG-rKZbc1LIsw_6_2"/>
      <w:bookmarkStart w:id="609" w:name="Tc_xn9IICK9GkaoI4EKdqvkrg_6_0"/>
      <w:bookmarkStart w:id="610" w:name="Tc_RgFmgpijvkm3bCp3cdQC_g_5_2"/>
      <w:bookmarkStart w:id="611" w:name="Tc_KSsYcR_QfkOOpq_uTvJXoA_4_8"/>
      <w:bookmarkStart w:id="612" w:name="Tc_L4UrC6t940-BHJnjSOBpBA_4_5"/>
      <w:bookmarkStart w:id="613" w:name="Tc_T35Fh8iwIkGhJCy57b04qQ_4_2"/>
      <w:bookmarkStart w:id="614" w:name="Tc_ADnliyG6mUeCYD8wtWAOVg_3_5"/>
      <w:bookmarkStart w:id="615" w:name="Tc_BvSLCowPa0q_R2LjuZ2fww_3_2"/>
      <w:bookmarkStart w:id="616" w:name="Tc_fR8fGnu-Ck-P-ZepwCWdew_2_2"/>
      <w:bookmarkStart w:id="617" w:name="Tc_51M9F1ZXBkmz9mEklUvbSA_1_2"/>
      <w:bookmarkStart w:id="618" w:name="_fc20e0e9_4f76_415b_8999_e95c22cd3306"/>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rFonts w:ascii="Times New Roman;Times;serif" w:hAnsi="Times New Roman;Times;serif"/>
          <w:b/>
          <w:sz w:val="20"/>
        </w:rPr>
        <w:t>(3) Accumulated Other Comprehensive Income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changes in accumulated other comprehensive income, which is reported as a component of stockholders’ equity, for the year ended December 31, 2021 are summarized below: </w:t>
      </w:r>
    </w:p>
    <w:p>
      <w:pPr>
        <w:pStyle w:val="TextBody"/>
        <w:spacing w:before="0" w:after="0"/>
        <w:ind w:left="0" w:right="0" w:firstLine="360"/>
        <w:rPr/>
      </w:pPr>
      <w:r>
        <w:rPr/>
        <w:t>​</w:t>
      </w:r>
    </w:p>
    <w:tbl>
      <w:tblPr>
        <w:tblW w:w="6863" w:type="dxa"/>
        <w:jc w:val="left"/>
        <w:tblInd w:w="0" w:type="dxa"/>
        <w:tblCellMar>
          <w:top w:w="0" w:type="dxa"/>
          <w:left w:w="0" w:type="dxa"/>
          <w:bottom w:w="0" w:type="dxa"/>
          <w:right w:w="0" w:type="dxa"/>
        </w:tblCellMar>
      </w:tblPr>
      <w:tblGrid>
        <w:gridCol w:w="2596"/>
        <w:gridCol w:w="326"/>
        <w:gridCol w:w="355"/>
        <w:gridCol w:w="816"/>
        <w:gridCol w:w="326"/>
        <w:gridCol w:w="332"/>
        <w:gridCol w:w="899"/>
        <w:gridCol w:w="326"/>
        <w:gridCol w:w="211"/>
        <w:gridCol w:w="676"/>
      </w:tblGrid>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5425" cy="175260"/>
                      <wp:effectExtent l="0" t="0" r="0" b="0"/>
                      <wp:wrapNone/>
                      <wp:docPr id="149" name="Frame148"/>
                      <a:graphic xmlns:a="http://schemas.openxmlformats.org/drawingml/2006/main">
                        <a:graphicData uri="http://schemas.microsoft.com/office/word/2010/wordprocessingShape">
                          <wps:wsp>
                            <wps:cNvSpPr txBox="1"/>
                            <wps:spPr>
                              <a:xfrm>
                                <a:off x="0" y="0"/>
                                <a:ext cx="225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18160" cy="175260"/>
                      <wp:effectExtent l="0" t="0" r="0" b="0"/>
                      <wp:wrapNone/>
                      <wp:docPr id="150" name="Frame149"/>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0820" cy="175260"/>
                      <wp:effectExtent l="0" t="0" r="0" b="0"/>
                      <wp:wrapNone/>
                      <wp:docPr id="152" name="Frame151"/>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0865" cy="175260"/>
                      <wp:effectExtent l="0" t="0" r="0" b="0"/>
                      <wp:wrapNone/>
                      <wp:docPr id="153" name="Frame152"/>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6" name="Frame15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26" w:type="dxa"/>
            <w:tcBorders/>
            <w:shd w:fill="auto" w:val="clear"/>
            <w:vAlign w:val="center"/>
          </w:tcPr>
          <w:p>
            <w:pPr>
              <w:pStyle w:val="TableContents"/>
              <w:spacing w:before="0" w:after="0"/>
              <w:ind w:left="0" w:right="0" w:hanging="0"/>
              <w:jc w:val="center"/>
              <w:rPr/>
            </w:pPr>
            <w:r>
              <w:rPr/>
              <w:t>    </w:t>
            </w:r>
          </w:p>
        </w:tc>
        <w:tc>
          <w:tcPr>
            <w:tcW w:w="332" w:type="dxa"/>
            <w:tcBorders/>
            <w:shd w:fill="auto" w:val="clear"/>
            <w:vAlign w:val="center"/>
          </w:tcPr>
          <w:p>
            <w:pPr>
              <w:pStyle w:val="TableContents"/>
              <w:spacing w:before="0" w:after="0"/>
              <w:ind w:left="0" w:right="0" w:hanging="0"/>
              <w:jc w:val="center"/>
              <w:rPr/>
            </w:pPr>
            <w:r>
              <w:rPr/>
              <w:t>​</w:t>
            </w:r>
          </w:p>
        </w:tc>
        <w:tc>
          <w:tcPr>
            <w:tcW w:w="89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shd w:fill="auto" w:val="clear"/>
            <w:vAlign w:val="center"/>
          </w:tcPr>
          <w:p>
            <w:pPr>
              <w:pStyle w:val="TableContents"/>
              <w:spacing w:before="0" w:after="0"/>
              <w:ind w:left="0" w:right="0" w:hanging="0"/>
              <w:jc w:val="center"/>
              <w:rPr/>
            </w:pPr>
            <w:r>
              <w:rPr/>
              <w:t>​</w:t>
            </w:r>
          </w:p>
        </w:tc>
        <w:tc>
          <w:tcPr>
            <w:tcW w:w="332" w:type="dxa"/>
            <w:tcBorders/>
            <w:shd w:fill="auto" w:val="clear"/>
            <w:vAlign w:val="center"/>
          </w:tcPr>
          <w:p>
            <w:pPr>
              <w:pStyle w:val="TableContents"/>
              <w:spacing w:before="0" w:after="0"/>
              <w:ind w:left="0" w:right="0" w:hanging="0"/>
              <w:jc w:val="center"/>
              <w:rPr/>
            </w:pPr>
            <w:r>
              <w:rPr/>
              <w:t>​</w:t>
            </w:r>
          </w:p>
        </w:tc>
        <w:tc>
          <w:tcPr>
            <w:tcW w:w="89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shd w:fill="auto" w:val="clear"/>
            <w:vAlign w:val="center"/>
          </w:tcPr>
          <w:p>
            <w:pPr>
              <w:pStyle w:val="TableContents"/>
              <w:spacing w:before="0" w:after="0"/>
              <w:ind w:left="0" w:right="0" w:hanging="0"/>
              <w:jc w:val="center"/>
              <w:rPr/>
            </w:pPr>
            <w:r>
              <w:rPr/>
              <w:t>​</w:t>
            </w:r>
          </w:p>
        </w:tc>
        <w:tc>
          <w:tcPr>
            <w:tcW w:w="12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shd w:fill="auto" w:val="clear"/>
            <w:vAlign w:val="center"/>
          </w:tcPr>
          <w:p>
            <w:pPr>
              <w:pStyle w:val="TableContents"/>
              <w:spacing w:before="0" w:after="0"/>
              <w:ind w:left="0" w:right="0" w:hanging="0"/>
              <w:jc w:val="center"/>
              <w:rPr/>
            </w:pPr>
            <w:r>
              <w:rPr/>
              <w:t>​</w:t>
            </w:r>
          </w:p>
        </w:tc>
        <w:tc>
          <w:tcPr>
            <w:tcW w:w="12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863"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41"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0"/>
              <w:ind w:left="0" w:right="0" w:hanging="0"/>
              <w:rPr/>
            </w:pPr>
            <w:r>
              <w:rPr/>
              <w:t>​</w:t>
            </w:r>
          </w:p>
        </w:tc>
        <w:tc>
          <w:tcPr>
            <w:tcW w:w="3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w:t>
            </w:r>
          </w:p>
        </w:tc>
        <w:tc>
          <w:tcPr>
            <w:tcW w:w="3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2,589</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0"/>
              <w:ind w:left="0" w:right="0" w:hanging="0"/>
              <w:rPr/>
            </w:pPr>
            <w:r>
              <w:rPr/>
              <w:t>​</w:t>
            </w:r>
          </w:p>
        </w:tc>
        <w:tc>
          <w:tcPr>
            <w:tcW w:w="35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auto" w:val="clear"/>
            <w:vAlign w:val="center"/>
          </w:tcPr>
          <w:p>
            <w:pPr>
              <w:pStyle w:val="TableContents"/>
              <w:spacing w:before="0" w:after="0"/>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35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spacing w:before="0" w:after="0"/>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1,894</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years ended December 31, 2021, 2020 and 2019.</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19" w:name="Tc_gy5eGtDk1Ey620F7HjqCZg_10_10"/>
      <w:bookmarkStart w:id="620" w:name="Tc_znNTe8tdRUyV6C3KRsVvkQ_10_8"/>
      <w:bookmarkStart w:id="621" w:name="Tc__H9Ql1uvfkGIloEToKeVXg_10_5"/>
      <w:bookmarkStart w:id="622" w:name="Tc_7vUxKdhvak6PAr-cr2_X-g_10_2"/>
      <w:bookmarkStart w:id="623" w:name="Tc_398cFtO7eEGsnkvJIjdo1Q_9_10"/>
      <w:bookmarkStart w:id="624" w:name="Tc_VOqNKRJxn0KqHAwSbHg-eg_9_8"/>
      <w:bookmarkStart w:id="625" w:name="Tc_td0NzGOXykiQhw_DbaxVNw_9_5"/>
      <w:bookmarkStart w:id="626" w:name="Tc_G-p84H9fGEawgQJ5kCAwcg_9_2"/>
      <w:bookmarkStart w:id="627" w:name="Tc_mKcRQtQelku_Ck4noUy4XA_9_0"/>
      <w:bookmarkStart w:id="628" w:name="Tc__LuhHqHQXk-YbP_u5jLYQQ_8_0"/>
      <w:bookmarkStart w:id="629" w:name="Tc_oxoZCwCqy0SAiJPWGocFvg_7_11"/>
      <w:bookmarkStart w:id="630" w:name="Tc_NtCbsMA0B0OG-0EnmaSDtQ_7_7"/>
      <w:bookmarkStart w:id="631" w:name="Tc_K-5YqfiQi0W-4PKHeFpU8Q_7_5"/>
      <w:bookmarkStart w:id="632" w:name="Tc_bexS7JBRIESqYTrqBa_lmw_7_2"/>
      <w:bookmarkStart w:id="633" w:name="Tc_kiswkjbwTUagoFD3YHiFqg_6_11"/>
      <w:bookmarkStart w:id="634" w:name="Tc_UcneisfAyE2ucKn2AB1r0Q_6_5"/>
      <w:bookmarkStart w:id="635" w:name="Tc_iA9jY-V6ckiKzmEzzApVCQ_6_0"/>
      <w:bookmarkStart w:id="636" w:name="Tc_vlCHxFOq3UKiUQJCDSrcGg_5_11"/>
      <w:bookmarkStart w:id="637" w:name="Tc_FZcebBTPpU2L2vrOSLtBpQ_5_7"/>
      <w:bookmarkStart w:id="638" w:name="Tc_AzsBkyPelEevvXTaeomJog_5_5"/>
      <w:bookmarkStart w:id="639" w:name="Tc_Aq-ivBzoF0-iThdJawGV-Q_5_2"/>
      <w:bookmarkStart w:id="640" w:name="Tc_3RAuCBIigE-Xt9ngQkXKaw_5_0"/>
      <w:bookmarkStart w:id="641" w:name="Tc_ldh-eemXRUmuNrq3fQMiOw_4_0"/>
      <w:bookmarkStart w:id="642" w:name="Tc_bs11-kcjykq9M4tkuBbrqw_3_2"/>
      <w:bookmarkStart w:id="643" w:name="Tc_WvyEYHB2v0yDtKG9QPLvcw_2_10"/>
      <w:bookmarkStart w:id="644" w:name="Tc_Jid3aAy87UmItAEkMCOnfA_2_7"/>
      <w:bookmarkStart w:id="645" w:name="Tc_EfY85BBlVkKV39zH0NrMGA_2_5"/>
      <w:bookmarkStart w:id="646" w:name="Tc__saRu3F0CECZ_BkFZUTswA_2_2"/>
      <w:bookmarkStart w:id="647" w:name="Tc_0-tNXDKQ_0ei3SZoBjfKRA_1_2"/>
      <w:bookmarkStart w:id="648" w:name="_c1dd9bf4_66e1_4507_9fa1_38b070be1a18"/>
      <w:bookmarkStart w:id="649" w:name="Tc_zwv9hReEHkSuCTywBD4JBQ_10_10"/>
      <w:bookmarkStart w:id="650" w:name="Tc_9zW4E3Cfm0eXG6mfiEYyKw_10_8"/>
      <w:bookmarkStart w:id="651" w:name="Tc_6UZGlbgF-0O3DW5Tm_Nqyw_10_5"/>
      <w:bookmarkStart w:id="652" w:name="Tc_MT_O0TsYrEK9wH6nYzEOvw_10_2"/>
      <w:bookmarkStart w:id="653" w:name="Tc_Kik8vxwjgEe6VbZusftkkw_9_10"/>
      <w:bookmarkStart w:id="654" w:name="Tc_XXMZ2-nDmkaRsnmhHii8GA_9_8"/>
      <w:bookmarkStart w:id="655" w:name="Tc_bM4Je5_M_kiZEqRL0EQHiw_9_5"/>
      <w:bookmarkStart w:id="656" w:name="Tc_yFM6zspyPEKebBaojj4KZg_9_2"/>
      <w:bookmarkStart w:id="657" w:name="Tc_wkH3KtA1uUmg_BfNCA4i4w_9_0"/>
      <w:bookmarkStart w:id="658" w:name="Tc_egEK1nQ3wUOrBYLYMT4GRg_8_0"/>
      <w:bookmarkStart w:id="659" w:name="Tc_URlbR90ed0-kKilQEI8lMg_7_11"/>
      <w:bookmarkStart w:id="660" w:name="Tc_c9__X9OCiUi1zkDpOsR7tw_7_7"/>
      <w:bookmarkStart w:id="661" w:name="Tc_kKC0MbIf2USQrl2e_ajAUQ_7_5"/>
      <w:bookmarkStart w:id="662" w:name="Tc_1SfAOvxXT02bhCyNBYNL0Q_7_2"/>
      <w:bookmarkStart w:id="663" w:name="Tc_YF2nKBGwSEevO9pm_DR1CA_6_11"/>
      <w:bookmarkStart w:id="664" w:name="Tc_1K1n32eNjEK4t6hmf0Ll8w_6_5"/>
      <w:bookmarkStart w:id="665" w:name="Tc_7160T4JQNEGS5GRQx3Gqcg_6_0"/>
      <w:bookmarkStart w:id="666" w:name="Tc_NnTFCy9kKkSkCefG4HFIqQ_5_11"/>
      <w:bookmarkStart w:id="667" w:name="Tc_2F3MaRQHkkq34cOhdFZUcw_5_7"/>
      <w:bookmarkStart w:id="668" w:name="Tc_imKnOXGtYku5D31b2Ibd1Q_5_5"/>
      <w:bookmarkStart w:id="669" w:name="Tc_cnmvMQX5_UyaKPZAE3gv0A_5_2"/>
      <w:bookmarkStart w:id="670" w:name="Tc_WgcLbWackEqO-dLu-cfjVQ_5_0"/>
      <w:bookmarkStart w:id="671" w:name="Tc_f6_3C708bUCxC-qGNO7eNQ_4_0"/>
      <w:bookmarkStart w:id="672" w:name="Tc_S1lFFJ3zN0C1YPFmsv2A0Q_3_2"/>
      <w:bookmarkStart w:id="673" w:name="Tc_cWy4UYacdEStgrht0YFhIQ_2_10"/>
      <w:bookmarkStart w:id="674" w:name="Tc_dS5QC6WVJkabWoMhl4F79A_2_7"/>
      <w:bookmarkStart w:id="675" w:name="Tc_IHMx6c4n9USpLfRcRqMbPw_2_5"/>
      <w:bookmarkStart w:id="676" w:name="Tc_aA9-SYlrKUu8BjOuX3jgRA_2_2"/>
      <w:bookmarkStart w:id="677" w:name="Tc_KzYxdehFu0SOgBp7e03Gfg_1_2"/>
      <w:bookmarkStart w:id="678" w:name="_c77d0949_850f_4d09_b8b1_dd58ee6ffbce"/>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b/>
          <w:sz w:val="20"/>
        </w:rPr>
        <w:t>(4) Fair Value Measurements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spacing w:before="0" w:after="0"/>
        <w:ind w:left="0" w:right="0" w:hanging="0"/>
        <w:rPr/>
      </w:pPr>
      <w:r>
        <w:rPr/>
        <w:t>​</w:t>
      </w:r>
    </w:p>
    <w:tbl>
      <w:tblPr>
        <w:tblW w:w="9096" w:type="dxa"/>
        <w:jc w:val="left"/>
        <w:tblInd w:w="0" w:type="dxa"/>
        <w:tblCellMar>
          <w:top w:w="0" w:type="dxa"/>
          <w:left w:w="0" w:type="dxa"/>
          <w:bottom w:w="0" w:type="dxa"/>
          <w:right w:w="0" w:type="dxa"/>
        </w:tblCellMar>
      </w:tblPr>
      <w:tblGrid>
        <w:gridCol w:w="3781"/>
        <w:gridCol w:w="326"/>
        <w:gridCol w:w="319"/>
        <w:gridCol w:w="1182"/>
        <w:gridCol w:w="326"/>
        <w:gridCol w:w="631"/>
        <w:gridCol w:w="326"/>
        <w:gridCol w:w="211"/>
        <w:gridCol w:w="781"/>
        <w:gridCol w:w="326"/>
        <w:gridCol w:w="211"/>
        <w:gridCol w:w="676"/>
      </w:tblGrid>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2565" cy="175260"/>
                      <wp:effectExtent l="0" t="0" r="0" b="0"/>
                      <wp:wrapNone/>
                      <wp:docPr id="158" name="Frame157"/>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50570" cy="175260"/>
                      <wp:effectExtent l="0" t="0" r="0" b="0"/>
                      <wp:wrapNone/>
                      <wp:docPr id="159" name="Frame158"/>
                      <a:graphic xmlns:a="http://schemas.openxmlformats.org/drawingml/2006/main">
                        <a:graphicData uri="http://schemas.microsoft.com/office/word/2010/wordprocessingShape">
                          <wps:wsp>
                            <wps:cNvSpPr txBox="1"/>
                            <wps:spPr>
                              <a:xfrm>
                                <a:off x="0" y="0"/>
                                <a:ext cx="750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00685" cy="175260"/>
                      <wp:effectExtent l="0" t="0" r="0" b="0"/>
                      <wp:wrapNone/>
                      <wp:docPr id="161" name="Frame160"/>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4" name="Frame16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9096"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89"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118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center"/>
              <w:rPr/>
            </w:pPr>
            <w:r>
              <w:rPr/>
              <w:t>​</w:t>
            </w:r>
          </w:p>
        </w:tc>
      </w:tr>
      <w:tr>
        <w:trPr/>
        <w:tc>
          <w:tcPr>
            <w:tcW w:w="37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26,220</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37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369,107</w:t>
            </w:r>
          </w:p>
        </w:tc>
        <w:tc>
          <w:tcPr>
            <w:tcW w:w="326" w:type="dxa"/>
            <w:tcBorders/>
            <w:shd w:fill="CCEEFF" w:val="cle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369,107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395,327</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395,327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7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11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37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Kolltan acquisition contingent consideration</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1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r>
      <w:tr>
        <w:trPr/>
        <w:tc>
          <w:tcPr>
            <w:tcW w:w="3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shd w:fill="CCEEFF" w:val="clear"/>
            <w:vAlign w:val="center"/>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6,862</w:t>
            </w:r>
          </w:p>
        </w:tc>
      </w:tr>
    </w:tbl>
    <w:p>
      <w:pPr>
        <w:pStyle w:val="TextBody"/>
        <w:spacing w:before="0" w:after="0"/>
        <w:ind w:left="0" w:right="0" w:hanging="0"/>
        <w:rPr/>
      </w:pPr>
      <w:r>
        <w:rPr/>
        <w:t>​</w:t>
      </w:r>
    </w:p>
    <w:tbl>
      <w:tblPr>
        <w:tblW w:w="9096" w:type="dxa"/>
        <w:jc w:val="left"/>
        <w:tblInd w:w="0" w:type="dxa"/>
        <w:tblCellMar>
          <w:top w:w="0" w:type="dxa"/>
          <w:left w:w="0" w:type="dxa"/>
          <w:bottom w:w="0" w:type="dxa"/>
          <w:right w:w="0" w:type="dxa"/>
        </w:tblCellMar>
      </w:tblPr>
      <w:tblGrid>
        <w:gridCol w:w="3781"/>
        <w:gridCol w:w="326"/>
        <w:gridCol w:w="319"/>
        <w:gridCol w:w="1182"/>
        <w:gridCol w:w="326"/>
        <w:gridCol w:w="631"/>
        <w:gridCol w:w="326"/>
        <w:gridCol w:w="211"/>
        <w:gridCol w:w="781"/>
        <w:gridCol w:w="326"/>
        <w:gridCol w:w="211"/>
        <w:gridCol w:w="676"/>
      </w:tblGrid>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2565" cy="175260"/>
                      <wp:effectExtent l="0" t="0" r="0" b="0"/>
                      <wp:wrapNone/>
                      <wp:docPr id="169" name="Frame168"/>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50570" cy="175260"/>
                      <wp:effectExtent l="0" t="0" r="0" b="0"/>
                      <wp:wrapNone/>
                      <wp:docPr id="170" name="Frame169"/>
                      <a:graphic xmlns:a="http://schemas.openxmlformats.org/drawingml/2006/main">
                        <a:graphicData uri="http://schemas.microsoft.com/office/word/2010/wordprocessingShape">
                          <wps:wsp>
                            <wps:cNvSpPr txBox="1"/>
                            <wps:spPr>
                              <a:xfrm>
                                <a:off x="0" y="0"/>
                                <a:ext cx="750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00685" cy="175260"/>
                      <wp:effectExtent l="0" t="0" r="0" b="0"/>
                      <wp:wrapNone/>
                      <wp:docPr id="172" name="Frame171"/>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5" name="Frame17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9096"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89"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jc w:val="center"/>
              <w:rPr/>
            </w:pPr>
            <w:r>
              <w:rPr/>
              <w:t>​</w:t>
            </w:r>
          </w:p>
        </w:tc>
        <w:tc>
          <w:tcPr>
            <w:tcW w:w="118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center"/>
              <w:rPr/>
            </w:pPr>
            <w:r>
              <w:rPr/>
              <w:t>​</w:t>
            </w:r>
          </w:p>
        </w:tc>
      </w:tr>
      <w:tr>
        <w:trPr/>
        <w:tc>
          <w:tcPr>
            <w:tcW w:w="37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35,066</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35,066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37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150,586</w:t>
            </w:r>
          </w:p>
        </w:tc>
        <w:tc>
          <w:tcPr>
            <w:tcW w:w="326" w:type="dxa"/>
            <w:tcBorders/>
            <w:shd w:fill="CCEEFF" w:val="cle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150,586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185,652</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7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11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37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Kolltan acquisition contingent consideration</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1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r>
      <w:tr>
        <w:trPr/>
        <w:tc>
          <w:tcPr>
            <w:tcW w:w="3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c>
          <w:tcPr>
            <w:tcW w:w="326" w:type="dxa"/>
            <w:tcBorders/>
            <w:shd w:fill="CCEEFF" w:val="clear"/>
            <w:vAlign w:val="center"/>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8,267</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Company’s financial assets consist mainly of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679" w:name="_cd422204_a4a1_4969_801b_458575100113_3"/>
      <w:bookmarkStart w:id="680" w:name="_cd422204_a4a1_4969_801b_458575100113_2"/>
      <w:bookmarkStart w:id="681" w:name="_cd422204_a4a1_4969_801b_458575100113"/>
      <w:bookmarkStart w:id="682" w:name="Narr__eb9O8a8MkmZBf9URCguHA"/>
      <w:bookmarkStart w:id="683" w:name="Narr_pJj87mlDBEqlnq4FZfQuVg"/>
      <w:bookmarkStart w:id="684" w:name="_c72d6675_991b_471c_960c_c2c7bbe14534_3"/>
      <w:bookmarkStart w:id="685" w:name="_c72d6675_991b_471c_960c_c2c7bbe14534_2"/>
      <w:bookmarkStart w:id="686" w:name="_c72d6675_991b_471c_960c_c2c7bbe14534"/>
      <w:bookmarkStart w:id="687" w:name="_d1cff6eb_4524_4dfe_8be2_1de1c561cd16_3"/>
      <w:bookmarkStart w:id="688" w:name="_d1cff6eb_4524_4dfe_8be2_1de1c561cd16_2"/>
      <w:bookmarkStart w:id="689" w:name="_d1cff6eb_4524_4dfe_8be2_1de1c561cd16"/>
      <w:bookmarkStart w:id="690" w:name="_bd5e56c9_82ba_49b6_a528_d6d505ed3f71_3"/>
      <w:bookmarkStart w:id="691" w:name="_bd5e56c9_82ba_49b6_a528_d6d505ed3f71_2"/>
      <w:bookmarkStart w:id="692" w:name="_bd5e56c9_82ba_49b6_a528_d6d505ed3f71"/>
      <w:bookmarkStart w:id="693" w:name="_adedcc02_e2e1_415f_a663_7b782ec76ac0_3"/>
      <w:bookmarkStart w:id="694" w:name="_adedcc02_e2e1_415f_a663_7b782ec76ac0_2"/>
      <w:bookmarkStart w:id="695" w:name="_adedcc02_e2e1_415f_a663_7b782ec76ac0"/>
      <w:bookmarkStart w:id="696" w:name="_4e74378d_fdb7_4d3c_8c35_365f6fe560ce_3"/>
      <w:bookmarkStart w:id="697" w:name="_4e74378d_fdb7_4d3c_8c35_365f6fe560ce_2"/>
      <w:bookmarkStart w:id="698" w:name="_4e74378d_fdb7_4d3c_8c35_365f6fe560ce"/>
      <w:bookmarkStart w:id="699" w:name="_e36de7ca_47c9_4771_9f83_a192a4e0ec83_3"/>
      <w:bookmarkStart w:id="700" w:name="_e36de7ca_47c9_4771_9f83_a192a4e0ec83_2"/>
      <w:bookmarkStart w:id="701" w:name="_e36de7ca_47c9_4771_9f83_a192a4e0ec83"/>
      <w:bookmarkStart w:id="702" w:name="Tc_fo5Lu4iaFEOgopevTz6i8w_6_2"/>
      <w:bookmarkStart w:id="703" w:name="Tc_RqURk9FfbUCgqkU_HPRprg_6_0"/>
      <w:bookmarkStart w:id="704" w:name="Tc_p85LLq4M0UmgE5tkSWXf-w_5_0"/>
      <w:bookmarkStart w:id="705" w:name="Tc_4QWGnrYBNUyCx3m4UdqTIg_4_2"/>
      <w:bookmarkStart w:id="706" w:name="Tc_LCuxF5NVBEC5XdreH_1HwQ_4_0"/>
      <w:bookmarkStart w:id="707" w:name="Tc_KTOeVTH22US3B8DqIMUzQg_3_2"/>
      <w:bookmarkStart w:id="708" w:name="Tc_03aghJFL3kW3XLGz4o1_6Q_2_2"/>
      <w:bookmarkStart w:id="709" w:name="Tc_ET5Tui9d5UWiGtVSOkjubA_1_2"/>
      <w:bookmarkStart w:id="710" w:name="_446755df_feea_4852_bef1_38eb58819ece"/>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Pr>
          <w:rFonts w:ascii="Times New Roman;Times;serif" w:hAnsi="Times New Roman;Times;serif"/>
          <w:sz w:val="20"/>
        </w:rPr>
        <w:t>The following table reflects the activity for the Company’s contingent consideration liabilities measured at fair value using Level 3 inputs for the year ended December 31, 2021 (in thousands):</w:t>
      </w:r>
    </w:p>
    <w:p>
      <w:pPr>
        <w:pStyle w:val="TextBody"/>
        <w:spacing w:before="0" w:after="0"/>
        <w:ind w:left="0" w:right="0" w:hanging="0"/>
        <w:rPr/>
      </w:pPr>
      <w:r>
        <w:rPr/>
        <w:t>​</w:t>
      </w:r>
    </w:p>
    <w:tbl>
      <w:tblPr>
        <w:tblW w:w="6252" w:type="dxa"/>
        <w:jc w:val="left"/>
        <w:tblInd w:w="0" w:type="dxa"/>
        <w:tblCellMar>
          <w:top w:w="0" w:type="dxa"/>
          <w:left w:w="0" w:type="dxa"/>
          <w:bottom w:w="0" w:type="dxa"/>
          <w:right w:w="0" w:type="dxa"/>
        </w:tblCellMar>
      </w:tblPr>
      <w:tblGrid>
        <w:gridCol w:w="4531"/>
        <w:gridCol w:w="326"/>
        <w:gridCol w:w="331"/>
        <w:gridCol w:w="1064"/>
      </w:tblGrid>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0185" cy="175260"/>
                      <wp:effectExtent l="0" t="0" r="0" b="0"/>
                      <wp:wrapNone/>
                      <wp:docPr id="180" name="Frame17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75640" cy="175260"/>
                      <wp:effectExtent l="0" t="0" r="0" b="0"/>
                      <wp:wrapNone/>
                      <wp:docPr id="181" name="Frame180"/>
                      <a:graphic xmlns:a="http://schemas.openxmlformats.org/drawingml/2006/main">
                        <a:graphicData uri="http://schemas.microsoft.com/office/word/2010/wordprocessingShape">
                          <wps:wsp>
                            <wps:cNvSpPr txBox="1"/>
                            <wps:spPr>
                              <a:xfrm>
                                <a:off x="0" y="0"/>
                                <a:ext cx="675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Liabilities:</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Consideration</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adjustments included in operating expenses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6,862</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valuation technique used to measure fair value of the Company’s Level 3 liabilities, which consist of contingent consideration related to the acquisition of Kolltan in 2016 (Note 17), was primarily an income approach. The significant unobservable inputs used in the fair value measurement of the contingent consideration are estimates, including probability of success, discount rates and amount of time until the conditions of the milestone payments are met. As of December 31, 2021, the weighted average probability of success used in calculating the fair value of contingent consideration was 49.3% (with a range of 5.1% to 68.6%), the weighted average discount rate was 7.3% (with a range of 6.9% to 8.2%) and the weighted average amount of time until the conditions of the milestone payments are met was 3 years. Weighted averages are calculated based on the relative fair value of our contingent consideration obligations.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year ended December 31, 2021, the Company recorded a $1.4 million gain on fair value remeasurement of contingent consideration, primarily due to updated assumptions for the TAM program, partially offset by losses related to changes in discount rates and the passage of time.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did not have any transfers of assets or liabilities between the fair value measurement classifications during the years ended December 31, 2021 and 2020.</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11" w:name="Tc_j_h1jF1aZkmrTMDtudUj_A_26_11"/>
      <w:bookmarkStart w:id="712" w:name="Tc_ctDEMdhwdUiDuovXtzixww_26_8"/>
      <w:bookmarkStart w:id="713" w:name="Tc_MUfwhNr5q0G_2mDd_aGnAw_26_5"/>
      <w:bookmarkStart w:id="714" w:name="Tc_8yHIztjYaU2mMJU0TAO7Cw_26_2"/>
      <w:bookmarkStart w:id="715" w:name="Tc_JCWPQX1b3EOGc3xgnCK-OQ_26_0"/>
      <w:bookmarkStart w:id="716" w:name="Tc_jY7KJApHGESa_DPgwFpCdg_25_11"/>
      <w:bookmarkStart w:id="717" w:name="Tc_Z0AQvHEw606xV5N3LxyFwQ_25_8"/>
      <w:bookmarkStart w:id="718" w:name="Tc_2-xh6RmyR0y1hyx3JKz6vQ_25_5"/>
      <w:bookmarkStart w:id="719" w:name="Tc_Lz5cZYmjhUmNK4A5zkXJ8w_25_2"/>
      <w:bookmarkStart w:id="720" w:name="Tc_VuvuU8DJx0-e2tKr_rfc1Q_25_0"/>
      <w:bookmarkStart w:id="721" w:name="Tc_z34IHgi7YEikjdE9Jeqj6g_24_12"/>
      <w:bookmarkStart w:id="722" w:name="Tc_JUjgueDxk0iirfinMIvCFQ_24_9"/>
      <w:bookmarkStart w:id="723" w:name="Tc_dpvJQDh9VU2W8lW9BbxF8w_24_6"/>
      <w:bookmarkStart w:id="724" w:name="Tc_5c9Ml-MhE0OpEfw5DlPMUA_24_3"/>
      <w:bookmarkStart w:id="725" w:name="Tc_yP-ttN8ZZkOMIY9fL5-LpA_24_0"/>
      <w:bookmarkStart w:id="726" w:name="Tc_lv0mIir9J02N6xA0y2GqDw_23_11"/>
      <w:bookmarkStart w:id="727" w:name="Tc_gVKm6x3ltEyneEVaSbw8pA_23_8"/>
      <w:bookmarkStart w:id="728" w:name="Tc_RyqFUh0AIEe3Kt1exop0eg_23_5"/>
      <w:bookmarkStart w:id="729" w:name="Tc_AdW7jzi0PkKuFCq_9P6Tbg_23_2"/>
      <w:bookmarkStart w:id="730" w:name="Tc_qdjmjwdHqkueiUgG1WjEkw_23_0"/>
      <w:bookmarkStart w:id="731" w:name="Tc_VHELzudM90mnwFfgFxlQnw_22_0"/>
      <w:bookmarkStart w:id="732" w:name="Tc_bENCK4NQ-EKITkhwMLUGFg_21_11"/>
      <w:bookmarkStart w:id="733" w:name="Tc_XcZZldIrPUW730OcvinObQ_21_8"/>
      <w:bookmarkStart w:id="734" w:name="Tc_cM88UCphVk2IUIRQMAC0SA_21_5"/>
      <w:bookmarkStart w:id="735" w:name="Tc_ZNgPgPQPOU6zIYGh4Z8Kig_21_2"/>
      <w:bookmarkStart w:id="736" w:name="Tc_K9Z2PzBcFUuMCL_uqcF3fw_21_0"/>
      <w:bookmarkStart w:id="737" w:name="Tc_2W7lxBo8Yk2XdvdqaC0thw_20_12"/>
      <w:bookmarkStart w:id="738" w:name="Tc_T8AKqfZr7EuYZSN3d2ohYQ_20_9"/>
      <w:bookmarkStart w:id="739" w:name="Tc_l_NbNSsfWU68kGQqiL62Og_20_6"/>
      <w:bookmarkStart w:id="740" w:name="Tc_sG0A7h8iNEmPd7-inRAgog_20_3"/>
      <w:bookmarkStart w:id="741" w:name="Tc_rv_XXO3iTEqe0v-h55Ly_A_20_0"/>
      <w:bookmarkStart w:id="742" w:name="Tc_N4pE5CbMl0WzDaBRrKGvbA_19_11"/>
      <w:bookmarkStart w:id="743" w:name="Tc_gRNBPNZfOEuXO47n6R3T7A_19_8"/>
      <w:bookmarkStart w:id="744" w:name="Tc_b25i9ZeYokqB59HNN4fIrA_19_5"/>
      <w:bookmarkStart w:id="745" w:name="Tc_9kWsYdWjWUWvNZlcm36X9g_19_2"/>
      <w:bookmarkStart w:id="746" w:name="Tc_1Zs9xwY9q0SfzLxDmgGGHQ_19_0"/>
      <w:bookmarkStart w:id="747" w:name="Tc_4uvkkFiTY0SnXCfU8IN-Gw_18_0"/>
      <w:bookmarkStart w:id="748" w:name="Tc_qkE-4gi5r0K6JLmQc-7cGg_17_0"/>
      <w:bookmarkStart w:id="749" w:name="Tc_uZaWUS-2vEmXNmE8uJSgOw_16_0"/>
      <w:bookmarkStart w:id="750" w:name="Tc_xLZzYQk8v0OTMRnIJvCmIQ_15_11"/>
      <w:bookmarkStart w:id="751" w:name="Tc_wRnVaxvUAEOCcUUZtn-69w_15_8"/>
      <w:bookmarkStart w:id="752" w:name="Tc_5JMv8fDgJ0yYqkYVaqr0TQ_15_6"/>
      <w:bookmarkStart w:id="753" w:name="Tc_bF2OW9lLlU-2iGrs235cOg_15_5"/>
      <w:bookmarkStart w:id="754" w:name="Tc_2vkWIxen5UeNFGhwEvvL2g_15_2"/>
      <w:bookmarkStart w:id="755" w:name="Tc_7ztFu3CnZk61cqfKFSKp6g_15_0"/>
      <w:bookmarkStart w:id="756" w:name="Tc_QhXmG8dACUKSsg3FEjF7ZA_14_11"/>
      <w:bookmarkStart w:id="757" w:name="Tc_mZyICG7TlEiKmXXSXsUJNQ_14_8"/>
      <w:bookmarkStart w:id="758" w:name="Tc_JXWGZ8kzIUqP9PgRN1YckQ_14_6"/>
      <w:bookmarkStart w:id="759" w:name="Tc_x5EwmvdpcEqBZPDTYpdt9w_14_5"/>
      <w:bookmarkStart w:id="760" w:name="Tc_FjiXexNNKEujoWJwdx0m-Q_14_2"/>
      <w:bookmarkStart w:id="761" w:name="Tc_H72ypU3PSEGTV9t87bh-gA_14_0"/>
      <w:bookmarkStart w:id="762" w:name="Tc_bO_bomUMHE-NW8Mvk_Yv-w_13_6"/>
      <w:bookmarkStart w:id="763" w:name="Tc_IJ4WLa78REOWAkxxmsfYOw_13_0"/>
      <w:bookmarkStart w:id="764" w:name="Tc_3h_8cUFYL0-2eeWKL7gLRg_12_11"/>
      <w:bookmarkStart w:id="765" w:name="Tc_gTopoJvZq0e39B2tC3rRsw_12_8"/>
      <w:bookmarkStart w:id="766" w:name="Tc_NKFianIdPUO_4ElFuWUqLQ_12_6"/>
      <w:bookmarkStart w:id="767" w:name="Tc_GUq6cqV_lkG1kEevJEkGEg_12_5"/>
      <w:bookmarkStart w:id="768" w:name="Tc_Cb64fa95G0iOjAgudpBhFg_12_2"/>
      <w:bookmarkStart w:id="769" w:name="Tc_GcHgvhvuqEmbepE_nKn50Q_12_0"/>
      <w:bookmarkStart w:id="770" w:name="Tc_FX7KuoXQ3EOZehb0eQQD0Q_11_0"/>
      <w:bookmarkStart w:id="771" w:name="Tc_0A7oKEwTM02KzVtGLesUMg_10_11"/>
      <w:bookmarkStart w:id="772" w:name="Tc_rEJgmWV5YEaM95ddpYBCPQ_10_8"/>
      <w:bookmarkStart w:id="773" w:name="Tc_APNaSe0LnE6JdJYYydRT6A_10_6"/>
      <w:bookmarkStart w:id="774" w:name="Tc_omo0KN_K006SnUYmysovzw_10_5"/>
      <w:bookmarkStart w:id="775" w:name="Tc_NImjdm_cCU6d5ADhUoLzaQ_10_2"/>
      <w:bookmarkStart w:id="776" w:name="Tc_uY7remrtv0CCLBe1sYgNaA_10_0"/>
      <w:bookmarkStart w:id="777" w:name="Tc_4yO_3n8sCUWCZ1g4DWdKfQ_9_6"/>
      <w:bookmarkStart w:id="778" w:name="Tc_LLF39vt_ZkmYlKqKu0tdyg_9_0"/>
      <w:bookmarkStart w:id="779" w:name="Tc_goV6LLOPGU-PZYE7Cdjxrw_8_11"/>
      <w:bookmarkStart w:id="780" w:name="Tc_g8Ed44VlKEOrGOk-z6svRg_8_8"/>
      <w:bookmarkStart w:id="781" w:name="Tc_OsbkZfX6e0ylczw4bzWW7w_8_6"/>
      <w:bookmarkStart w:id="782" w:name="Tc_TbJfePCtOUmQTM7gjht_Yg_8_5"/>
      <w:bookmarkStart w:id="783" w:name="Tc_oDd1P3adZkmilMmZwpyW2Q_8_2"/>
      <w:bookmarkStart w:id="784" w:name="Tc_HzJWgCrmRUKAkYtSopK8Vw_8_0"/>
      <w:bookmarkStart w:id="785" w:name="Tc_fP7prwr9dkiz1ekVJPvdkg_7_0"/>
      <w:bookmarkStart w:id="786" w:name="Tc_ubIItBjytECBb4Kg1GtSRQ_6_0"/>
      <w:bookmarkStart w:id="787" w:name="Tc_1Oswj-H190GpFFDVc4_81A_5_0"/>
      <w:bookmarkStart w:id="788" w:name="Tc_0C2VMf-BVke9_HfkyxTLWA_4_2"/>
      <w:bookmarkStart w:id="789" w:name="Tc_zGPCW_-etE6TOVv4Uog6AQ_3_11"/>
      <w:bookmarkStart w:id="790" w:name="Tc_IyUKwk1kVk2rJnNQta9_VA_3_8"/>
      <w:bookmarkStart w:id="791" w:name="Tc_5sdjbYdDOEuRIa_xniXgbg_3_5"/>
      <w:bookmarkStart w:id="792" w:name="Tc_RNf7Rjj_Lkq8Itg6hqKGSw_3_2"/>
      <w:bookmarkStart w:id="793" w:name="Tc_k0xhpS2A3U-KkT9mDXM1Vw_2_11"/>
      <w:bookmarkStart w:id="794" w:name="Tc_HZqKwgD5uUumo4IE0zJ5_Q_2_8"/>
      <w:bookmarkStart w:id="795" w:name="Tc_7L5RjGNop0KVBbgIRlPBlA_2_5"/>
      <w:bookmarkStart w:id="796" w:name="Tc_CSbG-R2sIEidYQAQkzT-zA_2_2"/>
      <w:bookmarkStart w:id="797" w:name="Tc_qPwT3cP4h0C3KV0AAM7fVQ_1_8"/>
      <w:bookmarkStart w:id="798" w:name="Tc_o4c_P7WJmEiWZTfax7uMKA_1_5"/>
      <w:bookmarkStart w:id="799" w:name="_d2cf1977_b18f_46d6_9240_ec9d8fb9a880"/>
      <w:bookmarkStart w:id="800" w:name="_75967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Fonts w:ascii="Times New Roman;Times;serif" w:hAnsi="Times New Roman;Times;serif"/>
          <w:b/>
          <w:sz w:val="20"/>
        </w:rPr>
        <w:t>(5) Marketable Securities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spacing w:before="0" w:after="0"/>
        <w:ind w:left="0" w:right="0" w:hanging="0"/>
        <w:rPr/>
      </w:pPr>
      <w:r>
        <w:rPr/>
        <w:t>​</w:t>
      </w:r>
    </w:p>
    <w:tbl>
      <w:tblPr>
        <w:tblW w:w="9306" w:type="dxa"/>
        <w:jc w:val="left"/>
        <w:tblInd w:w="0" w:type="dxa"/>
        <w:tblCellMar>
          <w:top w:w="0" w:type="dxa"/>
          <w:left w:w="0" w:type="dxa"/>
          <w:bottom w:w="0" w:type="dxa"/>
          <w:right w:w="0" w:type="dxa"/>
        </w:tblCellMar>
      </w:tblPr>
      <w:tblGrid>
        <w:gridCol w:w="4141"/>
        <w:gridCol w:w="326"/>
        <w:gridCol w:w="211"/>
        <w:gridCol w:w="781"/>
        <w:gridCol w:w="326"/>
        <w:gridCol w:w="335"/>
        <w:gridCol w:w="551"/>
        <w:gridCol w:w="326"/>
        <w:gridCol w:w="270"/>
        <w:gridCol w:w="616"/>
        <w:gridCol w:w="326"/>
        <w:gridCol w:w="211"/>
        <w:gridCol w:w="886"/>
      </w:tblGrid>
      <w:tr>
        <w:trPr/>
        <w:tc>
          <w:tcPr>
            <w:tcW w:w="4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629535" cy="175260"/>
                      <wp:effectExtent l="0" t="0" r="0" b="0"/>
                      <wp:wrapNone/>
                      <wp:docPr id="182" name="Frame181"/>
                      <a:graphic xmlns:a="http://schemas.openxmlformats.org/drawingml/2006/main">
                        <a:graphicData uri="http://schemas.microsoft.com/office/word/2010/wordprocessingShape">
                          <wps:wsp>
                            <wps:cNvSpPr txBox="1"/>
                            <wps:spPr>
                              <a:xfrm>
                                <a:off x="0" y="0"/>
                                <a:ext cx="2629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5" name="Frame18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2725" cy="175260"/>
                      <wp:effectExtent l="0" t="0" r="0" b="0"/>
                      <wp:wrapNone/>
                      <wp:docPr id="187" name="Frame186"/>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49885" cy="175260"/>
                      <wp:effectExtent l="0" t="0" r="0" b="0"/>
                      <wp:wrapNone/>
                      <wp:docPr id="188" name="Frame187"/>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1450" cy="175260"/>
                      <wp:effectExtent l="0" t="0" r="0" b="0"/>
                      <wp:wrapNone/>
                      <wp:docPr id="190" name="Frame189"/>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91160" cy="175260"/>
                      <wp:effectExtent l="0" t="0" r="0" b="0"/>
                      <wp:wrapNone/>
                      <wp:docPr id="191" name="Frame190"/>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62610" cy="175260"/>
                      <wp:effectExtent l="0" t="0" r="0" b="0"/>
                      <wp:wrapNone/>
                      <wp:docPr id="194" name="Frame19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9306"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39"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December 31, 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and municipal obligations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80,674</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80,541</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51,319</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51,135</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131,993</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131,676</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170,034</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170,006</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67,782</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67,425</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237,816</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237,431</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369,809</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369,107</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December 31, 2020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and municipal obligations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40,328</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40,329</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40,328</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40,329</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110,265</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110,257</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110,265</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110,257</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150,593</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150,586</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holds investment grade marketable securities, and none were considered to be other-than-temporarily impaired as of December 31, 2021. Marketable securities include $1.3 million and $0.2 million in accrued interest at December 31, 2021 and December 31, 2020,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801" w:name="Tc_GhJuQ1BHaEmwFBPltnJ2-g_11_5"/>
      <w:bookmarkStart w:id="802" w:name="Tc_7i0QHo3rlEunou1T3jVwgA_11_2"/>
      <w:bookmarkStart w:id="803" w:name="Tc_u0blyDuuaE6Z91-PNwGGcg_11_0"/>
      <w:bookmarkStart w:id="804" w:name="Tc_O9n3yvvTlEiesvBgrlbbQg_10_0"/>
      <w:bookmarkStart w:id="805" w:name="Tc_40uJBuVHq0-vcmxmQlH3_w_9_0"/>
      <w:bookmarkStart w:id="806" w:name="Tc_WplLxTQMy0GJhuism0zBVg_8_0"/>
      <w:bookmarkStart w:id="807" w:name="Tc_JfNdgSKunkWLDkxnps2Ufg_7_0"/>
      <w:bookmarkStart w:id="808" w:name="Tc_UZrsFa7AcUWwI9CGfsvtEw_6_0"/>
      <w:bookmarkStart w:id="809" w:name="Tc_kScCajwPJUSqeruK6GygzQ_5_0"/>
      <w:bookmarkStart w:id="810" w:name="Tc_aauRj4RL1U6v7ZW3WSZSvA_4_5"/>
      <w:bookmarkStart w:id="811" w:name="Tc_3SVMyrolJk-ZSakMIgKTNw_4_2"/>
      <w:bookmarkStart w:id="812" w:name="Tc_BM0EsntjqEi_bfSFvVWFyw_4_0"/>
      <w:bookmarkStart w:id="813" w:name="Tc_UXci63gqFEKYHlDci_Otew_3_2"/>
      <w:bookmarkStart w:id="814" w:name="Tc_ZgfTWtfkgEmpcNurNHUF6A_2_5"/>
      <w:bookmarkStart w:id="815" w:name="Tc_Q_BAe-n5GkqXe4a-hqKrUw_2_2"/>
      <w:bookmarkStart w:id="816" w:name="Tc_81K6NStCe0C1jbq_x0A4yw_1_5"/>
      <w:bookmarkStart w:id="817" w:name="Tc_rE50PdvTBka2bTcxf5zQiA_1_2"/>
      <w:bookmarkStart w:id="818" w:name="_8af6faad_c420_4b7d_aef8_b87ed9e75823"/>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b/>
          <w:sz w:val="20"/>
        </w:rPr>
        <w:t>(6) Property and Equipment, Net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Property and Equipment, net includes the following:</w:t>
      </w:r>
    </w:p>
    <w:p>
      <w:pPr>
        <w:pStyle w:val="TextBody"/>
        <w:spacing w:before="0" w:after="0"/>
        <w:ind w:left="0" w:right="0" w:hanging="0"/>
        <w:rPr/>
      </w:pPr>
      <w:r>
        <w:rPr/>
        <w:t>​</w:t>
      </w:r>
    </w:p>
    <w:tbl>
      <w:tblPr>
        <w:tblW w:w="7088" w:type="dxa"/>
        <w:jc w:val="left"/>
        <w:tblInd w:w="0" w:type="dxa"/>
        <w:tblCellMar>
          <w:top w:w="0" w:type="dxa"/>
          <w:left w:w="0" w:type="dxa"/>
          <w:bottom w:w="0" w:type="dxa"/>
          <w:right w:w="0" w:type="dxa"/>
        </w:tblCellMar>
      </w:tblPr>
      <w:tblGrid>
        <w:gridCol w:w="4111"/>
        <w:gridCol w:w="326"/>
        <w:gridCol w:w="254"/>
        <w:gridCol w:w="886"/>
        <w:gridCol w:w="326"/>
        <w:gridCol w:w="252"/>
        <w:gridCol w:w="933"/>
      </w:tblGrid>
      <w:tr>
        <w:trPr/>
        <w:tc>
          <w:tcPr>
            <w:tcW w:w="4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610485" cy="175260"/>
                      <wp:effectExtent l="0" t="0" r="0" b="0"/>
                      <wp:wrapNone/>
                      <wp:docPr id="195" name="Frame194"/>
                      <a:graphic xmlns:a="http://schemas.openxmlformats.org/drawingml/2006/main">
                        <a:graphicData uri="http://schemas.microsoft.com/office/word/2010/wordprocessingShape">
                          <wps:wsp>
                            <wps:cNvSpPr txBox="1"/>
                            <wps:spPr>
                              <a:xfrm>
                                <a:off x="0" y="0"/>
                                <a:ext cx="2610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1290" cy="175260"/>
                      <wp:effectExtent l="0" t="0" r="0" b="0"/>
                      <wp:wrapNone/>
                      <wp:docPr id="197" name="Frame196"/>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62610" cy="175260"/>
                      <wp:effectExtent l="0" t="0" r="0" b="0"/>
                      <wp:wrapNone/>
                      <wp:docPr id="198" name="Frame19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0020" cy="175260"/>
                      <wp:effectExtent l="0" t="0" r="0" b="0"/>
                      <wp:wrapNone/>
                      <wp:docPr id="200" name="Frame199"/>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2455" cy="175260"/>
                      <wp:effectExtent l="0" t="0" r="0" b="0"/>
                      <wp:wrapNone/>
                      <wp:docPr id="201" name="Frame200"/>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7088"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5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Laboratory equipment</w:t>
            </w:r>
          </w:p>
        </w:tc>
        <w:tc>
          <w:tcPr>
            <w:tcW w:w="326" w:type="dxa"/>
            <w:tcBorders/>
            <w:shd w:fill="CCEEFF" w:val="clear"/>
            <w:vAlign w:val="center"/>
          </w:tcPr>
          <w:p>
            <w:pPr>
              <w:pStyle w:val="TableContents"/>
              <w:spacing w:before="0" w:after="0"/>
              <w:ind w:left="0" w:right="0" w:hanging="0"/>
              <w:jc w:val="center"/>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326" w:type="dxa"/>
            <w:tcBorders/>
            <w:shd w:fill="CCEEFF" w:val="clear"/>
            <w:vAlign w:val="center"/>
          </w:tcPr>
          <w:p>
            <w:pPr>
              <w:pStyle w:val="TableContents"/>
              <w:spacing w:before="0" w:after="0"/>
              <w:ind w:left="0" w:right="0" w:hanging="0"/>
              <w:jc w:val="center"/>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8,566</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Manufacturing equipment</w:t>
            </w:r>
          </w:p>
        </w:tc>
        <w:tc>
          <w:tcPr>
            <w:tcW w:w="326" w:type="dxa"/>
            <w:tcBorders/>
            <w:shd w:fill="auto" w:val="clear"/>
            <w:vAlign w:val="center"/>
          </w:tcPr>
          <w:p>
            <w:pPr>
              <w:pStyle w:val="TableContents"/>
              <w:spacing w:before="0" w:after="0"/>
              <w:ind w:left="0" w:right="0" w:hanging="0"/>
              <w:rPr/>
            </w:pPr>
            <w:r>
              <w:rPr/>
              <w:t> </w:t>
            </w:r>
          </w:p>
        </w:tc>
        <w:tc>
          <w:tcPr>
            <w:tcW w:w="254"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c>
          <w:tcPr>
            <w:tcW w:w="326" w:type="dxa"/>
            <w:tcBorders/>
            <w:shd w:fill="auto" w:val="clear"/>
            <w:vAlign w:val="center"/>
          </w:tcPr>
          <w:p>
            <w:pPr>
              <w:pStyle w:val="TableContents"/>
              <w:spacing w:before="0" w:after="0"/>
              <w:ind w:left="0" w:right="0" w:hanging="0"/>
              <w:rPr/>
            </w:pPr>
            <w:r>
              <w:rPr/>
              <w:t> </w:t>
            </w:r>
          </w:p>
        </w:tc>
        <w:tc>
          <w:tcPr>
            <w:tcW w:w="252" w:type="dxa"/>
            <w:tcBorders/>
            <w:shd w:fill="auto" w:val="clear"/>
            <w:vAlign w:val="center"/>
          </w:tcPr>
          <w:p>
            <w:pPr>
              <w:pStyle w:val="TableContents"/>
              <w:spacing w:before="0" w:after="0"/>
              <w:ind w:left="0" w:right="0" w:hanging="0"/>
              <w:jc w:val="right"/>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CCEEFF" w:val="clear"/>
            <w:vAlign w:val="center"/>
          </w:tcPr>
          <w:p>
            <w:pPr>
              <w:pStyle w:val="TableContents"/>
              <w:spacing w:before="0" w:after="0"/>
              <w:ind w:left="0" w:right="0" w:hanging="0"/>
              <w:rPr/>
            </w:pPr>
            <w:r>
              <w:rPr/>
              <w:t> </w:t>
            </w:r>
          </w:p>
        </w:tc>
        <w:tc>
          <w:tcPr>
            <w:tcW w:w="254" w:type="dxa"/>
            <w:tcBorders/>
            <w:shd w:fill="CCEEFF" w:val="clear"/>
            <w:vAlign w:val="center"/>
          </w:tcPr>
          <w:p>
            <w:pPr>
              <w:pStyle w:val="TableContents"/>
              <w:spacing w:before="0" w:after="0"/>
              <w:ind w:left="0" w:right="0" w:hanging="0"/>
              <w:jc w:val="right"/>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3,362</w:t>
            </w:r>
          </w:p>
        </w:tc>
        <w:tc>
          <w:tcPr>
            <w:tcW w:w="326"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jc w:val="right"/>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 </w:t>
            </w:r>
          </w:p>
        </w:tc>
        <w:tc>
          <w:tcPr>
            <w:tcW w:w="254"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9,531</w:t>
            </w:r>
          </w:p>
        </w:tc>
        <w:tc>
          <w:tcPr>
            <w:tcW w:w="326" w:type="dxa"/>
            <w:tcBorders/>
            <w:shd w:fill="auto" w:val="clear"/>
            <w:vAlign w:val="center"/>
          </w:tcPr>
          <w:p>
            <w:pPr>
              <w:pStyle w:val="TableContents"/>
              <w:spacing w:before="0" w:after="0"/>
              <w:ind w:left="0" w:right="0" w:hanging="0"/>
              <w:rPr/>
            </w:pPr>
            <w:r>
              <w:rPr/>
              <w:t> </w:t>
            </w:r>
          </w:p>
        </w:tc>
        <w:tc>
          <w:tcPr>
            <w:tcW w:w="252" w:type="dxa"/>
            <w:tcBorders/>
            <w:shd w:fill="auto" w:val="clear"/>
            <w:vAlign w:val="center"/>
          </w:tcPr>
          <w:p>
            <w:pPr>
              <w:pStyle w:val="TableContents"/>
              <w:spacing w:before="0" w:after="0"/>
              <w:ind w:left="0" w:right="0" w:hanging="0"/>
              <w:jc w:val="right"/>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10,103</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spacing w:before="0" w:after="0"/>
              <w:ind w:left="0" w:right="0" w:hanging="0"/>
              <w:rPr/>
            </w:pPr>
            <w:r>
              <w:rPr/>
              <w:t> </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shd w:fill="CCEEFF" w:val="clear"/>
            <w:vAlign w:val="center"/>
          </w:tcPr>
          <w:p>
            <w:pPr>
              <w:pStyle w:val="TableContents"/>
              <w:spacing w:before="0" w:after="0"/>
              <w:ind w:left="0" w:right="0" w:hanging="0"/>
              <w:rPr/>
            </w:pPr>
            <w:r>
              <w:rPr/>
              <w:t> </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auto" w:val="clear"/>
            <w:vAlign w:val="center"/>
          </w:tcPr>
          <w:p>
            <w:pPr>
              <w:pStyle w:val="TableContents"/>
              <w:spacing w:before="0" w:after="0"/>
              <w:ind w:left="0" w:right="0" w:hanging="0"/>
              <w:rPr/>
            </w:pPr>
            <w:r>
              <w:rPr/>
              <w:t> </w:t>
            </w:r>
          </w:p>
        </w:tc>
        <w:tc>
          <w:tcPr>
            <w:tcW w:w="254"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24,677</w:t>
            </w:r>
          </w:p>
        </w:tc>
        <w:tc>
          <w:tcPr>
            <w:tcW w:w="326" w:type="dxa"/>
            <w:tcBorders/>
            <w:shd w:fill="auto" w:val="clear"/>
            <w:vAlign w:val="center"/>
          </w:tcPr>
          <w:p>
            <w:pPr>
              <w:pStyle w:val="TableContents"/>
              <w:spacing w:before="0" w:after="0"/>
              <w:ind w:left="0" w:right="0" w:hanging="0"/>
              <w:rPr/>
            </w:pPr>
            <w:r>
              <w:rPr/>
              <w:t> </w:t>
            </w:r>
          </w:p>
        </w:tc>
        <w:tc>
          <w:tcPr>
            <w:tcW w:w="252" w:type="dxa"/>
            <w:tcBorders/>
            <w:shd w:fill="auto" w:val="clear"/>
            <w:vAlign w:val="center"/>
          </w:tcPr>
          <w:p>
            <w:pPr>
              <w:pStyle w:val="TableContents"/>
              <w:spacing w:before="0" w:after="0"/>
              <w:ind w:left="0" w:right="0" w:hanging="0"/>
              <w:jc w:val="right"/>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25,052</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spacing w:before="0" w:after="0"/>
              <w:ind w:left="0" w:right="0" w:hanging="0"/>
              <w:rPr/>
            </w:pPr>
            <w:r>
              <w:rPr/>
              <w:t> </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(21,126)</w:t>
            </w:r>
          </w:p>
        </w:tc>
        <w:tc>
          <w:tcPr>
            <w:tcW w:w="326" w:type="dxa"/>
            <w:tcBorders/>
            <w:shd w:fill="CCEEFF" w:val="clear"/>
            <w:vAlign w:val="center"/>
          </w:tcPr>
          <w:p>
            <w:pPr>
              <w:pStyle w:val="TableContents"/>
              <w:spacing w:before="0" w:after="0"/>
              <w:ind w:left="0" w:right="0" w:hanging="0"/>
              <w:rPr/>
            </w:pPr>
            <w:r>
              <w:rPr/>
              <w:t> </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3,815</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Depreciation and amortization expense related to property and equipment was $1.6 million, $2.0 million and $2.7 million for the years ended December 31, 2021, 2020 and 2019,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bookmarkStart w:id="819" w:name="Tc_d112TG8dNEmqFWZ--uoYtA_6_2"/>
      <w:bookmarkStart w:id="820" w:name="Tc_LzKfFt-sPke0zXWj6bKdIw_6_0"/>
      <w:bookmarkStart w:id="821" w:name="Tc_kUI1xIqMVUetoQj6T0eNwg_5_0"/>
      <w:bookmarkStart w:id="822" w:name="Tc_VAKex895a0eCX1cvMTolVg_4_0"/>
      <w:bookmarkStart w:id="823" w:name="Tc_x39NzVjXdkiaxEtrhTDAeA_3_0"/>
      <w:bookmarkStart w:id="824" w:name="Tc_er-LO6exJkexGeDn21BZWA_2_0"/>
      <w:bookmarkStart w:id="825" w:name="Tc_yCjx_ZhnP0egRib2Y0NCjA_1_2"/>
      <w:bookmarkStart w:id="826" w:name="Tc_GHvC9Ntpd0qSUMovhmu8wA_1_0"/>
      <w:bookmarkStart w:id="827" w:name="_d3303bfd_2e9e_4eed_b0c3_889c023669d2"/>
      <w:bookmarkStart w:id="828" w:name="Narr_Jl6cmHD1i0SsRdZWT_UXuA"/>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b/>
          <w:sz w:val="20"/>
        </w:rPr>
        <w:t>(7)</w:t>
      </w:r>
      <w:r>
        <w:rPr>
          <w:rFonts w:ascii="Times New Roman;Times;serif" w:hAnsi="Times New Roman;Times;serif"/>
          <w:sz w:val="20"/>
        </w:rPr>
        <w:t xml:space="preserve"> </w:t>
      </w:r>
      <w:r>
        <w:rPr>
          <w:rFonts w:ascii="Times New Roman;Times;serif" w:hAnsi="Times New Roman;Times;serif"/>
          <w:b/>
          <w:sz w:val="20"/>
        </w:rPr>
        <w:t>Leases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Company has operating leases of office, manufacturing and laboratory space, which have remaining lease terms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and may include one or more options to renew or terminate early.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During the years ended December 31, 2021 and 2020, the Company recorded </w:t>
      </w:r>
      <w:r>
        <w:rPr>
          <w:rFonts w:ascii="Times New Roman;Times;serif" w:hAnsi="Times New Roman;Times;serif"/>
          <w:b w:val="false"/>
          <w:i w:val="false"/>
          <w:caps w:val="false"/>
          <w:smallCaps w:val="false"/>
          <w:sz w:val="20"/>
        </w:rPr>
        <w:t>right of use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lease liabilities</w:t>
      </w:r>
      <w:r>
        <w:rPr>
          <w:rFonts w:ascii="Times New Roman;Times;serif" w:hAnsi="Times New Roman;Times;serif"/>
          <w:sz w:val="20"/>
        </w:rPr>
        <w:t xml:space="preserve"> of $1.0 million and $1.9 million related to new leases and lease extensions, respectively. During the first quarter of 2019, the Company amended its Hampton, New Jersey lease to eliminate 16,200 square feet of space and extend the remaining 33,400 square feet of space for an additional five-year term with an early termination option after three years. This resulted in an increase to the Company’s right-of-use assets and lease liabilities of $1.4 million during the first quarter of 2019 for the initial 3 years related to the amendment.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Operating lease expense was $1.9 million, $2.3 million and $2.5 million for years ended December 31, 2021, 2020 and 2019, respectively. Variable lease expense was $0.7 million, $1.2 million and $1.5 million for years ended December 31, 2021,2020 and 2019, respectively.Cash paid for amounts included in the measurement of operating lease liabilities was $1.8 million and $2.4 million for the years ended December 31, 2021 and 2020, respectively. As of December 31, 2021, the weighted-average remaining lease term was 2 years and the weighted-average discount rate was 10.0%, compared to a weighted-average remaining lease term of 2 years and weighted average discount rate of 10.4% as of December 31, 2020.</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Future minimum lease payments under non-cancellable leases as of December 31, 2021 were as follows:</w:t>
      </w:r>
    </w:p>
    <w:p>
      <w:pPr>
        <w:pStyle w:val="TextBody"/>
        <w:spacing w:before="0" w:after="0"/>
        <w:ind w:left="0" w:right="0" w:hanging="0"/>
        <w:rPr/>
      </w:pPr>
      <w:r>
        <w:rPr/>
        <w:t>​</w:t>
      </w:r>
    </w:p>
    <w:tbl>
      <w:tblPr>
        <w:tblW w:w="4664" w:type="dxa"/>
        <w:jc w:val="left"/>
        <w:tblInd w:w="0" w:type="dxa"/>
        <w:tblCellMar>
          <w:top w:w="0" w:type="dxa"/>
          <w:left w:w="0" w:type="dxa"/>
          <w:bottom w:w="0" w:type="dxa"/>
          <w:right w:w="0" w:type="dxa"/>
        </w:tblCellMar>
      </w:tblPr>
      <w:tblGrid>
        <w:gridCol w:w="3511"/>
        <w:gridCol w:w="266"/>
        <w:gridCol w:w="211"/>
        <w:gridCol w:w="676"/>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29485" cy="175260"/>
                      <wp:effectExtent l="0" t="0" r="0" b="0"/>
                      <wp:wrapNone/>
                      <wp:docPr id="202" name="Frame201"/>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8910" cy="175260"/>
                      <wp:effectExtent l="0" t="0" r="0" b="0"/>
                      <wp:wrapNone/>
                      <wp:docPr id="203" name="Frame20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26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1,269</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266" w:type="dxa"/>
            <w:tcBorders/>
            <w:shd w:fill="auto" w:val="cle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676"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Present value of operating lease liabilities</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3,042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(8) Intangible Assets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Intangible Assets, Net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At December 31, 2021 and 2020, the carrying value of the Company’s indefinite-lived intangible assets was $27.2 million and $30.7 million, respectively. At December 31, 2021, indefinite-lived intangible assets consist of acquired in-process research and development (“IPR&amp;D”) related to the development of the anti-KIT program (including CDX-0159).CDX-0159 is in Phase 1 development. As of December 31, 2021, the IPR&amp;D asset related to the anti-KIT program had not reached technological feasibility nor did the asset have alternative future uses.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During the fourth quarter of 2020, the Company decided that although it had developed promising data for the AxL target within the TAM program, it would focus its efforts on out-licensing opportunities for its TAM program, a broad antibody discovery effort to generate antibodies that modulate the TAM family of RTKs, comprised of Tyro3, AxL and MerTK. As a result, the Company evaluated the TAM program IPR&amp;D asset for potential impairment due to the change in projected development and regulatory timelines related to the program. The Company used a discounted cash flow fair value model and recorded a non-cash partial impairment charge of $14.5 million for the fourth quarter of 2020. During the third quarter of 2021, the Company evaluated its out-licensing progress since December 31, 2020 and the status and expectation for the TAM program. Despite the Company’s efforts to out-license, there was a lack of interest in the program from third parties. Therefore, the Company evaluated the TAM program IPR&amp;D asset for potential impairment using a discounted cash flow fair value model and concluded that the TAM IPR&amp;D asset was fully impaired. A non-cash impairment charge of $3.5 million was recorded for the third quarter of 2021. The Company evaluated the CDX-3379 IPR&amp;D asset for potential impairment as a result of the discontinuation of the CDX-3379 program in the second quarter of 2020. The Company concluded that the CDX-3379 IPR&amp;D asset was fully impaired, and a non-cash impairment charge of $3.5 million was recorded during the second quarter of 2020. The Company performed its annual impairment test of the remaining IPR&amp;D asset during the fourth quarter of 2021 and concluded that the IPR&amp;D asset related to the development of the anti-KIT program (including CDX-0159) was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29" w:name="Tc_YOmlCpkuFEK3izBf08nyVw_8_5"/>
      <w:bookmarkStart w:id="830" w:name="Tc__Q_DRMf5G027AwCW_pm4Hg_8_2"/>
      <w:bookmarkStart w:id="831" w:name="Tc_LKSmq41yw0CtOk7TJkT_BA_7_0"/>
      <w:bookmarkStart w:id="832" w:name="Tc_1U01rD1ZmkyTxwwiWR_TyA_6_0"/>
      <w:bookmarkStart w:id="833" w:name="Tc_7k61KjF-JE-AocKP0CjPtg_5_0"/>
      <w:bookmarkStart w:id="834" w:name="Tc_K129tLQhj0SVILMTQbMoQg_4_5"/>
      <w:bookmarkStart w:id="835" w:name="Tc_3T6tlurTwkKQQ7HoSYQZYg_4_2"/>
      <w:bookmarkStart w:id="836" w:name="Tc_03CxcQ86oEGYgBW8Y2plEQ_4_0"/>
      <w:bookmarkStart w:id="837" w:name="Tc_jOh4wH9lrEa0rCgQVusrqg_3_2"/>
      <w:bookmarkStart w:id="838" w:name="Tc_f4ZDtSX3dEqaAShKgKXewg_2_5"/>
      <w:bookmarkStart w:id="839" w:name="Tc_3SBUXn-iQE6U6Ymf-ULZTA_2_2"/>
      <w:bookmarkStart w:id="840" w:name="Tc_0QHh0AVM70y6cvdLflB0Dw_1_5"/>
      <w:bookmarkStart w:id="841" w:name="Tc_bsHBiHwUAEKzYTR1z3TCSQ_1_2"/>
      <w:bookmarkStart w:id="842" w:name="_d0621695_a181_47fe_95bb_727862d89c21"/>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r>
        <w:rPr>
          <w:rFonts w:ascii="Times New Roman;Times;serif" w:hAnsi="Times New Roman;Times;serif"/>
          <w:b/>
          <w:sz w:val="20"/>
        </w:rPr>
        <w:t>(9) Accrued Expenses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Accrued expenses include the following: </w:t>
      </w:r>
    </w:p>
    <w:p>
      <w:pPr>
        <w:pStyle w:val="TextBody"/>
        <w:spacing w:before="0" w:after="0"/>
        <w:ind w:left="0" w:right="0" w:hanging="0"/>
        <w:rPr/>
      </w:pPr>
      <w:r>
        <w:rPr/>
        <w:t>​</w:t>
      </w:r>
    </w:p>
    <w:tbl>
      <w:tblPr>
        <w:tblW w:w="6998" w:type="dxa"/>
        <w:jc w:val="left"/>
        <w:tblInd w:w="0" w:type="dxa"/>
        <w:tblCellMar>
          <w:top w:w="0" w:type="dxa"/>
          <w:left w:w="0" w:type="dxa"/>
          <w:bottom w:w="0" w:type="dxa"/>
          <w:right w:w="0" w:type="dxa"/>
        </w:tblCellMar>
      </w:tblPr>
      <w:tblGrid>
        <w:gridCol w:w="4111"/>
        <w:gridCol w:w="326"/>
        <w:gridCol w:w="260"/>
        <w:gridCol w:w="835"/>
        <w:gridCol w:w="326"/>
        <w:gridCol w:w="270"/>
        <w:gridCol w:w="870"/>
      </w:tblGrid>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5100" cy="175260"/>
                      <wp:effectExtent l="0" t="0" r="0" b="0"/>
                      <wp:wrapNone/>
                      <wp:docPr id="207" name="Frame206"/>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30225" cy="175260"/>
                      <wp:effectExtent l="0" t="0" r="0" b="0"/>
                      <wp:wrapNone/>
                      <wp:docPr id="208" name="Frame20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1450" cy="175260"/>
                      <wp:effectExtent l="0" t="0" r="0" b="0"/>
                      <wp:wrapNone/>
                      <wp:docPr id="210" name="Frame209"/>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52450" cy="175260"/>
                      <wp:effectExtent l="0" t="0" r="0" b="0"/>
                      <wp:wrapNone/>
                      <wp:docPr id="211" name="Frame210"/>
                      <a:graphic xmlns:a="http://schemas.openxmlformats.org/drawingml/2006/main">
                        <a:graphicData uri="http://schemas.microsoft.com/office/word/2010/wordprocessingShape">
                          <wps:wsp>
                            <wps:cNvSpPr txBox="1"/>
                            <wps:spPr>
                              <a:xfrm>
                                <a:off x="0" y="0"/>
                                <a:ext cx="552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6998"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payroll and employee benefits</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6,113</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research and development contract costs</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2,871</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41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8,459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843" w:name="Tc_vb5i4h6pQUap3FDzN4cThw_9_5"/>
      <w:bookmarkStart w:id="844" w:name="Tc_6xF8b6oQCEWzffdRDlLV1g_9_2"/>
      <w:bookmarkStart w:id="845" w:name="Tc_p4grItETL0yhvxAgWnHjlw_9_0"/>
      <w:bookmarkStart w:id="846" w:name="Tc_FXYbAliGiUaujbAOAOF1bA_8_0"/>
      <w:bookmarkStart w:id="847" w:name="Tc_FTv2Udqn00-eH9qbXQ21yw_7_0"/>
      <w:bookmarkStart w:id="848" w:name="Tc_0cojv0jUvkSJdIosUtpn6Q_6_0"/>
      <w:bookmarkStart w:id="849" w:name="Tc_EziheFIPp067y4ry_YWChw_5_0"/>
      <w:bookmarkStart w:id="850" w:name="Tc_0g1OTcAaC0GiKZ1GFbta8w_4_5"/>
      <w:bookmarkStart w:id="851" w:name="Tc_RgLDkpjFKU-1L_iKys1pZA_4_2"/>
      <w:bookmarkStart w:id="852" w:name="Tc_GHITnthXpE-EyhNYyKZQzQ_4_0"/>
      <w:bookmarkStart w:id="853" w:name="Tc_VcIrXS7urE-hE6R5yQzHeg_3_2"/>
      <w:bookmarkStart w:id="854" w:name="Tc_PpxIdzfEbEuK-PLAXk1SVw_2_5"/>
      <w:bookmarkStart w:id="855" w:name="Tc_NvQm5DFpU02asrmWvzNYEg_2_2"/>
      <w:bookmarkStart w:id="856" w:name="Tc_3tJMx_fdw0KBqwRxoWS1bA_1_5"/>
      <w:bookmarkStart w:id="857" w:name="Tc_HeD7Kdq29ki8zi61gXX85g_1_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Times New Roman;Times;serif" w:hAnsi="Times New Roman;Times;serif"/>
          <w:b/>
          <w:sz w:val="20"/>
        </w:rPr>
        <w:t>(10) Other Long-Term Liabilities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spacing w:before="0" w:after="0"/>
        <w:ind w:left="0" w:right="0" w:hanging="0"/>
        <w:rPr/>
      </w:pPr>
      <w:r>
        <w:rPr/>
        <w:t>​</w:t>
      </w:r>
    </w:p>
    <w:tbl>
      <w:tblPr>
        <w:tblW w:w="7463" w:type="dxa"/>
        <w:jc w:val="left"/>
        <w:tblInd w:w="0" w:type="dxa"/>
        <w:tblCellMar>
          <w:top w:w="0" w:type="dxa"/>
          <w:left w:w="0" w:type="dxa"/>
          <w:bottom w:w="0" w:type="dxa"/>
          <w:right w:w="0" w:type="dxa"/>
        </w:tblCellMar>
      </w:tblPr>
      <w:tblGrid>
        <w:gridCol w:w="4486"/>
        <w:gridCol w:w="326"/>
        <w:gridCol w:w="285"/>
        <w:gridCol w:w="855"/>
        <w:gridCol w:w="326"/>
        <w:gridCol w:w="252"/>
        <w:gridCol w:w="933"/>
      </w:tblGrid>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80975" cy="175260"/>
                      <wp:effectExtent l="0" t="0" r="0" b="0"/>
                      <wp:wrapNone/>
                      <wp:docPr id="213" name="Frame212"/>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42925" cy="175260"/>
                      <wp:effectExtent l="0" t="0" r="0" b="0"/>
                      <wp:wrapNone/>
                      <wp:docPr id="214" name="Frame213"/>
                      <a:graphic xmlns:a="http://schemas.openxmlformats.org/drawingml/2006/main">
                        <a:graphicData uri="http://schemas.microsoft.com/office/word/2010/wordprocessingShape">
                          <wps:wsp>
                            <wps:cNvSpPr txBox="1"/>
                            <wps:spPr>
                              <a:xfrm>
                                <a:off x="0" y="0"/>
                                <a:ext cx="542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0020" cy="175260"/>
                      <wp:effectExtent l="0" t="0" r="0" b="0"/>
                      <wp:wrapNone/>
                      <wp:docPr id="216" name="Frame215"/>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2455" cy="175260"/>
                      <wp:effectExtent l="0" t="0" r="0" b="0"/>
                      <wp:wrapNone/>
                      <wp:docPr id="217" name="Frame216"/>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746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5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liabilities related to IPR&amp;D (Note 15)</w:t>
            </w:r>
          </w:p>
        </w:tc>
        <w:tc>
          <w:tcPr>
            <w:tcW w:w="326"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Contingent milestones (Note 4)</w:t>
            </w:r>
          </w:p>
        </w:tc>
        <w:tc>
          <w:tcPr>
            <w:tcW w:w="326"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w:t>
            </w:r>
          </w:p>
        </w:tc>
        <w:tc>
          <w:tcPr>
            <w:tcW w:w="8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(Note 13)</w:t>
            </w:r>
          </w:p>
        </w:tc>
        <w:tc>
          <w:tcPr>
            <w:tcW w:w="326"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3,386</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w:t>
            </w:r>
          </w:p>
        </w:tc>
        <w:tc>
          <w:tcPr>
            <w:tcW w:w="8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8,908</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13,493</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(3,372)</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portion</w:t>
            </w:r>
          </w:p>
        </w:tc>
        <w:tc>
          <w:tcPr>
            <w:tcW w:w="326" w:type="dxa"/>
            <w:tcBorders/>
            <w:shd w:fill="auto" w:val="clear"/>
            <w:vAlign w:val="center"/>
          </w:tcPr>
          <w:p>
            <w:pPr>
              <w:pStyle w:val="TableContents"/>
              <w:spacing w:before="0" w:after="0"/>
              <w:ind w:left="0" w:right="0" w:hanging="0"/>
              <w:rPr/>
            </w:pPr>
            <w:r>
              <w:rPr/>
              <w:t>​</w:t>
            </w:r>
          </w:p>
        </w:tc>
        <w:tc>
          <w:tcPr>
            <w:tcW w:w="28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7,354</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10,121</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November 2015, the Company received approval from the New Jersey Economic Development Authority and agreed to sell New Jersey tax benefits of $9.8 million to an independent third party for $9.2 million. Under the agreement, the Company must maintain a base of operations in New Jersey for five years or the tax benefits must be paid back on a pro-rata basis based on the number of years completed. No revenue was recorded related to the sale of these tax benefits during the year ended December 31, 2021. During the years ended December 31, 2020 and 2019, the Company recorded $1.8 million and $2.4 million to other income related to the sale of these tax benefits,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(11) Stockholders’ Equity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Common Stock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2020, the Company filed an automatic shelf registration statement with the Securities and Exchange Commission to register for sale any combination of the types of securities described in the shelf registration statement.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May 2016, the Company entered into a controlled equity offering sales agreement (the “Cantor Agreement”) with Cantor Fitzgerald &amp; Co. (“Cantor”) to allow the Company to issue and sell shares of its common stock from time to time through Cantor, acting as agent. During the years ended December 31, 2020 and 2019, the Company issued 7.1 million and 5.0 million shares of its common stock, respectively, under the agreement with Cantor resulting in net proceeds to the Company of $29.4 million and $16.2 million, respectively, after deducting commission and offering expenses. At December 31, 2021, the Company had $50.0 million remaining in aggregate gross offering price available under the Company’s November 2020 prospectus.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July 2021, the Company issued 6,845,238 shares of its common stock in an underwritten public offering resulting in net proceeds to the Company of $269.9 million, after deducting underwriting fees and offering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June 2020, the Company issued 15,384,614 shares of its common stock in an underwritten public offering resulting in net proceeds to the Company of $141.4 million, after deducting underwriting fees and offering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Convertible Preferred Stock</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At December 31, 2021,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2021 or 2020.</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858" w:name="Tc_7ssF_3jsLE66jqMcHa1u4g_13_0"/>
      <w:bookmarkStart w:id="859" w:name="Tc_iGDqpm2A90Cxt0oGO6WcQQ_12_4"/>
      <w:bookmarkStart w:id="860" w:name="Tc_L0vwfDgKgEK1ZkDJwnFOZA_12_0"/>
      <w:bookmarkStart w:id="861" w:name="Tc_o8YLXbCD1EWMfftiMSql1g_11_4"/>
      <w:bookmarkStart w:id="862" w:name="Tc_ckkcpH3Ug0G8PUbydTh4CQ_11_0"/>
      <w:bookmarkStart w:id="863" w:name="Tc_1Rqsc2m160aG8ojiWoJG_w_10_4"/>
      <w:bookmarkStart w:id="864" w:name="Tc_TyjBy8huJEucnh2lK5nZ2Q_10_0"/>
      <w:bookmarkStart w:id="865" w:name="Tc_Aq0L3jCGzUKaBQTHQrsWng_9_4"/>
      <w:bookmarkStart w:id="866" w:name="Tc_b-h0Ro9_mU2U4WGxQ8cm8A_9_0"/>
      <w:bookmarkStart w:id="867" w:name="Tc_Y30O_41pHkieEwoev0ktig_8_4"/>
      <w:bookmarkStart w:id="868" w:name="Tc_c2XD1m_p0k2RHQJCCIQBaw_8_0"/>
      <w:bookmarkStart w:id="869" w:name="Tc_B3dRWaqgB0Wwd0GsBuS3QA_7_4"/>
      <w:bookmarkStart w:id="870" w:name="Tc_Hy7Tji5qbUanqhjnBcgkCQ_7_0"/>
      <w:bookmarkStart w:id="871" w:name="Tc_IwgyhrGsb0qjek0xihvb6g_6_4"/>
      <w:bookmarkStart w:id="872" w:name="Tc_yUz1i6Ca-kOf7jmGvH_vVw_6_0"/>
      <w:bookmarkStart w:id="873" w:name="Tc_3eKQJHn_Ek-HCayVDRIUag_5_7"/>
      <w:bookmarkStart w:id="874" w:name="Tc_Oar7Mgkd9EqrhUOlzwjYRw_5_4"/>
      <w:bookmarkStart w:id="875" w:name="Tc_LIobsRZP3kihcnXWUUFQLQ_5_2"/>
      <w:bookmarkStart w:id="876" w:name="Tc_awO6JeqXhU2u7m9UysnHhw_4_7"/>
      <w:bookmarkStart w:id="877" w:name="Tc_Q-2-tQynzkCiy98KyeiSTQ_4_4"/>
      <w:bookmarkStart w:id="878" w:name="Tc_bFkt2Et4xECpV1Bx11Y4sw_3_7"/>
      <w:bookmarkStart w:id="879" w:name="Tc_-CrIGJWcBEGY1OwWXgmrxA_3_4"/>
      <w:bookmarkStart w:id="880" w:name="Tc_ZyYCLSj9a02YID2CZNZYww_2_7"/>
      <w:bookmarkStart w:id="881" w:name="Tc_SWeyU_BPTk2Jq5ESOE5uuQ_2_4"/>
      <w:bookmarkStart w:id="882" w:name="Tc_oBY8l18MRUS3UqL2Pp8RDg_1_7"/>
      <w:bookmarkStart w:id="883" w:name="Tc_4MXBTBg1VkCvHlJzT_P5iA_1_4"/>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Times New Roman;Times;serif" w:hAnsi="Times New Roman;Times;serif"/>
          <w:b/>
          <w:sz w:val="20"/>
        </w:rPr>
        <w:t>(12) Stock-Based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has the following stock-based compensation plans: the 2004 Employee Stock Purchase Plan (the “2004 ESPP Plan”), the 2008 Stock Option and Incentive Plan (the “2008 Plan”) and the 2021 Omnibus Equity Incentive Plan (the “2021 Plan”). There are no shares available for future grant under the 2008 Plan. Outstanding options under the 2008 Plan will be rolled into the 2021 Plan if canceled.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Employee Stock Purchase Plan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At December 31, 2021,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2021, 2020 and 2019, the Company issued 21,867, 39,817 and 3,507 shares under the 2004 ESPP Plan, respectively. At December 31, 2021, 188,475 shares were available for issuance under the 2004 ESPP Plan.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Employee Stock Option Plan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2021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2021 Plan allows for grants of new awards until April 19, 2031. As of December 31, 2021, there were 2,715,457 shares outstanding under the 2008 Plan that will be rolled into the 2021 Plan if canceled.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2021 Plan.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 summary of stock option activity for the year ended December 31, 2021 is as follows:</w:t>
      </w:r>
    </w:p>
    <w:p>
      <w:pPr>
        <w:pStyle w:val="TextBody"/>
        <w:spacing w:before="0" w:after="0"/>
        <w:ind w:left="0" w:right="0" w:hanging="0"/>
        <w:rPr/>
      </w:pPr>
      <w:r>
        <w:rPr/>
        <w:t>​</w:t>
      </w:r>
    </w:p>
    <w:tbl>
      <w:tblPr>
        <w:tblW w:w="8917" w:type="dxa"/>
        <w:jc w:val="left"/>
        <w:tblInd w:w="0" w:type="dxa"/>
        <w:tblCellMar>
          <w:top w:w="0" w:type="dxa"/>
          <w:left w:w="0" w:type="dxa"/>
          <w:bottom w:w="0" w:type="dxa"/>
          <w:right w:w="0" w:type="dxa"/>
        </w:tblCellMar>
      </w:tblPr>
      <w:tblGrid>
        <w:gridCol w:w="4861"/>
        <w:gridCol w:w="326"/>
        <w:gridCol w:w="931"/>
        <w:gridCol w:w="326"/>
        <w:gridCol w:w="222"/>
        <w:gridCol w:w="604"/>
        <w:gridCol w:w="326"/>
        <w:gridCol w:w="1321"/>
      </w:tblGrid>
      <w:tr>
        <w:trPr/>
        <w:tc>
          <w:tcPr>
            <w:tcW w:w="4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91185" cy="175260"/>
                      <wp:effectExtent l="0" t="0" r="0" b="0"/>
                      <wp:wrapNone/>
                      <wp:docPr id="219" name="Frame21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0970" cy="175260"/>
                      <wp:effectExtent l="0" t="0" r="0" b="0"/>
                      <wp:wrapNone/>
                      <wp:docPr id="221" name="Frame220"/>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83540" cy="175260"/>
                      <wp:effectExtent l="0" t="0" r="0" b="0"/>
                      <wp:wrapNone/>
                      <wp:docPr id="222" name="Frame221"/>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38835" cy="175260"/>
                      <wp:effectExtent l="0" t="0" r="0" b="0"/>
                      <wp:wrapNone/>
                      <wp:docPr id="224" name="Frame223"/>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    </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4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4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outstanding at December 31, 2020</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3,042,229</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28.93</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1,383,410</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28.55</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r>
      <w:tr>
        <w:trPr/>
        <w:tc>
          <w:tcPr>
            <w:tcW w:w="4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(259,322)</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rPr/>
            </w:pPr>
            <w:r>
              <w:rPr/>
              <w:t>​</w:t>
            </w:r>
          </w:p>
        </w:tc>
      </w:tr>
      <w:tr>
        <w:trPr/>
        <w:tc>
          <w:tcPr>
            <w:tcW w:w="4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Canceled</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(88,650)</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r>
      <w:tr>
        <w:trPr/>
        <w:tc>
          <w:tcPr>
            <w:tcW w:w="4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outstanding at December 31, 2021</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4,077,667</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30.02</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vested and expected to vest at December 31, 2021</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3,952,611</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30.31</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exercisable at December 31, 2021</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1,483,998</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49.01</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available for grant under the 2021 Plan</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3,304,217</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total intrinsic value of stock options exercised during the years ended December 31, 2021, 2020 and 2019 was $9.4 million, $0.8 million and $0.0 million, respectively. The weighted average grant-date fair value of stock options granted during the years ended December 31, 2021, 2020 and 2019 was $22.16, $8.08 and $2.08, respectively. The total fair value of stock options vested during the years ended December 31, 2021, 2020 and 2019 was $5.9 million, $2.4 million and $4.9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884" w:name="Tc_FylYiTxk_EOeDa8PYpgWsQ_5_0"/>
      <w:bookmarkStart w:id="885" w:name="Tc_J8c1wjAT-0mcJRJLNaG6tg_4_6"/>
      <w:bookmarkStart w:id="886" w:name="Tc_HY3VuHpZW0K_cZLQC_8Tdg_4_4"/>
      <w:bookmarkStart w:id="887" w:name="Tc_b0AU5E9pIUSg9Nz4mu1RZw_4_2"/>
      <w:bookmarkStart w:id="888" w:name="Tc_cQ6sPhhQ80yCAsy3zDMuzA_4_0"/>
      <w:bookmarkStart w:id="889" w:name="Tc_xvVu8rY3p062KRb74Rd5TQ_3_6"/>
      <w:bookmarkStart w:id="890" w:name="Tc_by-wsq2K6E2G_QtUr90LPQ_3_4"/>
      <w:bookmarkStart w:id="891" w:name="Tc_KIZFMWKDaUa7oTnnPoBkQA_3_2"/>
      <w:bookmarkStart w:id="892" w:name="Tc_1Cv2l7D54UOnKHcwpXBIyA_3_0"/>
      <w:bookmarkStart w:id="893" w:name="Tc_NOJeVEseRka0Rkrvm6t31g_2_6"/>
      <w:bookmarkStart w:id="894" w:name="Tc_wJaYZt6ApEeurkI8fSKDLQ_2_4"/>
      <w:bookmarkStart w:id="895" w:name="Tc_qIwV4WLi8kaz-KEO8JNGtw_2_2"/>
      <w:bookmarkStart w:id="896" w:name="Tc_FgHS5NwMCEuHywEA-SAYAw_2_0"/>
      <w:bookmarkStart w:id="897" w:name="Tc_nIHOyXgEmUaQzbL-i2BGtQ_1_6"/>
      <w:bookmarkStart w:id="898" w:name="Tc_OCdDLcT24EKMUJZ8DHEkUw_1_4"/>
      <w:bookmarkStart w:id="899" w:name="Tc_qE5WQfkeqUu_FFfZjcPbEg_1_2"/>
      <w:bookmarkStart w:id="900" w:name="Tc_RaC8abm-RkyiSLN3lW-5Ag_5_8"/>
      <w:bookmarkStart w:id="901" w:name="Tc_2t1vmLjFwk69WY3oPpM2vQ_5_5"/>
      <w:bookmarkStart w:id="902" w:name="Tc_k64SOQM9LkuF1bUnt7rlmQ_5_2"/>
      <w:bookmarkStart w:id="903" w:name="Tc_XWIY5yKxFE2RDjhjahr--Q_5_0"/>
      <w:bookmarkStart w:id="904" w:name="Tc_QdshIn2FsU2xC5M8JzNhNw_4_0"/>
      <w:bookmarkStart w:id="905" w:name="Tc_d5ehPcncRkeEBs_BJvT-LA_3_8"/>
      <w:bookmarkStart w:id="906" w:name="Tc_64IPlo8Vi0GbhNBMDeb9_A_3_5"/>
      <w:bookmarkStart w:id="907" w:name="Tc_cjhOCrcZcUmz9r3ZKp5E7w_3_2"/>
      <w:bookmarkStart w:id="908" w:name="Tc_nY3aVAs4k0uyXLDG5p_Ikg_3_0"/>
      <w:bookmarkStart w:id="909" w:name="Tc_PT806JQoCU6Oc0tc8u-1rg_2_2"/>
      <w:bookmarkStart w:id="910" w:name="Tc_gY2XOyI8y0-fvdvk5C55sg_1_8"/>
      <w:bookmarkStart w:id="911" w:name="Tc_FsOmkD4Nk06oa1CjouOI0A_1_5"/>
      <w:bookmarkStart w:id="912" w:name="Tc_kT6D8djydEK20JVWJ-bhcg_1_2"/>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r>
        <w:rPr>
          <w:rFonts w:ascii="Times New Roman;Times;serif" w:hAnsi="Times New Roman;Times;serif"/>
          <w:sz w:val="20"/>
        </w:rPr>
        <w:t>The aggregate intrinsic value of stock options outstanding at December 31, 2021 was $84.7 million. The aggregate intrinsic value of stock options vested and expected to vest at December 31, 2021 was $82.4 million. The aggregate intrinsic value of stock options exercisable at December 31, 2021 was $33.7 million. As of December 31, 2021, total compensation cost related to non-vested employee and non-employee director stock options not yet recognized was approximately $31.7 million, net of estimated forfeitures, which is expected to be recognized as expense over a weighted average period of 2.7 years.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Valuation and Expenses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Stock-based compensation expense for the years ended December 31, 2021, 2020 and 2019 was recorded as follows:</w:t>
      </w:r>
    </w:p>
    <w:p>
      <w:pPr>
        <w:pStyle w:val="TextBody"/>
        <w:spacing w:before="0" w:after="0"/>
        <w:ind w:left="0" w:right="0" w:hanging="0"/>
        <w:rPr/>
      </w:pPr>
      <w:r>
        <w:rPr/>
        <w:t>​</w:t>
      </w:r>
    </w:p>
    <w:tbl>
      <w:tblPr>
        <w:tblW w:w="6880" w:type="dxa"/>
        <w:jc w:val="left"/>
        <w:tblInd w:w="0" w:type="dxa"/>
        <w:tblCellMar>
          <w:top w:w="0" w:type="dxa"/>
          <w:left w:w="0" w:type="dxa"/>
          <w:bottom w:w="0" w:type="dxa"/>
          <w:right w:w="0" w:type="dxa"/>
        </w:tblCellMar>
      </w:tblPr>
      <w:tblGrid>
        <w:gridCol w:w="3451"/>
        <w:gridCol w:w="326"/>
        <w:gridCol w:w="211"/>
        <w:gridCol w:w="571"/>
        <w:gridCol w:w="326"/>
        <w:gridCol w:w="211"/>
        <w:gridCol w:w="571"/>
        <w:gridCol w:w="326"/>
        <w:gridCol w:w="211"/>
        <w:gridCol w:w="676"/>
      </w:tblGrid>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62585" cy="175260"/>
                      <wp:effectExtent l="0" t="0" r="0" b="0"/>
                      <wp:wrapNone/>
                      <wp:docPr id="227" name="Frame22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2585" cy="175260"/>
                      <wp:effectExtent l="0" t="0" r="0" b="0"/>
                      <wp:wrapNone/>
                      <wp:docPr id="230" name="Frame2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9260" cy="175260"/>
                      <wp:effectExtent l="0" t="0" r="0" b="0"/>
                      <wp:wrapNone/>
                      <wp:docPr id="233" name="Frame23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688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103"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4,551</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fair values of employee and director stock options granted during the years ended December 31, 2021, 2020 and 2019 were valued using the Black-Scholes option pricing model with the following assumptions:</w:t>
      </w:r>
    </w:p>
    <w:p>
      <w:pPr>
        <w:pStyle w:val="TextBody"/>
        <w:spacing w:before="0" w:after="0"/>
        <w:ind w:left="0" w:right="0" w:hanging="0"/>
        <w:rPr/>
      </w:pPr>
      <w:r>
        <w:rPr/>
        <w:t>​</w:t>
      </w:r>
    </w:p>
    <w:tbl>
      <w:tblPr>
        <w:tblW w:w="6442" w:type="dxa"/>
        <w:jc w:val="left"/>
        <w:tblInd w:w="0" w:type="dxa"/>
        <w:tblCellMar>
          <w:top w:w="0" w:type="dxa"/>
          <w:left w:w="0" w:type="dxa"/>
          <w:bottom w:w="0" w:type="dxa"/>
          <w:right w:w="0" w:type="dxa"/>
        </w:tblCellMar>
      </w:tblPr>
      <w:tblGrid>
        <w:gridCol w:w="2626"/>
        <w:gridCol w:w="326"/>
        <w:gridCol w:w="931"/>
        <w:gridCol w:w="326"/>
        <w:gridCol w:w="931"/>
        <w:gridCol w:w="326"/>
        <w:gridCol w:w="976"/>
      </w:tblGrid>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97 - 98%</w:t>
            </w:r>
          </w:p>
        </w:tc>
        <w:tc>
          <w:tcPr>
            <w:tcW w:w="326" w:type="dxa"/>
            <w:tcBorders/>
            <w:shd w:fill="CCEEFF" w:val="clear"/>
            <w:vAlign w:val="center"/>
          </w:tcPr>
          <w:p>
            <w:pPr>
              <w:pStyle w:val="TableContents"/>
              <w:spacing w:before="0" w:after="0"/>
              <w:ind w:left="0" w:right="0" w:hanging="0"/>
              <w:jc w:val="center"/>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91 - 98%</w:t>
            </w:r>
          </w:p>
        </w:tc>
        <w:tc>
          <w:tcPr>
            <w:tcW w:w="326" w:type="dxa"/>
            <w:tcBorders/>
            <w:shd w:fill="CCEEFF" w:val="clear"/>
            <w:vAlign w:val="center"/>
          </w:tcPr>
          <w:p>
            <w:pPr>
              <w:pStyle w:val="TableContents"/>
              <w:spacing w:before="0" w:after="0"/>
              <w:ind w:left="0" w:right="0" w:hanging="0"/>
              <w:jc w:val="center"/>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90 - 91%</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option term</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 Years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 Years</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 Years</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0.8 - 1.4%</w:t>
            </w:r>
          </w:p>
        </w:tc>
        <w:tc>
          <w:tcPr>
            <w:tcW w:w="326" w:type="dxa"/>
            <w:tcBorders/>
            <w:shd w:fill="CCEEFF" w:val="clear"/>
            <w:vAlign w:val="center"/>
          </w:tcPr>
          <w:p>
            <w:pPr>
              <w:pStyle w:val="TableContents"/>
              <w:spacing w:before="0" w:after="0"/>
              <w:ind w:left="0" w:right="0" w:hanging="0"/>
              <w:jc w:val="center"/>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0.5 - 0.7%</w:t>
            </w:r>
          </w:p>
        </w:tc>
        <w:tc>
          <w:tcPr>
            <w:tcW w:w="326" w:type="dxa"/>
            <w:tcBorders/>
            <w:shd w:fill="CCEEFF" w:val="clear"/>
            <w:vAlign w:val="center"/>
          </w:tcPr>
          <w:p>
            <w:pPr>
              <w:pStyle w:val="TableContents"/>
              <w:spacing w:before="0" w:after="0"/>
              <w:ind w:left="0" w:right="0" w:hanging="0"/>
              <w:jc w:val="center"/>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1.6 - 2.5%</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None</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None</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None</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(13) Revenue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Product Development and Licensing Revenue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Contract and Grants Revenue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has entered into the Rockefeller Agreement and agreements with Gilead Sciences and Duke University pursuant to which the Company performs manufacturing and research and development services on a time-and-materials basis or at a negotiated fixed-price. The Company recognized $4.1 million, $4.5 million and $2.6 million in revenue under these agreements during the years ended December 31, 2021, 2020 and 2019,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third quarter of 2020, the Company was awarded a Small Business Innovation Research (“SBIR”) grant from the National Institutes of Health (NIH) to support the Company’s CDX-1140 and CDX-301 programs. The Company recognized $0.4 million and $0.4 million in grant revenue under the award during the years ended December 31, 2021 and 2020,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Contract Assets and Liabilities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At December 31, 2021 and 2020, the Company’s right to consideration under all contracts was considered unconditional, and as such, there were no recorded contract assets. At December 31, 2021, the Company had $0.4 million in contract liabilities recorded, which is expected to be recognized during the next 12 months as manufacturing and research and development services are performed. At December 31, 2020, the Company had $3.4 million in contract liabilities recorded. Revenue recognized from contract liabilities as of December 31, 2020 during the year ended December 31, 2021 was $3.4 million.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Collaboration Agreements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$0.1 million, $0.2 million and $0.1 million was recorded to research and development expense for the years ended December 31, 2021, 2020 and 2019, respectively.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University of Southampton, UK (Southampton)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a license agreement with Southampton, the Company acquired the rights to develop human antibodies towards CD27, a potentially important target for immunotherapy of various cancers. The Company may be required to pay Southampton milestones of up to approximately $1.0 million upon obtaining first approval for commercial sale in a first indication and royalty payments in the low-single digits on any net product sales with respect to development and commercialization of CDX-527.</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Amgen Inc. (Amgen)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a license agreement with Amgen, the Company acquired the exclusive rights to CDX-301 and CD40 ligand, or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Yale University (Yale)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Under a license agreement with Yale, the Company may be required to make a one-time payment to Yale of $3.0 million with respect to each therapeutic or prophylactic RTK royalty-bearing product, including CDX-0159, that achieves a specified commercial milestone. In addition, the Company may be required to pay a low single-digit royalty on annual worldwide net sales of each RTK royalty-bearing product, including CDX-0159. Unless earlier terminated by us or Yale, the Yale license agreement is due to expire no later than May 2038 but may expire earlier on a country</w:t>
      </w:r>
      <w:r>
        <w:rPr>
          <w:rFonts w:ascii="Times New Roman;Times;serif" w:hAnsi="Times New Roman;Times;serif"/>
          <w:color w:val="231F20"/>
          <w:sz w:val="20"/>
        </w:rPr>
        <w:t>-</w:t>
      </w:r>
      <w:r>
        <w:rPr>
          <w:rFonts w:ascii="Times New Roman;Times;serif" w:hAnsi="Times New Roman;Times;serif"/>
          <w:sz w:val="20"/>
        </w:rPr>
        <w:t>by</w:t>
      </w:r>
      <w:r>
        <w:rPr>
          <w:rFonts w:ascii="Times New Roman;Times;serif" w:hAnsi="Times New Roman;Times;serif"/>
          <w:color w:val="231F20"/>
          <w:sz w:val="20"/>
        </w:rPr>
        <w:t>-</w:t>
      </w:r>
      <w:r>
        <w:rPr>
          <w:rFonts w:ascii="Times New Roman;Times;serif" w:hAnsi="Times New Roman;Times;serif"/>
          <w:sz w:val="20"/>
        </w:rPr>
        <w:t>country basis under specified circumstances.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13" w:name="Tc_jEgIli1gUk6qmYVc3c90QQ_10_9"/>
      <w:bookmarkStart w:id="914" w:name="Tc_PdhkCXbS2kyP2GjTT5q7PQ_10_8"/>
      <w:bookmarkStart w:id="915" w:name="Tc_4J21PD2kLEWQS8TtbD5Sbw_10_5"/>
      <w:bookmarkStart w:id="916" w:name="Tc_7EnlQNbLK0K9Da--T3odbg_10_2"/>
      <w:bookmarkStart w:id="917" w:name="Tc_bi3Xb-Q2o0-FXcMO2P-brw_9_0"/>
      <w:bookmarkStart w:id="918" w:name="Tc__SvgQeJWBEKIiNzuVERn2A_7_0"/>
      <w:bookmarkStart w:id="919" w:name="Tc_H2nhdJexN0OTgWlgeRhiWQ_6_0"/>
      <w:bookmarkStart w:id="920" w:name="Tc_a8J9dptzwE6CFZtSLp112Q_5_8"/>
      <w:bookmarkStart w:id="921" w:name="Tc_xYRvIrD8TkKeq0zhNEx-CA_5_5"/>
      <w:bookmarkStart w:id="922" w:name="Tc_He40DmQbvEyTD0a3Qc2Ivw_5_2"/>
      <w:bookmarkStart w:id="923" w:name="Tc_RuYWR-nHCkyr3etiLy6xmQ_5_0"/>
      <w:bookmarkStart w:id="924" w:name="Tc_Dy_RrCFDR0KdQXNMzmT9lw_4_0"/>
      <w:bookmarkStart w:id="925" w:name="Tc_E6axYb85qkisuIU50jPDBw_3_2"/>
      <w:bookmarkStart w:id="926" w:name="Tc_Cc45xfck8E29uhkHE5Tadg_2_8"/>
      <w:bookmarkStart w:id="927" w:name="Tc_y63ytvCnO0CUte77UHkC8Q_2_5"/>
      <w:bookmarkStart w:id="928" w:name="Tc_NtD1cAhwo06OoZgkkz-CBg_2_2"/>
      <w:bookmarkStart w:id="929" w:name="Tc_rjdGpb-Pc0i_bbOc0k3XiA_1_2"/>
      <w:bookmarkStart w:id="930" w:name="_30d80897_8d16_41e6_bbb3_39b2e4400a28"/>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r>
        <w:rPr>
          <w:rFonts w:ascii="Times New Roman;Times;serif" w:hAnsi="Times New Roman;Times;serif"/>
          <w:b/>
          <w:sz w:val="20"/>
        </w:rPr>
        <w:t>(15) Income Taxes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components of income tax benefit (provision) are as follows:</w:t>
      </w:r>
    </w:p>
    <w:p>
      <w:pPr>
        <w:pStyle w:val="TextBody"/>
        <w:spacing w:before="0" w:after="0"/>
        <w:ind w:left="0" w:right="0" w:hanging="0"/>
        <w:rPr/>
      </w:pPr>
      <w:r>
        <w:rPr/>
        <w:t>​</w:t>
      </w:r>
    </w:p>
    <w:tbl>
      <w:tblPr>
        <w:tblW w:w="7075" w:type="dxa"/>
        <w:jc w:val="left"/>
        <w:tblInd w:w="0" w:type="dxa"/>
        <w:tblCellMar>
          <w:top w:w="0" w:type="dxa"/>
          <w:left w:w="0" w:type="dxa"/>
          <w:bottom w:w="0" w:type="dxa"/>
          <w:right w:w="0" w:type="dxa"/>
        </w:tblCellMar>
      </w:tblPr>
      <w:tblGrid>
        <w:gridCol w:w="3031"/>
        <w:gridCol w:w="326"/>
        <w:gridCol w:w="211"/>
        <w:gridCol w:w="796"/>
        <w:gridCol w:w="326"/>
        <w:gridCol w:w="211"/>
        <w:gridCol w:w="796"/>
        <w:gridCol w:w="326"/>
        <w:gridCol w:w="211"/>
        <w:gridCol w:w="841"/>
      </w:tblGrid>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05460" cy="175260"/>
                      <wp:effectExtent l="0" t="0" r="0" b="0"/>
                      <wp:wrapNone/>
                      <wp:docPr id="236" name="Frame23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5460" cy="175260"/>
                      <wp:effectExtent l="0" t="0" r="0" b="0"/>
                      <wp:wrapNone/>
                      <wp:docPr id="239" name="Frame23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34035" cy="175260"/>
                      <wp:effectExtent l="0" t="0" r="0" b="0"/>
                      <wp:wrapNone/>
                      <wp:docPr id="242" name="Frame24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1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707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18"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rPr/>
            </w:pPr>
            <w:r>
              <w:rPr/>
              <w:t>​</w:t>
            </w:r>
          </w:p>
        </w:tc>
      </w:tr>
      <w:tr>
        <w:trPr/>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13,869</w:t>
            </w:r>
          </w:p>
        </w:tc>
      </w:tr>
      <w:tr>
        <w:trPr/>
        <w:tc>
          <w:tcPr>
            <w:tcW w:w="3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r>
      <w:tr>
        <w:trPr/>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Expiration of NOLs and R&amp;D credit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(18,966)</w:t>
            </w:r>
          </w:p>
        </w:tc>
      </w:tr>
      <w:tr>
        <w:trPr/>
        <w:tc>
          <w:tcPr>
            <w:tcW w:w="30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30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931" w:name="Tc_r5xWgwaMkEyhIPLsItrRPA_16_5"/>
      <w:bookmarkStart w:id="932" w:name="Tc_iBNPtffkykS_809_OS2d4w_16_2"/>
      <w:bookmarkStart w:id="933" w:name="Tc_oh9-P_aqC0-4E8KYujlWUw_16_0"/>
      <w:bookmarkStart w:id="934" w:name="Tc_l4m3J8N-BUGQy5II46_iRA_15_0"/>
      <w:bookmarkStart w:id="935" w:name="Tc_a3mZQSQ64EKzIghSX_-e9w_14_0"/>
      <w:bookmarkStart w:id="936" w:name="Tc_qSgOPjf3VUuJzsfftpNhVg_13_0"/>
      <w:bookmarkStart w:id="937" w:name="Tc_-umksaBkCkaL9sGg7R4Q1A_12_0"/>
      <w:bookmarkStart w:id="938" w:name="Tc_qhH6ZuWv4EeQbnGARj8LVg_10_0"/>
      <w:bookmarkStart w:id="939" w:name="Tc_OGREW_-YbEKNLpeFWnXZ0Q_9_0"/>
      <w:bookmarkStart w:id="940" w:name="Tc_4TD5s5WLAE2BCZ4Eq21LKQ_8_0"/>
      <w:bookmarkStart w:id="941" w:name="Tc_LfWDURvVMkuEVdz0RXd2eg_7_0"/>
      <w:bookmarkStart w:id="942" w:name="Tc_5NBWJVH7rkiUadqb7VsX5w_6_0"/>
      <w:bookmarkStart w:id="943" w:name="Tc_iCmYAWSWL0i9I0TbzbcRvg_5_5"/>
      <w:bookmarkStart w:id="944" w:name="Tc_pCek2d7_tUCmPymi6tIRLg_5_2"/>
      <w:bookmarkStart w:id="945" w:name="Tc_I8RhwCVe-ECNt60OZmGzCg_5_0"/>
      <w:bookmarkStart w:id="946" w:name="Tc_JFd4zLUuZ0WK1_usEKzdgA_4_0"/>
      <w:bookmarkStart w:id="947" w:name="Tc_oSNA7mvGOESDe83a7_Qq4w_3_2"/>
      <w:bookmarkStart w:id="948" w:name="Tc_vjwORzWwk0Wxogex6Shv2A_2_5"/>
      <w:bookmarkStart w:id="949" w:name="Tc_9gIcFO5HVkS8iNhsJc3rcg_2_2"/>
      <w:bookmarkStart w:id="950" w:name="Tc_tsnxH4t0EkWKM_ScimwIXg_1_5"/>
      <w:bookmarkStart w:id="951" w:name="Tc_hYNaP3scMEeuF86IjzvabQ_1_2"/>
      <w:bookmarkStart w:id="952" w:name="_4e880e05_5d9a_4f37_8991_f065dca9919c"/>
      <w:bookmarkStart w:id="953" w:name="Tc__8O5B64nSEmh7G_Ck3OGUQ_11_9"/>
      <w:bookmarkStart w:id="954" w:name="Tc_x1VBnPgjtkag39XUSt0ZQg_11_8"/>
      <w:bookmarkStart w:id="955" w:name="Tc_iZ0Kl477gk-zTQNiWm88vA_11_5"/>
      <w:bookmarkStart w:id="956" w:name="Tc_LtR3A1o2fkKTpma0JH7JCA_11_2"/>
      <w:bookmarkStart w:id="957" w:name="Tc_CTmFJcI0B0m3U6EAxW6AzA_11_0"/>
      <w:bookmarkStart w:id="958" w:name="Tc_Z519ApzuiUmHml67Sy1W0g_10_0"/>
      <w:bookmarkStart w:id="959" w:name="Tc_aebFT_lAk0Wh_QadTSjsdQ_9_0"/>
      <w:bookmarkStart w:id="960" w:name="Tc_WCpLnp0pOU2lfdRIW8Ixuw_8_0"/>
      <w:bookmarkStart w:id="961" w:name="Tc_ExBTVFLCMEGOvJudmACsSw_7_0"/>
      <w:bookmarkStart w:id="962" w:name="Tc_RgHqoP_yGUe_otkM7K1YXA_6_0"/>
      <w:bookmarkStart w:id="963" w:name="Tc_SWyLR5JiME2HEh-F5q8bZA_5_0"/>
      <w:bookmarkStart w:id="964" w:name="Tc_2QIeOa-X4kOWX-eb0kmoWg_4_0"/>
      <w:bookmarkStart w:id="965" w:name="Tc_XSA1hhXVn0CnY2vQbrWccQ_3_8"/>
      <w:bookmarkStart w:id="966" w:name="Tc_C2tQBq6ERUWj4xRVdZxjCg_3_5"/>
      <w:bookmarkStart w:id="967" w:name="Tc_ocYc1DVlikaP8i6JTbnb7Q_3_2"/>
      <w:bookmarkStart w:id="968" w:name="Tc_2Q1i6LkJu0O6hZUxHwXEmw_3_0"/>
      <w:bookmarkStart w:id="969" w:name="Tc_FN9hEYInY0CCJUQ_1g5l1g_2_2"/>
      <w:bookmarkStart w:id="970" w:name="Tc_SoPDno80_Ea9KORumHmvoA_1_8"/>
      <w:bookmarkStart w:id="971" w:name="Tc_KfLcQiG4D02Wr5KwOFzhqQ_1_5"/>
      <w:bookmarkStart w:id="972" w:name="Tc_3e2r4jvKJE-cCaxwQtzu9w_1_2"/>
      <w:bookmarkStart w:id="973" w:name="_b534c162_2507_45a9_8233_3b061564eda1"/>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r>
        <w:rPr>
          <w:rFonts w:ascii="Times New Roman;Times;serif" w:hAnsi="Times New Roman;Times;serif"/>
          <w:sz w:val="20"/>
        </w:rPr>
        <w:t>A reconciliation between the amount of reported income tax and the amount computed using the U.S. statutory rate is as follows:</w:t>
      </w:r>
    </w:p>
    <w:p>
      <w:pPr>
        <w:pStyle w:val="TextBody"/>
        <w:spacing w:before="0" w:after="0"/>
        <w:ind w:left="0" w:right="0" w:hanging="0"/>
        <w:rPr/>
      </w:pPr>
      <w:r>
        <w:rPr/>
        <w:t>​</w:t>
      </w:r>
    </w:p>
    <w:tbl>
      <w:tblPr>
        <w:tblW w:w="9370" w:type="dxa"/>
        <w:jc w:val="left"/>
        <w:tblInd w:w="0" w:type="dxa"/>
        <w:tblCellMar>
          <w:top w:w="0" w:type="dxa"/>
          <w:left w:w="0" w:type="dxa"/>
          <w:bottom w:w="0" w:type="dxa"/>
          <w:right w:w="0" w:type="dxa"/>
        </w:tblCellMar>
      </w:tblPr>
      <w:tblGrid>
        <w:gridCol w:w="5326"/>
        <w:gridCol w:w="326"/>
        <w:gridCol w:w="211"/>
        <w:gridCol w:w="796"/>
        <w:gridCol w:w="326"/>
        <w:gridCol w:w="211"/>
        <w:gridCol w:w="796"/>
        <w:gridCol w:w="326"/>
        <w:gridCol w:w="211"/>
        <w:gridCol w:w="841"/>
      </w:tblGrid>
      <w:tr>
        <w:trPr/>
        <w:tc>
          <w:tcPr>
            <w:tcW w:w="5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05460" cy="175260"/>
                      <wp:effectExtent l="0" t="0" r="0" b="0"/>
                      <wp:wrapNone/>
                      <wp:docPr id="245" name="Frame24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48" name="Frame24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34035" cy="175260"/>
                      <wp:effectExtent l="0" t="0" r="0" b="0"/>
                      <wp:wrapNone/>
                      <wp:docPr id="251" name="Frame25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937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5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18"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Pre-tax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(60,947)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(50,878)</w:t>
            </w:r>
          </w:p>
        </w:tc>
      </w:tr>
      <w:tr>
        <w:trPr/>
        <w:tc>
          <w:tcPr>
            <w:tcW w:w="5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at statutory rates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(10,684)</w:t>
            </w:r>
          </w:p>
        </w:tc>
      </w:tr>
      <w:tr>
        <w:trPr/>
        <w:tc>
          <w:tcPr>
            <w:tcW w:w="5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credits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r>
      <w:tr>
        <w:trPr/>
        <w:tc>
          <w:tcPr>
            <w:tcW w:w="5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r>
      <w:tr>
        <w:trPr/>
        <w:tc>
          <w:tcPr>
            <w:tcW w:w="5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r>
      <w:tr>
        <w:trPr/>
        <w:tc>
          <w:tcPr>
            <w:tcW w:w="5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remeasurement of contingent consideration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5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Expiration of NOLs and R&amp;D credit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18,966</w:t>
            </w:r>
          </w:p>
        </w:tc>
      </w:tr>
      <w:tr>
        <w:trPr/>
        <w:tc>
          <w:tcPr>
            <w:tcW w:w="5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5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2021 and 2020 are as follows:</w:t>
      </w:r>
    </w:p>
    <w:p>
      <w:pPr>
        <w:pStyle w:val="TextBody"/>
        <w:spacing w:before="0" w:after="0"/>
        <w:ind w:left="0" w:right="0" w:hanging="0"/>
        <w:rPr/>
      </w:pPr>
      <w:r>
        <w:rPr/>
        <w:t>​</w:t>
      </w:r>
    </w:p>
    <w:tbl>
      <w:tblPr>
        <w:tblW w:w="6728" w:type="dxa"/>
        <w:jc w:val="left"/>
        <w:tblInd w:w="0" w:type="dxa"/>
        <w:tblCellMar>
          <w:top w:w="0" w:type="dxa"/>
          <w:left w:w="0" w:type="dxa"/>
          <w:bottom w:w="0" w:type="dxa"/>
          <w:right w:w="0" w:type="dxa"/>
        </w:tblCellMar>
      </w:tblPr>
      <w:tblGrid>
        <w:gridCol w:w="3751"/>
        <w:gridCol w:w="326"/>
        <w:gridCol w:w="216"/>
        <w:gridCol w:w="924"/>
        <w:gridCol w:w="326"/>
        <w:gridCol w:w="216"/>
        <w:gridCol w:w="969"/>
      </w:tblGrid>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7160" cy="175260"/>
                      <wp:effectExtent l="0" t="0" r="0" b="0"/>
                      <wp:wrapNone/>
                      <wp:docPr id="253" name="Frame252"/>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86740" cy="175260"/>
                      <wp:effectExtent l="0" t="0" r="0" b="0"/>
                      <wp:wrapNone/>
                      <wp:docPr id="254" name="Frame253"/>
                      <a:graphic xmlns:a="http://schemas.openxmlformats.org/drawingml/2006/main">
                        <a:graphicData uri="http://schemas.microsoft.com/office/word/2010/wordprocessingShape">
                          <wps:wsp>
                            <wps:cNvSpPr txBox="1"/>
                            <wps:spPr>
                              <a:xfrm>
                                <a:off x="0" y="0"/>
                                <a:ext cx="586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7160" cy="175260"/>
                      <wp:effectExtent l="0" t="0" r="0" b="0"/>
                      <wp:wrapNone/>
                      <wp:docPr id="256" name="Frame255"/>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15315" cy="175260"/>
                      <wp:effectExtent l="0" t="0" r="0" b="0"/>
                      <wp:wrapNone/>
                      <wp:docPr id="257" name="Frame256"/>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6728"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5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deferred tax assets</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w:t>
            </w:r>
          </w:p>
        </w:tc>
        <w:tc>
          <w:tcPr>
            <w:tcW w:w="92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w:t>
            </w:r>
          </w:p>
        </w:tc>
        <w:tc>
          <w:tcPr>
            <w:tcW w:w="969" w:type="dxa"/>
            <w:tcBorders/>
            <w:shd w:fill="CCEEFF" w:val="clear"/>
            <w:vAlign w:val="center"/>
          </w:tcPr>
          <w:p>
            <w:pPr>
              <w:pStyle w:val="TableContents"/>
              <w:spacing w:before="0" w:after="0"/>
              <w:ind w:left="0" w:right="0" w:hanging="0"/>
              <w:rPr/>
            </w:pPr>
            <w:r>
              <w:rPr/>
              <w:t>​</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183,711</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174,369</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credit carryforwards</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jc w:val="right"/>
              <w:rPr/>
            </w:pPr>
            <w:r>
              <w:rPr/>
              <w:t>​</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47,927</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jc w:val="right"/>
              <w:rPr/>
            </w:pPr>
            <w:r>
              <w:rPr/>
              <w:t>​</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44,936</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research and development expenses</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jc w:val="right"/>
              <w:rPr/>
            </w:pPr>
            <w:r>
              <w:rPr/>
              <w:t>​</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59,753</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jc w:val="right"/>
              <w:rPr/>
            </w:pPr>
            <w:r>
              <w:rPr/>
              <w:t>​</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63,215</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jc w:val="right"/>
              <w:rPr/>
            </w:pPr>
            <w:r>
              <w:rPr/>
              <w:t>​</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14,719</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jc w:val="right"/>
              <w:rPr/>
            </w:pPr>
            <w:r>
              <w:rPr/>
              <w:t>​</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13,196</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jc w:val="right"/>
              <w:rPr/>
            </w:pPr>
            <w:r>
              <w:rPr/>
              <w:t>​</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jc w:val="right"/>
              <w:rPr/>
            </w:pPr>
            <w:r>
              <w:rPr/>
              <w:t>​</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w:t>
            </w:r>
          </w:p>
        </w:tc>
        <w:tc>
          <w:tcPr>
            <w:tcW w:w="326" w:type="dxa"/>
            <w:tcBorders/>
            <w:shd w:fill="CCEEFF" w:val="clear"/>
            <w:vAlign w:val="center"/>
          </w:tcPr>
          <w:p>
            <w:pPr>
              <w:pStyle w:val="TableContents"/>
              <w:spacing w:before="0" w:after="0"/>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spacing w:before="0" w:after="0"/>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jc w:val="right"/>
              <w:rPr/>
            </w:pPr>
            <w:r>
              <w:rPr/>
              <w:t>​</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307,767</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jc w:val="right"/>
              <w:rPr/>
            </w:pPr>
            <w:r>
              <w:rPr/>
              <w:t>​</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297,344</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deferred tax liabilities</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w:t>
            </w:r>
          </w:p>
        </w:tc>
        <w:tc>
          <w:tcPr>
            <w:tcW w:w="92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w:t>
            </w:r>
          </w:p>
        </w:tc>
        <w:tc>
          <w:tcPr>
            <w:tcW w:w="969" w:type="dxa"/>
            <w:tcBorders/>
            <w:shd w:fill="CCEEFF" w:val="clear"/>
            <w:vAlign w:val="center"/>
          </w:tcPr>
          <w:p>
            <w:pPr>
              <w:pStyle w:val="TableContents"/>
              <w:spacing w:before="0" w:after="0"/>
              <w:ind w:left="0" w:right="0" w:hanging="0"/>
              <w:rPr/>
            </w:pPr>
            <w:r>
              <w:rPr/>
              <w:t>​</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IPR&amp;D intangibles</w:t>
            </w:r>
          </w:p>
        </w:tc>
        <w:tc>
          <w:tcPr>
            <w:tcW w:w="326" w:type="dxa"/>
            <w:tcBorders/>
            <w:shd w:fill="auto" w:val="clear"/>
            <w:vAlign w:val="center"/>
          </w:tcPr>
          <w:p>
            <w:pPr>
              <w:pStyle w:val="TableContents"/>
              <w:spacing w:before="0" w:after="0"/>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(6,840)</w:t>
            </w:r>
          </w:p>
        </w:tc>
        <w:tc>
          <w:tcPr>
            <w:tcW w:w="326" w:type="dxa"/>
            <w:tcBorders/>
            <w:shd w:fill="auto" w:val="clear"/>
            <w:vAlign w:val="center"/>
          </w:tcPr>
          <w:p>
            <w:pPr>
              <w:pStyle w:val="TableContents"/>
              <w:spacing w:before="0" w:after="0"/>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(7,802)</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tax assets and liabilities</w:t>
            </w:r>
          </w:p>
        </w:tc>
        <w:tc>
          <w:tcPr>
            <w:tcW w:w="326" w:type="dxa"/>
            <w:tcBorders/>
            <w:shd w:fill="CCEEFF" w:val="clear"/>
            <w:vAlign w:val="center"/>
          </w:tcPr>
          <w:p>
            <w:pPr>
              <w:pStyle w:val="TableContents"/>
              <w:spacing w:before="0" w:after="0"/>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300,927</w:t>
            </w:r>
          </w:p>
        </w:tc>
        <w:tc>
          <w:tcPr>
            <w:tcW w:w="326" w:type="dxa"/>
            <w:tcBorders/>
            <w:shd w:fill="CCEEFF" w:val="clear"/>
            <w:vAlign w:val="center"/>
          </w:tcPr>
          <w:p>
            <w:pPr>
              <w:pStyle w:val="TableContents"/>
              <w:spacing w:before="0" w:after="0"/>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289,542</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auto" w:val="clear"/>
            <w:vAlign w:val="center"/>
          </w:tcPr>
          <w:p>
            <w:pPr>
              <w:pStyle w:val="TableContents"/>
              <w:spacing w:before="0" w:after="0"/>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(302,540)</w:t>
            </w:r>
          </w:p>
        </w:tc>
        <w:tc>
          <w:tcPr>
            <w:tcW w:w="326" w:type="dxa"/>
            <w:tcBorders/>
            <w:shd w:fill="auto" w:val="clear"/>
            <w:vAlign w:val="center"/>
          </w:tcPr>
          <w:p>
            <w:pPr>
              <w:pStyle w:val="TableContents"/>
              <w:spacing w:before="0" w:after="0"/>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(291,382)</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liability</w:t>
            </w:r>
          </w:p>
        </w:tc>
        <w:tc>
          <w:tcPr>
            <w:tcW w:w="326" w:type="dxa"/>
            <w:tcBorders/>
            <w:shd w:fill="CCEEFF" w:val="clear"/>
            <w:vAlign w:val="center"/>
          </w:tcPr>
          <w:p>
            <w:pPr>
              <w:pStyle w:val="TableContents"/>
              <w:spacing w:before="0" w:after="0"/>
              <w:ind w:left="0" w:right="0" w:hanging="0"/>
              <w:rPr/>
            </w:pPr>
            <w:r>
              <w:rPr/>
              <w:t>​</w:t>
            </w:r>
          </w:p>
        </w:tc>
        <w:tc>
          <w:tcPr>
            <w:tcW w:w="2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spacing w:before="0" w:after="0"/>
              <w:ind w:left="0" w:right="0" w:hanging="0"/>
              <w:rPr/>
            </w:pPr>
            <w:r>
              <w:rPr/>
              <w:t>​</w:t>
            </w:r>
          </w:p>
        </w:tc>
        <w:tc>
          <w:tcPr>
            <w:tcW w:w="2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response to COVID-19, the Coronavirus Aid, Relief, and Economic Security Act (the “CARES Act”) was enacted on March 27, 2020. Among other provisions, the CARES Act included (i) the ability to use net operating losses to offset income without the 80% taxable income limitation enacted as part of the Tax Cuts and Jobs Act (“TCJA”) for net operating losses incurred in the 2018, 2019 or 2020 tax years; and (ii) the ability to claim a current deduction for interest expense up to 50% of adjusted taxable income for the 2019 and 2020 tax years (rather than 30% of adjusted taxable income pursuant to the TCJA). We do not expect that any of the provisions of the CARES Act will result in a material impact to the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net deferred tax liability of $1.6 million and $1.8 million at December 31, 2021 and 2020, respectively, relates to the temporary differences associated with the IPR&amp;D intangible assets acquired in previous business combinations and are not deductible for tax purposes. The Company recorded an income tax benefit of $0.2 million during the year ended December 31, 2021 due to a decrease in deferred tax liabilities resulting from the impairment of the TAM program IPR&amp;D asset in the third quarter of 2021. The Company recorded an income tax benefit of $1.2 million during the year ended December 31, 2020 due to a decrease in deferred tax liabilities resulting from the impairment of the CDX-3379 IPR&amp;D asset in the second quarter of 2020 and the partial impairment of the TAM program IPR&amp;D asset in the fourth quarter of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the Company had federal and state net operating loss carryforwards of $622.4 million and $812.2 million, respectively, which may be available to offset certain future income tax liabilities and begin to expire in 2022 and 2029, respectively. Of the federal net operating loss carryforwards of $622.4 million, approximately $293.8 million are from 2018, 2019, 2020 and 2021 and have no expiration date. As of December 31, 2021, the Company also had federal and state research and development tax credit carryforwards of $37.6 million and $13.1 million, respectively, which may be available to offset future income tax liabilities and begin to expire in 2022 and 2021,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Beginning with the 2016 tax returns, the Company elected to classify the Australian entity as a disregarded entity for income tax purposes. The foreign pre-tax losses have been included with the Federal net operating loss carryforwards. In 2019 the Australian Subsidiary was liquidated and $14.9 million of Foreign Net Operating Loss Carryovers related to the foreign subsidiary were written off.</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and 2020, the Company did not have any unrecognized tax benefits.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(16) Retirement Savings Plan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$0.4 million, $0.3 million and $0.3 million for the years ended December 31, 2021, 2020 and 2019,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(17) Kolltan Acquisition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The payment of Kolltan Milestones, if any, may be made, at Celldex’s sole election, in cash, in shares of Celldex’s common stock or a combination of both, subject to provisions of the Agreement and Plan of Merger, dated November 1, 2016 (the “Merger Agreement”). Certain Kolltan Milestones related to the METRIC clinical study, TAM partnership closing within two years of the acquisition, CDX-3379 and CDX-0158 have been abandoned and, because of this, as of December 31, 2021, the Company believes that the adjusted amount we may be required to pay for future consideration is up to $107.5 million contingent upon the achievement of the Kolltan Milestones.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 The Company disagrees with their objection and believes their objection to be without merit.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Specifically, Celldex sought the entry of an order declaring that:</w:t>
      </w:r>
    </w:p>
    <w:tbl>
      <w:tblPr>
        <w:tblW w:w="10205" w:type="dxa"/>
        <w:jc w:val="left"/>
        <w:tblInd w:w="0" w:type="dxa"/>
        <w:tblCellMar>
          <w:top w:w="28" w:type="dxa"/>
          <w:left w:w="28" w:type="dxa"/>
          <w:bottom w:w="28" w:type="dxa"/>
          <w:right w:w="28" w:type="dxa"/>
        </w:tblCellMar>
      </w:tblPr>
      <w:tblGrid>
        <w:gridCol w:w="124"/>
        <w:gridCol w:w="271"/>
        <w:gridCol w:w="9810"/>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1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Celldex’s determination to discontinue the development of CDX-0158 (formerly known as KTN0158) was proper and valid under the Merger Agreement;</w:t>
            </w:r>
          </w:p>
        </w:tc>
      </w:tr>
    </w:tbl>
    <w:tbl>
      <w:tblPr>
        <w:tblW w:w="10205" w:type="dxa"/>
        <w:jc w:val="left"/>
        <w:tblInd w:w="0" w:type="dxa"/>
        <w:tblCellMar>
          <w:top w:w="28" w:type="dxa"/>
          <w:left w:w="28" w:type="dxa"/>
          <w:bottom w:w="28" w:type="dxa"/>
          <w:right w:w="28" w:type="dxa"/>
        </w:tblCellMar>
      </w:tblPr>
      <w:tblGrid>
        <w:gridCol w:w="124"/>
        <w:gridCol w:w="309"/>
        <w:gridCol w:w="9772"/>
      </w:tblGrid>
      <w:tr>
        <w:trPr/>
        <w:tc>
          <w:tcPr>
            <w:tcW w:w="12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7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 Abandonment Notice dated December 5, 2018 from Celldex was valid and effective under the Merger Agreement and that the “Successful Completion of Phase I Clinical Trial for KTN0158” Milestone has not been achieved and has properly been abandoned; and</w:t>
            </w:r>
          </w:p>
        </w:tc>
      </w:tr>
    </w:tbl>
    <w:tbl>
      <w:tblPr>
        <w:tblW w:w="10205" w:type="dxa"/>
        <w:jc w:val="left"/>
        <w:tblInd w:w="0" w:type="dxa"/>
        <w:tblCellMar>
          <w:top w:w="28" w:type="dxa"/>
          <w:left w:w="28" w:type="dxa"/>
          <w:bottom w:w="28" w:type="dxa"/>
          <w:right w:w="28" w:type="dxa"/>
        </w:tblCellMar>
      </w:tblPr>
      <w:tblGrid>
        <w:gridCol w:w="124"/>
        <w:gridCol w:w="397"/>
        <w:gridCol w:w="9684"/>
      </w:tblGrid>
      <w:tr>
        <w:trPr/>
        <w:tc>
          <w:tcPr>
            <w:tcW w:w="12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68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the CDX-0159 program is not a program that results in milestone payments under the Merger Agreement.</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 The case remains ongoing and we are currently unable to predict or estimate the outcome of this matter. The case is currently scheduled for trial in June 2022.</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 which was provided pursuant to the terms of the Merger Agreement.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974" w:name="Item9CHANGESINANDDISAGREEMENTS_750440"/>
      <w:bookmarkStart w:id="975" w:name="_2a58b58c_f8ab_4afd_ac9d_41177c14c1f6"/>
      <w:bookmarkEnd w:id="974"/>
      <w:bookmarkEnd w:id="975"/>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976" w:name="Item9ACONTROLSANDPROCEDURES_562577"/>
      <w:bookmarkStart w:id="977" w:name="_72974306_1025_4218_9113_9985e36f1a26"/>
      <w:bookmarkEnd w:id="976"/>
      <w:bookmarkEnd w:id="977"/>
      <w:r>
        <w:rPr>
          <w:rFonts w:ascii="Times New Roman;Times;serif" w:hAnsi="Times New Roman;Times;serif"/>
          <w:b/>
          <w:sz w:val="20"/>
        </w:rPr>
        <w:t>Item 9A. CONTROLS AND PROCEDURES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our management evaluated, with the participation of our Chief Executive Officer and Chief Financial Officer, the effectiveness of our disclosure controls and procedures (as defined in Rules 13a- 15(e)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2021.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Management’s Annual Report on Internal Control Over Financial Reporting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our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assets;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the prevention or timely detection of unauthorized acquisition, use or disposition of assets that could have a material effect on our financial statements.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Committee of Sponsoring Organizations of the Treadway Commission. Based on this evaluation, our management concluded that our internal control over financial reporting was effective as of December 31, 2021.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effectiveness of the Company’s internal control over financial reporting as of December 31, 2021, has been audited by PricewaterhouseCoopers LLP, an independent registered public accounting firm, as stated in their report which appears in Item 8 above.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months ended December 31, 2021 that have materially affected, or are reasonably likely to materially affect, our internal control over financial reporting.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78" w:name="Item9BOTHERINFORMATION_750206"/>
      <w:bookmarkStart w:id="979" w:name="_cc181504_db11_4555_be16_d780747e4abb"/>
      <w:bookmarkEnd w:id="978"/>
      <w:bookmarkEnd w:id="979"/>
      <w:r>
        <w:rPr>
          <w:rFonts w:ascii="Times New Roman;Times;serif" w:hAnsi="Times New Roman;Times;serif"/>
          <w:b/>
          <w:sz w:val="20"/>
        </w:rPr>
        <w:t>Item 9B. OTHER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980" w:name="Item9CDISCLOSUREREGARDINGFOREIGNJURISDIC"/>
      <w:bookmarkStart w:id="981" w:name="_2fcc32b1_1ed4_42fd_a63f_c07db336c20f"/>
      <w:bookmarkEnd w:id="980"/>
      <w:bookmarkEnd w:id="981"/>
      <w:r>
        <w:rPr>
          <w:rFonts w:ascii="Times New Roman;Times;serif" w:hAnsi="Times New Roman;Times;serif"/>
          <w:b/>
          <w:sz w:val="20"/>
        </w:rPr>
        <w:t>Item 9C. DISCLOSURE REGARDING FOREIGN JURISDICTIONS THAT PREVENT INSPECTIONS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82" w:name="PARTIII_289421"/>
      <w:bookmarkStart w:id="983" w:name="_416367"/>
      <w:bookmarkStart w:id="984" w:name="_049d4ce6_0fe9_4893_8404_dfb8b0b3c512"/>
      <w:bookmarkEnd w:id="982"/>
      <w:bookmarkEnd w:id="983"/>
      <w:bookmarkEnd w:id="984"/>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985" w:name="Item10DIRECTORSEXECUTIVE_251619"/>
      <w:bookmarkEnd w:id="985"/>
      <w:r>
        <w:rPr>
          <w:rFonts w:ascii="Times New Roman;Times;serif" w:hAnsi="Times New Roman;Times;serif"/>
          <w:b/>
          <w:sz w:val="20"/>
        </w:rPr>
        <w:t>Item 10. DIRECTORS, EXECUTIVE OFFICERS AND CORPORATE GOVERNANCE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information required by this Item 10 will be included in the definitive Proxy Statement for our 2022 Annual Meeting of Stockholders, or the 2022 Proxy Statement, under “Information Regarding Our Current Directors and Executive Officers,” “Delinquent Section 16(a) Reports,” “Code of Business Conduct and Ethics” and “The Board of Directors and Its Committees” and is incorporated herein by reference. If the 2022 Proxy Statement is not filed with the SEC within 120 days after the end of our most recent fiscal year, we will provide such information by means of an amendment to this Annual Report on Form 10-K.</w:t>
      </w:r>
    </w:p>
    <w:p>
      <w:pPr>
        <w:pStyle w:val="TextBody"/>
        <w:spacing w:before="0" w:after="240"/>
        <w:ind w:left="0" w:right="0" w:hanging="0"/>
        <w:rPr>
          <w:rFonts w:ascii="Times New Roman;Times;serif" w:hAnsi="Times New Roman;Times;serif"/>
          <w:b/>
          <w:sz w:val="20"/>
        </w:rPr>
      </w:pPr>
      <w:bookmarkStart w:id="986" w:name="Item11EXECUTIVECOMPENSATION_659199"/>
      <w:bookmarkStart w:id="987" w:name="_db789943_0a72_4bd8_91ae_88e9b980470b"/>
      <w:bookmarkEnd w:id="986"/>
      <w:bookmarkEnd w:id="987"/>
      <w:r>
        <w:rPr>
          <w:rFonts w:ascii="Times New Roman;Times;serif" w:hAnsi="Times New Roman;Times;serif"/>
          <w:b/>
          <w:sz w:val="20"/>
        </w:rPr>
        <w:t>Item 11. EXECUTIVE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information required by this Item 11 will be included in the 2022 Proxy Statement under “Executive Compensation,” and “Compensation Committee Interlocks and Insider Participation,” and is incorporated herein by reference. If the 2022 Proxy Statement is not filed with the SEC within 120 days after the end of our most recent fiscal year, we will provide such information by means of an amendment to this Annual Report on Form 10-K.</w:t>
      </w:r>
    </w:p>
    <w:p>
      <w:pPr>
        <w:pStyle w:val="TextBody"/>
        <w:spacing w:before="0" w:after="240"/>
        <w:ind w:left="0" w:right="0" w:hanging="0"/>
        <w:rPr>
          <w:rFonts w:ascii="Times New Roman;Times;serif" w:hAnsi="Times New Roman;Times;serif"/>
          <w:b/>
          <w:sz w:val="20"/>
        </w:rPr>
      </w:pPr>
      <w:bookmarkStart w:id="988" w:name="Item12SECURITYOWNERSHIP_108166"/>
      <w:bookmarkStart w:id="989" w:name="_89e413f9_638b_4799_9238_5924871021b9"/>
      <w:bookmarkEnd w:id="988"/>
      <w:bookmarkEnd w:id="989"/>
      <w:r>
        <w:rPr>
          <w:rFonts w:ascii="Times New Roman;Times;serif" w:hAnsi="Times New Roman;Times;serif"/>
          <w:b/>
          <w:sz w:val="20"/>
        </w:rPr>
        <w:t>Item 12. SECURITY OWNERSHIP OF CERTAIN BENEFICIAL OWNERS AND MANAGEMENT AND RELATED STOCKHOLDER MATTERS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information required by this Item 12 will be included in the 2022 Proxy Statement under “Security Ownership of Certain Beneficial Owners and Management” and “Equity Compensation Plan Information” and is incorporated herein by reference. If the 2022 Proxy Statement is not filed with the SEC within 120 days after the end of our most recent fiscal year, we will provide such information by means of an amendment to this Annual Report on Form 10-K.</w:t>
      </w:r>
    </w:p>
    <w:p>
      <w:pPr>
        <w:pStyle w:val="TextBody"/>
        <w:spacing w:before="0" w:after="240"/>
        <w:ind w:left="0" w:right="0" w:hanging="0"/>
        <w:rPr>
          <w:rFonts w:ascii="Times New Roman;Times;serif" w:hAnsi="Times New Roman;Times;serif"/>
          <w:b/>
          <w:sz w:val="20"/>
        </w:rPr>
      </w:pPr>
      <w:bookmarkStart w:id="990" w:name="Item13CERTAINRELATIONSHIPSAND_189337"/>
      <w:bookmarkStart w:id="991" w:name="_a82f0109_81f9_4bc2_8c83_8c5df0aecebf"/>
      <w:bookmarkEnd w:id="990"/>
      <w:bookmarkEnd w:id="991"/>
      <w:r>
        <w:rPr>
          <w:rFonts w:ascii="Times New Roman;Times;serif" w:hAnsi="Times New Roman;Times;serif"/>
          <w:b/>
          <w:sz w:val="20"/>
        </w:rPr>
        <w:t>Item 13. CERTAIN RELATIONSHIPS AND RELATED TRANSACTIONS, AND DIRECTOR INDEPENDENCE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information required by this Item 13 will be included in the 2022 Proxy Statement under “Election of Directors” and “Approval of Related Person Transactions and Transactions with Related Persons” and is incorporated herein by reference. If the 2022 Proxy Statement is not filed with the SEC within 120 days after the end of our most recent fiscal year, we will provide such information by means of an amendment to this Annual Report on Form 10-K.</w:t>
      </w:r>
    </w:p>
    <w:p>
      <w:pPr>
        <w:pStyle w:val="TextBody"/>
        <w:spacing w:before="0" w:after="240"/>
        <w:ind w:left="0" w:right="0" w:hanging="0"/>
        <w:rPr>
          <w:rFonts w:ascii="Times New Roman;Times;serif" w:hAnsi="Times New Roman;Times;serif"/>
          <w:b/>
          <w:sz w:val="20"/>
        </w:rPr>
      </w:pPr>
      <w:bookmarkStart w:id="992" w:name="Item14PRINCIPALACCOUNTINGFEES_43693"/>
      <w:bookmarkStart w:id="993" w:name="_7529373c_616f_4184_bb91_e66e71c1a867"/>
      <w:bookmarkEnd w:id="992"/>
      <w:bookmarkEnd w:id="993"/>
      <w:r>
        <w:rPr>
          <w:rFonts w:ascii="Times New Roman;Times;serif" w:hAnsi="Times New Roman;Times;serif"/>
          <w:b/>
          <w:sz w:val="20"/>
        </w:rPr>
        <w:t>Item 14. PRINCIPAL ACCOUNTING FEES AND SERVICES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information required by this Item 14 will be included in the 2022 Proxy Statement under “Independent Registered Public Accounting Firm” and is incorporated herein by reference. If the 2022 Proxy Statement is not filed with the SEC within 120 days after the end of our most recent fiscal year, we will provide such information by means of an amendment to this Annual Report on Form 10-K.</w:t>
      </w:r>
    </w:p>
    <w:p>
      <w:pPr>
        <w:pStyle w:val="TextBody"/>
        <w:spacing w:before="0" w:after="240"/>
        <w:ind w:left="0" w:right="0" w:hanging="0"/>
        <w:jc w:val="center"/>
        <w:rPr>
          <w:rFonts w:ascii="Times New Roman;Times;serif" w:hAnsi="Times New Roman;Times;serif"/>
          <w:b/>
          <w:sz w:val="20"/>
        </w:rPr>
      </w:pPr>
      <w:bookmarkStart w:id="994" w:name="PARTIV_712804"/>
      <w:bookmarkStart w:id="995" w:name="_e628767d_6f95_4cd0_a0ec_fdb71a616308"/>
      <w:bookmarkEnd w:id="994"/>
      <w:bookmarkEnd w:id="995"/>
      <w:r>
        <w:rPr>
          <w:rFonts w:ascii="Times New Roman;Times;serif" w:hAnsi="Times New Roman;Times;serif"/>
          <w:b/>
          <w:sz w:val="20"/>
        </w:rPr>
        <w:t>PART IV</w:t>
      </w:r>
    </w:p>
    <w:p>
      <w:pPr>
        <w:pStyle w:val="TextBody"/>
        <w:spacing w:before="0" w:after="240"/>
        <w:ind w:left="0" w:right="0" w:hanging="0"/>
        <w:rPr>
          <w:rFonts w:ascii="Times New Roman;Times;serif" w:hAnsi="Times New Roman;Times;serif"/>
          <w:b/>
          <w:sz w:val="20"/>
        </w:rPr>
      </w:pPr>
      <w:bookmarkStart w:id="996" w:name="Item15EXHIBITSFINANCIALSTATEMENT_652110"/>
      <w:bookmarkEnd w:id="996"/>
      <w:r>
        <w:rPr>
          <w:rFonts w:ascii="Times New Roman;Times;serif" w:hAnsi="Times New Roman;Times;serif"/>
          <w:b/>
          <w:sz w:val="20"/>
        </w:rPr>
        <w:t>Item 15. EXHIBITS, FINANCIAL STATEMENT SCHEDULES</w:t>
      </w:r>
    </w:p>
    <w:p>
      <w:pPr>
        <w:pStyle w:val="TextBody"/>
        <w:spacing w:before="0" w:after="240"/>
        <w:ind w:left="0" w:right="0" w:hanging="0"/>
        <w:rPr>
          <w:rFonts w:ascii="Times New Roman;Times;serif" w:hAnsi="Times New Roman;Times;serif"/>
          <w:sz w:val="20"/>
        </w:rPr>
      </w:pPr>
      <w:r>
        <w:rPr>
          <w:rFonts w:ascii="Times New Roman;Times;serif" w:hAnsi="Times New Roman;Times;serif"/>
          <w:color w:val="231F20"/>
          <w:sz w:val="20"/>
        </w:rPr>
        <w:t>(A)</w:t>
      </w:r>
      <w:r>
        <w:rPr>
          <w:rFonts w:ascii="Times New Roman;Times;serif" w:hAnsi="Times New Roman;Times;serif"/>
          <w:sz w:val="20"/>
        </w:rPr>
        <w:t>The following documents are filed as part of this Form 10-K:</w:t>
      </w:r>
    </w:p>
    <w:tbl>
      <w:tblPr>
        <w:tblW w:w="2406" w:type="dxa"/>
        <w:jc w:val="left"/>
        <w:tblInd w:w="0" w:type="dxa"/>
        <w:tblCellMar>
          <w:top w:w="28" w:type="dxa"/>
          <w:left w:w="28" w:type="dxa"/>
          <w:bottom w:w="28" w:type="dxa"/>
          <w:right w:w="28" w:type="dxa"/>
        </w:tblCellMar>
      </w:tblPr>
      <w:tblGrid>
        <w:gridCol w:w="124"/>
        <w:gridCol w:w="331"/>
        <w:gridCol w:w="195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color w:val="231F20"/>
                <w:sz w:val="20"/>
              </w:rPr>
            </w:pPr>
            <w:r>
              <w:rPr>
                <w:rFonts w:ascii="Times New Roman;Times;serif" w:hAnsi="Times New Roman;Times;serif"/>
                <w:i/>
                <w:color w:val="231F20"/>
                <w:sz w:val="20"/>
              </w:rPr>
              <w:t>(1)</w:t>
            </w:r>
          </w:p>
        </w:tc>
        <w:tc>
          <w:tcPr>
            <w:tcW w:w="1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Financial Statements: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Financial Statements and Supplementary Data are included in Part II Item 8 of this report.</w:t>
      </w:r>
    </w:p>
    <w:tbl>
      <w:tblPr>
        <w:tblW w:w="3201" w:type="dxa"/>
        <w:jc w:val="left"/>
        <w:tblInd w:w="0" w:type="dxa"/>
        <w:tblCellMar>
          <w:top w:w="0" w:type="dxa"/>
          <w:left w:w="0" w:type="dxa"/>
          <w:bottom w:w="0" w:type="dxa"/>
          <w:right w:w="0" w:type="dxa"/>
        </w:tblCellMar>
      </w:tblPr>
      <w:tblGrid>
        <w:gridCol w:w="124"/>
        <w:gridCol w:w="331"/>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i/>
                <w:sz w:val="20"/>
              </w:rPr>
            </w:pPr>
            <w:r>
              <w:rPr>
                <w:rFonts w:ascii="Times New Roman;Times;serif" w:hAnsi="Times New Roman;Times;serif"/>
                <w:i/>
                <w:sz w:val="20"/>
              </w:rPr>
              <w:t>(2)</w:t>
            </w:r>
          </w:p>
        </w:tc>
        <w:tc>
          <w:tcPr>
            <w:tcW w:w="2746" w:type="dxa"/>
            <w:tcBorders/>
            <w:shd w:fill="auto" w:val="clear"/>
            <w:vAlign w:val="center"/>
          </w:tcPr>
          <w:p>
            <w:pPr>
              <w:pStyle w:val="TableContents"/>
              <w:spacing w:before="0" w:after="240"/>
              <w:rPr>
                <w:rFonts w:ascii="Times New Roman;Times;serif" w:hAnsi="Times New Roman;Times;serif"/>
                <w:i/>
                <w:sz w:val="20"/>
              </w:rPr>
            </w:pPr>
            <w:r>
              <w:rPr>
                <w:rFonts w:ascii="Times New Roman;Times;serif" w:hAnsi="Times New Roman;Times;serif"/>
                <w:i/>
                <w:sz w:val="20"/>
              </w:rPr>
              <w:t>Financial Statement Schedules: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Schedules are omitted since the required information is not applicable or is not present in amounts sufficient to require submission of the schedule, or because the information required is included in the Financial Statements or Notes thereto.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sz w:val="20"/>
        </w:rPr>
        <w:t>(3)</w:t>
      </w:r>
      <w:r>
        <w:rPr>
          <w:rFonts w:ascii="Times New Roman;Times;serif" w:hAnsi="Times New Roman;Times;serif"/>
          <w:i/>
          <w:sz w:val="20"/>
        </w:rPr>
        <w:t>Exhibits:</w:t>
      </w:r>
    </w:p>
    <w:tbl>
      <w:tblPr>
        <w:tblW w:w="10205" w:type="dxa"/>
        <w:jc w:val="left"/>
        <w:tblInd w:w="0" w:type="dxa"/>
        <w:tblCellMar>
          <w:top w:w="0" w:type="dxa"/>
          <w:left w:w="0" w:type="dxa"/>
          <w:bottom w:w="0" w:type="dxa"/>
          <w:right w:w="0" w:type="dxa"/>
        </w:tblCellMar>
      </w:tblPr>
      <w:tblGrid>
        <w:gridCol w:w="481"/>
        <w:gridCol w:w="326"/>
        <w:gridCol w:w="6167"/>
        <w:gridCol w:w="326"/>
        <w:gridCol w:w="898"/>
        <w:gridCol w:w="23"/>
        <w:gridCol w:w="326"/>
        <w:gridCol w:w="631"/>
        <w:gridCol w:w="326"/>
        <w:gridCol w:w="701"/>
      </w:tblGrid>
      <w:tr>
        <w:trPr/>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05435" cy="175260"/>
                      <wp:effectExtent l="0" t="0" r="0" b="0"/>
                      <wp:wrapNone/>
                      <wp:docPr id="258" name="Frame257"/>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916045" cy="175260"/>
                      <wp:effectExtent l="0" t="0" r="0" b="0"/>
                      <wp:wrapNone/>
                      <wp:docPr id="260" name="Frame259"/>
                      <a:graphic xmlns:a="http://schemas.openxmlformats.org/drawingml/2006/main">
                        <a:graphicData uri="http://schemas.microsoft.com/office/word/2010/wordprocessingShape">
                          <wps:wsp>
                            <wps:cNvSpPr txBox="1"/>
                            <wps:spPr>
                              <a:xfrm>
                                <a:off x="0" y="0"/>
                                <a:ext cx="3916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84835" cy="29210"/>
                      <wp:effectExtent l="0" t="0" r="0" b="0"/>
                      <wp:wrapNone/>
                      <wp:docPr id="262" name="Frame261"/>
                      <a:graphic xmlns:a="http://schemas.openxmlformats.org/drawingml/2006/main">
                        <a:graphicData uri="http://schemas.microsoft.com/office/word/2010/wordprocessingShape">
                          <wps:wsp>
                            <wps:cNvSpPr txBox="1"/>
                            <wps:spPr>
                              <a:xfrm>
                                <a:off x="0" y="0"/>
                                <a:ext cx="5848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00685" cy="29210"/>
                      <wp:effectExtent l="0" t="0" r="0" b="0"/>
                      <wp:wrapNone/>
                      <wp:docPr id="263" name="Frame262"/>
                      <a:graphic xmlns:a="http://schemas.openxmlformats.org/drawingml/2006/main">
                        <a:graphicData uri="http://schemas.microsoft.com/office/word/2010/wordprocessingShape">
                          <wps:wsp>
                            <wps:cNvSpPr txBox="1"/>
                            <wps:spPr>
                              <a:xfrm>
                                <a:off x="0" y="0"/>
                                <a:ext cx="4006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45135" cy="29210"/>
                      <wp:effectExtent l="0" t="0" r="0" b="0"/>
                      <wp:wrapNone/>
                      <wp:docPr id="264" name="Frame263"/>
                      <a:graphic xmlns:a="http://schemas.openxmlformats.org/drawingml/2006/main">
                        <a:graphicData uri="http://schemas.microsoft.com/office/word/2010/wordprocessingShape">
                          <wps:wsp>
                            <wps:cNvSpPr txBox="1"/>
                            <wps:spPr>
                              <a:xfrm>
                                <a:off x="0" y="0"/>
                                <a:ext cx="4451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48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167"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2905" w:type="dxa"/>
            <w:gridSpan w:val="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to</w:t>
            </w:r>
          </w:p>
        </w:tc>
      </w:tr>
      <w:tr>
        <w:trPr/>
        <w:tc>
          <w:tcPr>
            <w:tcW w:w="48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167"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21" w:type="dxa"/>
            <w:gridSpan w:val="2"/>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Form and</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color w:val="231F20"/>
              </w:rPr>
            </w:pPr>
            <w:r>
              <w:rPr>
                <w:color w:val="231F20"/>
              </w:rPr>
              <w:t>​</w:t>
            </w:r>
          </w:p>
        </w:tc>
        <w:tc>
          <w:tcPr>
            <w:tcW w:w="63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Exhibit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color w:val="231F20"/>
              </w:rPr>
            </w:pPr>
            <w:r>
              <w:rPr>
                <w:color w:val="231F20"/>
              </w:rPr>
              <w:t>​</w:t>
            </w:r>
          </w:p>
        </w:tc>
        <w:tc>
          <w:tcPr>
            <w:tcW w:w="7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SEC</w:t>
            </w:r>
          </w:p>
        </w:tc>
      </w:tr>
      <w:tr>
        <w:trPr/>
        <w:tc>
          <w:tcPr>
            <w:tcW w:w="4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No.</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    </w:t>
            </w:r>
          </w:p>
        </w:tc>
        <w:tc>
          <w:tcPr>
            <w:tcW w:w="616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Description</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    </w:t>
            </w:r>
          </w:p>
        </w:tc>
        <w:tc>
          <w:tcPr>
            <w:tcW w:w="9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SEC File No.</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No.</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Filing Date</w:t>
            </w:r>
          </w:p>
        </w:tc>
      </w:tr>
      <w:tr>
        <w:trPr/>
        <w:tc>
          <w:tcPr>
            <w:tcW w:w="10205" w:type="dxa"/>
            <w:gridSpan w:val="10"/>
            <w:tcBorders/>
            <w:shd w:fill="auto" w:val="clear"/>
            <w:vAlign w:val="center"/>
          </w:tcPr>
          <w:p>
            <w:pPr>
              <w:pStyle w:val="TableContents"/>
              <w:spacing w:before="120" w:after="120"/>
              <w:ind w:left="0" w:right="0" w:hanging="0"/>
              <w:rPr>
                <w:rFonts w:ascii="Times New Roman;Times;serif" w:hAnsi="Times New Roman;Times;serif"/>
                <w:i/>
                <w:sz w:val="20"/>
              </w:rPr>
            </w:pPr>
            <w:r>
              <w:rPr>
                <w:rFonts w:ascii="Times New Roman;Times;serif" w:hAnsi="Times New Roman;Times;serif"/>
                <w:i/>
                <w:sz w:val="20"/>
              </w:rPr>
              <w:t>Plan of Acquisition, Reorganization, Arrangement, Liquidation or Succession</w:t>
            </w:r>
          </w:p>
        </w:tc>
      </w:tr>
      <w:tr>
        <w:trPr/>
        <w:tc>
          <w:tcPr>
            <w:tcW w:w="481" w:type="dxa"/>
            <w:tcBorders/>
            <w:shd w:fill="auto" w:val="clear"/>
            <w:vAlign w:val="center"/>
          </w:tcPr>
          <w:p>
            <w:pPr>
              <w:pStyle w:val="TableContents"/>
              <w:spacing w:before="0" w:after="7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w:t>
            </w:r>
          </w:p>
        </w:tc>
        <w:tc>
          <w:tcPr>
            <w:tcW w:w="326" w:type="dxa"/>
            <w:tcBorders/>
            <w:shd w:fill="auto" w:val="clear"/>
            <w:vAlign w:val="center"/>
          </w:tcPr>
          <w:p>
            <w:pPr>
              <w:pStyle w:val="TableContents"/>
              <w:spacing w:before="0" w:after="70"/>
              <w:ind w:left="0" w:right="0" w:hanging="0"/>
              <w:rPr>
                <w:color w:val="231F20"/>
              </w:rPr>
            </w:pPr>
            <w:r>
              <w:rPr>
                <w:color w:val="231F20"/>
              </w:rPr>
              <w:t>​</w:t>
            </w:r>
          </w:p>
        </w:tc>
        <w:tc>
          <w:tcPr>
            <w:tcW w:w="6167" w:type="dxa"/>
            <w:tcBorders/>
            <w:shd w:fill="auto" w:val="clear"/>
            <w:vAlign w:val="center"/>
          </w:tcPr>
          <w:p>
            <w:pPr>
              <w:pStyle w:val="TableContents"/>
              <w:spacing w:before="0" w:after="70"/>
              <w:ind w:left="0" w:right="0" w:hanging="0"/>
              <w:rPr/>
            </w:pPr>
            <w:hyperlink r:id="rId3">
              <w:r>
                <w:rPr>
                  <w:rStyle w:val="InternetLink"/>
                  <w:rFonts w:ascii="Times New Roman;Times;serif" w:hAnsi="Times New Roman;Times;serif"/>
                  <w:b w:val="false"/>
                  <w:i w:val="false"/>
                  <w:caps w:val="false"/>
                  <w:smallCaps w:val="false"/>
                  <w:sz w:val="20"/>
                </w:rPr>
                <w:t>Agreement and Plan of Merger, dated as of November 1, 2016, by and among Kolltan Pharmaceuticals, Inc., Celldex Therapeutics, Inc., Connemara Merger Sub 1 Inc. and Connemara Merger Sub 2 LLC.</w:t>
              </w:r>
            </w:hyperlink>
          </w:p>
        </w:tc>
        <w:tc>
          <w:tcPr>
            <w:tcW w:w="326" w:type="dxa"/>
            <w:tcBorders/>
            <w:shd w:fill="auto" w:val="clear"/>
            <w:vAlign w:val="center"/>
          </w:tcPr>
          <w:p>
            <w:pPr>
              <w:pStyle w:val="TableContents"/>
              <w:spacing w:before="0" w:after="70"/>
              <w:ind w:left="0" w:right="0" w:hanging="0"/>
              <w:rPr>
                <w:color w:val="231F20"/>
              </w:rPr>
            </w:pPr>
            <w:r>
              <w:rPr>
                <w:color w:val="231F20"/>
              </w:rPr>
              <w:t>​</w:t>
            </w:r>
          </w:p>
        </w:tc>
        <w:tc>
          <w:tcPr>
            <w:tcW w:w="921" w:type="dxa"/>
            <w:gridSpan w:val="2"/>
            <w:tcBorders/>
            <w:shd w:fill="auto" w:val="clear"/>
            <w:vAlign w:val="center"/>
          </w:tcPr>
          <w:p>
            <w:pPr>
              <w:pStyle w:val="TableContents"/>
              <w:spacing w:before="0" w:after="7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70"/>
              <w:ind w:left="0" w:right="0" w:hanging="0"/>
              <w:jc w:val="center"/>
              <w:rPr>
                <w:color w:val="231F20"/>
              </w:rPr>
            </w:pPr>
            <w:r>
              <w:rPr>
                <w:color w:val="231F20"/>
              </w:rPr>
              <w:t>​</w:t>
            </w:r>
          </w:p>
        </w:tc>
        <w:tc>
          <w:tcPr>
            <w:tcW w:w="631" w:type="dxa"/>
            <w:tcBorders/>
            <w:shd w:fill="auto" w:val="clear"/>
            <w:vAlign w:val="center"/>
          </w:tcPr>
          <w:p>
            <w:pPr>
              <w:pStyle w:val="TableContents"/>
              <w:spacing w:before="0" w:after="7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2.1</w:t>
            </w:r>
          </w:p>
        </w:tc>
        <w:tc>
          <w:tcPr>
            <w:tcW w:w="326" w:type="dxa"/>
            <w:tcBorders/>
            <w:shd w:fill="auto" w:val="clear"/>
            <w:vAlign w:val="center"/>
          </w:tcPr>
          <w:p>
            <w:pPr>
              <w:pStyle w:val="TableContents"/>
              <w:spacing w:before="0" w:after="70"/>
              <w:ind w:left="0" w:right="0" w:hanging="0"/>
              <w:jc w:val="center"/>
              <w:rPr>
                <w:color w:val="231F20"/>
              </w:rPr>
            </w:pPr>
            <w:r>
              <w:rPr>
                <w:color w:val="231F20"/>
              </w:rPr>
              <w:t>​</w:t>
            </w:r>
          </w:p>
        </w:tc>
        <w:tc>
          <w:tcPr>
            <w:tcW w:w="701" w:type="dxa"/>
            <w:tcBorders/>
            <w:shd w:fill="auto" w:val="clear"/>
            <w:vAlign w:val="center"/>
          </w:tcPr>
          <w:p>
            <w:pPr>
              <w:pStyle w:val="TableContents"/>
              <w:spacing w:before="0" w:after="7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11/1/16</w:t>
            </w:r>
          </w:p>
        </w:tc>
      </w:tr>
      <w:tr>
        <w:trPr/>
        <w:tc>
          <w:tcPr>
            <w:tcW w:w="10205" w:type="dxa"/>
            <w:gridSpan w:val="10"/>
            <w:tcBorders/>
            <w:shd w:fill="auto" w:val="clear"/>
            <w:vAlign w:val="center"/>
          </w:tcPr>
          <w:p>
            <w:pPr>
              <w:pStyle w:val="TableContents"/>
              <w:spacing w:before="120" w:after="120"/>
              <w:ind w:left="0" w:right="0" w:hanging="0"/>
              <w:rPr>
                <w:rFonts w:ascii="Times New Roman;Times;serif" w:hAnsi="Times New Roman;Times;serif"/>
                <w:i/>
                <w:color w:val="231F20"/>
                <w:sz w:val="20"/>
              </w:rPr>
            </w:pPr>
            <w:r>
              <w:rPr>
                <w:rFonts w:ascii="Times New Roman;Times;serif" w:hAnsi="Times New Roman;Times;serif"/>
                <w:i/>
                <w:color w:val="231F20"/>
                <w:sz w:val="20"/>
              </w:rPr>
              <w:t>Articles of Incorporation and By-Laws</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6167"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S-4</w:t>
              <w:br/>
              <w:t>(333-59215)</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7/16/98</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6167"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S-4</w:t>
              <w:br/>
              <w:t>(333-59215)</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7/16/98</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Second 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S-4</w:t>
              <w:br/>
              <w:t>(333-59215)</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3.2</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7/16/98</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Third 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5/10/02</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Fourth 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3/11/08</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3.6</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Fifth 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3.2</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3/11/08</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Sixth 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3.7</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11/10/08</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w:t>
            </w:r>
          </w:p>
        </w:tc>
        <w:tc>
          <w:tcPr>
            <w:tcW w:w="326" w:type="dxa"/>
            <w:tcBorders/>
            <w:shd w:fill="auto" w:val="clear"/>
            <w:vAlign w:val="center"/>
          </w:tcPr>
          <w:p>
            <w:pPr>
              <w:pStyle w:val="TableContents"/>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Amended and Restated By-Laws, dated April 7, 2014</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4/8/14</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3.9</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Seventh Certificate of Amendment of Third Restated Certificate of Incorporation</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2/8/19</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Amendment No. 1 to the Amended and Restated By-Laws of Celldex Therapeutics, Inc., dated January 25, 2022</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1/28/22</w:t>
            </w:r>
          </w:p>
        </w:tc>
      </w:tr>
      <w:tr>
        <w:trPr/>
        <w:tc>
          <w:tcPr>
            <w:tcW w:w="10205" w:type="dxa"/>
            <w:gridSpan w:val="10"/>
            <w:tcBorders/>
            <w:shd w:fill="auto" w:val="clear"/>
            <w:vAlign w:val="center"/>
          </w:tcPr>
          <w:p>
            <w:pPr>
              <w:pStyle w:val="TableContents"/>
              <w:spacing w:before="0" w:after="69"/>
              <w:ind w:left="0" w:right="0" w:hanging="0"/>
              <w:rPr>
                <w:rFonts w:ascii="Times New Roman;Times;serif" w:hAnsi="Times New Roman;Times;serif"/>
                <w:i/>
                <w:color w:val="231F20"/>
                <w:sz w:val="20"/>
              </w:rPr>
            </w:pPr>
            <w:r>
              <w:rPr>
                <w:rFonts w:ascii="Times New Roman;Times;serif" w:hAnsi="Times New Roman;Times;serif"/>
                <w:i/>
                <w:color w:val="231F20"/>
                <w:sz w:val="20"/>
              </w:rPr>
              <w:t>Instruments Defining the Rights of Security Holders</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Specimen of Common Stock Certificate</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4.1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2/8/19</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w:t>
            </w:r>
          </w:p>
        </w:tc>
        <w:tc>
          <w:tcPr>
            <w:tcW w:w="326" w:type="dxa"/>
            <w:tcBorders/>
            <w:shd w:fill="auto" w:val="clear"/>
            <w:vAlign w:val="center"/>
          </w:tcPr>
          <w:p>
            <w:pPr>
              <w:pStyle w:val="TableContents"/>
              <w:pBdr/>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Certificate of Designations, Preferences and Rights of a Series of Preferred Stock classifying and designating the Series C-1 Junior Participating Cumulative Preferred Stock</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8-A</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11/8/04</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4.3</w:t>
            </w:r>
          </w:p>
        </w:tc>
        <w:tc>
          <w:tcPr>
            <w:tcW w:w="326" w:type="dxa"/>
            <w:tcBorders/>
            <w:shd w:fill="auto" w:val="clear"/>
            <w:vAlign w:val="center"/>
          </w:tcPr>
          <w:p>
            <w:pPr>
              <w:pStyle w:val="TableContents"/>
              <w:spacing w:before="0" w:after="0"/>
              <w:ind w:left="0" w:right="0" w:hanging="0"/>
              <w:rPr/>
            </w:pPr>
            <w:r>
              <w:rPr/>
              <w:t>​</w:t>
            </w:r>
          </w:p>
        </w:tc>
        <w:tc>
          <w:tcPr>
            <w:tcW w:w="6167" w:type="dxa"/>
            <w:tcBorders/>
            <w:shd w:fill="auto" w:val="cle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Description of Securities</w:t>
              </w:r>
            </w:hyperlink>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921" w:type="dxa"/>
            <w:gridSpan w:val="2"/>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w:t>
              <w:br/>
              <w:t>(000-15006)</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4.3</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3/26/2020</w:t>
            </w:r>
          </w:p>
        </w:tc>
      </w:tr>
      <w:tr>
        <w:trPr/>
        <w:tc>
          <w:tcPr>
            <w:tcW w:w="10205" w:type="dxa"/>
            <w:gridSpan w:val="10"/>
            <w:tcBorders/>
            <w:shd w:fill="auto" w:val="clear"/>
            <w:vAlign w:val="center"/>
          </w:tcPr>
          <w:p>
            <w:pPr>
              <w:pStyle w:val="TableContents"/>
              <w:spacing w:before="0" w:after="0"/>
              <w:ind w:left="0" w:right="0" w:hanging="0"/>
              <w:rPr>
                <w:rFonts w:ascii="Times New Roman;Times;serif" w:hAnsi="Times New Roman;Times;serif"/>
                <w:i/>
                <w:color w:val="231F20"/>
                <w:sz w:val="20"/>
              </w:rPr>
            </w:pPr>
            <w:r>
              <w:rPr>
                <w:rFonts w:ascii="Times New Roman;Times;serif" w:hAnsi="Times New Roman;Times;serif"/>
                <w:i/>
                <w:color w:val="231F20"/>
                <w:sz w:val="20"/>
              </w:rPr>
              <w:t>Material Contracts-Leases</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6167" w:type="dxa"/>
            <w:tcBorders/>
            <w:shd w:fill="auto" w:val="clear"/>
            <w:vAlign w:val="center"/>
          </w:tcPr>
          <w:p>
            <w:pPr>
              <w:pStyle w:val="TableContents"/>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Commercial Lease Agreement of May 1, 1996 between the Company and Fourth Avenue Ventures Limited Partnership</w:t>
              </w:r>
            </w:hyperlink>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10-Q/A</w:t>
              <w:br/>
              <w:t>(000-15006)</w:t>
            </w:r>
          </w:p>
        </w:tc>
        <w:tc>
          <w:tcPr>
            <w:tcW w:w="349" w:type="dxa"/>
            <w:gridSpan w:val="2"/>
            <w:tcBorders/>
            <w:shd w:fill="auto" w:val="clear"/>
            <w:vAlign w:val="center"/>
          </w:tcPr>
          <w:p>
            <w:pPr>
              <w:pStyle w:val="TableContents"/>
              <w:spacing w:before="0" w:after="0"/>
              <w:ind w:left="0" w:right="0" w:hanging="0"/>
              <w:jc w:val="center"/>
              <w:rPr>
                <w:color w:val="231F20"/>
              </w:rPr>
            </w:pPr>
            <w:r>
              <w:rPr>
                <w:color w:val="231F20"/>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8/23/96</w:t>
            </w:r>
          </w:p>
        </w:tc>
      </w:tr>
      <w:tr>
        <w:trPr/>
        <w:tc>
          <w:tcPr>
            <w:tcW w:w="4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6167" w:type="dxa"/>
            <w:tcBorders/>
            <w:shd w:fill="auto" w:val="cle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 xml:space="preserve">Extension of Lease Agreement of May 1, 1997 between the Company and DIV Needham 53 LLC </w:t>
              </w:r>
            </w:hyperlink>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w:t>
              <w:br/>
              <w:t>(000-15006)</w:t>
            </w:r>
          </w:p>
        </w:tc>
        <w:tc>
          <w:tcPr>
            <w:tcW w:w="349" w:type="dxa"/>
            <w:gridSpan w:val="2"/>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10.9</w:t>
            </w:r>
          </w:p>
        </w:tc>
        <w:tc>
          <w:tcPr>
            <w:tcW w:w="326" w:type="dxa"/>
            <w:tcBorders/>
            <w:shd w:fill="auto" w:val="clear"/>
            <w:vAlign w:val="center"/>
          </w:tcPr>
          <w:p>
            <w:pPr>
              <w:pStyle w:val="TableContents"/>
              <w:spacing w:before="0" w:after="0"/>
              <w:ind w:left="0" w:right="0" w:hanging="0"/>
              <w:jc w:val="center"/>
              <w:rPr/>
            </w:pPr>
            <w:r>
              <w:rPr/>
              <w:t>​</w:t>
            </w:r>
          </w:p>
        </w:tc>
        <w:tc>
          <w:tcPr>
            <w:tcW w:w="70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3/27/02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586"/>
        <w:gridCol w:w="109"/>
        <w:gridCol w:w="7137"/>
        <w:gridCol w:w="109"/>
        <w:gridCol w:w="845"/>
        <w:gridCol w:w="109"/>
        <w:gridCol w:w="571"/>
        <w:gridCol w:w="109"/>
        <w:gridCol w:w="630"/>
      </w:tblGrid>
      <w:tr>
        <w:trPr/>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7137" w:type="dxa"/>
            <w:tcBorders/>
            <w:shd w:fill="auto" w:val="cle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(successor in interest to Fourth Avenue Ventures Limited Partnership) dated as of August 23, 2001</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45"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630" w:type="dxa"/>
            <w:tcBorders/>
            <w:shd w:fill="auto" w:val="clear"/>
            <w:vAlign w:val="center"/>
          </w:tcPr>
          <w:p>
            <w:pPr>
              <w:pStyle w:val="TableContents"/>
              <w:spacing w:before="0" w:after="283"/>
              <w:ind w:left="0" w:right="0" w:hanging="0"/>
              <w:rPr>
                <w:sz w:val="4"/>
                <w:szCs w:val="4"/>
              </w:rPr>
            </w:pPr>
            <w:r>
              <w:rPr>
                <w:sz w:val="4"/>
                <w:szCs w:val="4"/>
              </w:rPr>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First Amendment to Lease by and between the Company and DIV Needham 115 LLC (successor in interest to Fourth Avenue Ventures Limited Partnership) dated November 29, 2005</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10.40</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3/16/06</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10.4</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Second Amendment to Lease by and between the Company and DIV Needham 115 LLC dated as of August 1, 2015</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10-K/A</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10.4</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2/25/16</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*10.5</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Lease Agreement, by and between the Company and the Massachusetts Development Finance Agency, dated as of December 22, 2003</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4/30/04</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First Amendment to Lease between Massachusetts Development Finance Agency and the Company dated March 17, 2005</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10-K/A</w:t>
              <w:br/>
              <w:t>(000-15006)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12/23/10</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10.7</w:t>
            </w:r>
          </w:p>
        </w:tc>
        <w:tc>
          <w:tcPr>
            <w:tcW w:w="109" w:type="dxa"/>
            <w:tcBorders/>
            <w:shd w:fill="auto" w:val="clear"/>
            <w:vAlign w:val="center"/>
          </w:tcPr>
          <w:p>
            <w:pPr>
              <w:pStyle w:val="TableContents"/>
              <w:spacing w:before="0" w:after="0"/>
              <w:ind w:left="0" w:right="0" w:hanging="0"/>
              <w:jc w:val="both"/>
              <w:rPr>
                <w:color w:val="231F20"/>
              </w:rPr>
            </w:pPr>
            <w:r>
              <w:rPr>
                <w:color w:val="231F20"/>
              </w:rPr>
              <w:t>​</w:t>
            </w:r>
          </w:p>
        </w:tc>
        <w:tc>
          <w:tcPr>
            <w:tcW w:w="7137" w:type="dxa"/>
            <w:tcBorders/>
            <w:shd w:fill="auto" w:val="clear"/>
            <w:vAlign w:val="center"/>
          </w:tcPr>
          <w:p>
            <w:pPr>
              <w:pStyle w:val="TableContents"/>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Second Amendment to Lease by and between the Company and the Massachusetts Development Finance Agency dated as of November 4, 2005</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10.41</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3/16/06</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10.8</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5">
              <w:r>
                <w:rPr>
                  <w:rStyle w:val="InternetLink"/>
                  <w:rFonts w:ascii="Times New Roman;Times;serif" w:hAnsi="Times New Roman;Times;serif"/>
                  <w:b w:val="false"/>
                  <w:i w:val="false"/>
                  <w:caps w:val="false"/>
                  <w:smallCaps w:val="false"/>
                  <w:sz w:val="20"/>
                </w:rPr>
                <w:t>Third Amendment to Lease between Massachusetts Development Finance Agency and the Company dated December 20, 2006</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10-K/A</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10.7</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12/23/10</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10.9</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6">
              <w:r>
                <w:rPr>
                  <w:rStyle w:val="InternetLink"/>
                  <w:rFonts w:ascii="Times New Roman;Times;serif" w:hAnsi="Times New Roman;Times;serif"/>
                  <w:b w:val="false"/>
                  <w:i w:val="false"/>
                  <w:caps w:val="false"/>
                  <w:smallCaps w:val="false"/>
                  <w:sz w:val="20"/>
                </w:rPr>
                <w:t>Fifth Amendment to Lease between Massachusetts Development Finance Agency and the Company dated October 3, 2008</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10-K/A</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10.8</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12/23/10</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10.10</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7">
              <w:r>
                <w:rPr>
                  <w:rStyle w:val="InternetLink"/>
                  <w:rFonts w:ascii="Times New Roman;Times;serif" w:hAnsi="Times New Roman;Times;serif"/>
                  <w:b w:val="false"/>
                  <w:i w:val="false"/>
                  <w:caps w:val="false"/>
                  <w:smallCaps w:val="false"/>
                  <w:sz w:val="20"/>
                </w:rPr>
                <w:t>Sixth Amendment to Lease between Massachusetts Development Finance Agency and the Company dated August 20, 2009</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10-K/A</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10.9</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12/23/10</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10.11</w:t>
            </w:r>
          </w:p>
        </w:tc>
        <w:tc>
          <w:tcPr>
            <w:tcW w:w="109" w:type="dxa"/>
            <w:tcBorders/>
            <w:shd w:fill="auto" w:val="clear"/>
            <w:vAlign w:val="center"/>
          </w:tcPr>
          <w:p>
            <w:pPr>
              <w:pStyle w:val="TableContents"/>
              <w:spacing w:before="0" w:after="0"/>
              <w:ind w:left="0" w:right="0" w:hanging="0"/>
              <w:jc w:val="both"/>
              <w:rPr>
                <w:color w:val="231F20"/>
              </w:rPr>
            </w:pPr>
            <w:r>
              <w:rPr>
                <w:color w:val="231F20"/>
              </w:rPr>
              <w:t>​</w:t>
            </w:r>
          </w:p>
        </w:tc>
        <w:tc>
          <w:tcPr>
            <w:tcW w:w="7137" w:type="dxa"/>
            <w:tcBorders/>
            <w:shd w:fill="auto" w:val="clear"/>
            <w:vAlign w:val="center"/>
          </w:tcPr>
          <w:p>
            <w:pPr>
              <w:pStyle w:val="TableContents"/>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Seventh Amendment to Lease by and between the Company and the Massachusetts Development Finance Agency dated as of June 22, 2010</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8/5/10</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10.12</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29">
              <w:r>
                <w:rPr>
                  <w:rStyle w:val="InternetLink"/>
                  <w:rFonts w:ascii="Times New Roman;Times;serif" w:hAnsi="Times New Roman;Times;serif"/>
                  <w:b w:val="false"/>
                  <w:i w:val="false"/>
                  <w:caps w:val="false"/>
                  <w:smallCaps w:val="false"/>
                  <w:sz w:val="20"/>
                </w:rPr>
                <w:t>Eighth Amendment to Lease by and between the Company and University of Massachusetts Dartmouth dated as of November 1, 2015</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10-K/A</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10.12</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2/25/16</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10.13</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30">
              <w:r>
                <w:rPr>
                  <w:rStyle w:val="InternetLink"/>
                  <w:rFonts w:ascii="Times New Roman;Times;serif" w:hAnsi="Times New Roman;Times;serif"/>
                  <w:b w:val="false"/>
                  <w:i w:val="false"/>
                  <w:caps w:val="false"/>
                  <w:smallCaps w:val="false"/>
                  <w:sz w:val="20"/>
                </w:rPr>
                <w:t>Ninth Amendment to Lease by and between the Company and University of Massachusetts Dartmouth dated as of October 1, 2019</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10.13</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3/26/20</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10.14</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31">
              <w:r>
                <w:rPr>
                  <w:rStyle w:val="InternetLink"/>
                  <w:rFonts w:ascii="Times New Roman;Times;serif" w:hAnsi="Times New Roman;Times;serif"/>
                  <w:b w:val="false"/>
                  <w:i w:val="false"/>
                  <w:caps w:val="false"/>
                  <w:smallCaps w:val="false"/>
                  <w:sz w:val="20"/>
                </w:rPr>
                <w:t>Lease Agreement dated as of May 1, 2013 by and between Crown Perryville, LLC and the Company.</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5/03/13</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10.15</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32">
              <w:r>
                <w:rPr>
                  <w:rStyle w:val="InternetLink"/>
                  <w:rFonts w:ascii="Times New Roman;Times;serif" w:hAnsi="Times New Roman;Times;serif"/>
                  <w:b w:val="false"/>
                  <w:i w:val="false"/>
                  <w:caps w:val="false"/>
                  <w:smallCaps w:val="false"/>
                  <w:sz w:val="20"/>
                </w:rPr>
                <w:t>First Amendment to Lease between Company and Crown Perryville, LLC dated as of June 17, 2015</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10.2</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8/10/15</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10.16</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37" w:type="dxa"/>
            <w:tcBorders/>
            <w:shd w:fill="auto" w:val="clear"/>
            <w:vAlign w:val="center"/>
          </w:tcPr>
          <w:p>
            <w:pPr>
              <w:pStyle w:val="TableContents"/>
              <w:spacing w:before="0" w:after="0"/>
              <w:ind w:left="0" w:right="0" w:hanging="0"/>
              <w:rPr/>
            </w:pPr>
            <w:hyperlink r:id="rId33">
              <w:r>
                <w:rPr>
                  <w:rStyle w:val="InternetLink"/>
                  <w:rFonts w:ascii="Times New Roman;Times;serif" w:hAnsi="Times New Roman;Times;serif"/>
                  <w:b w:val="false"/>
                  <w:i w:val="false"/>
                  <w:caps w:val="false"/>
                  <w:smallCaps w:val="false"/>
                  <w:sz w:val="20"/>
                </w:rPr>
                <w:t>Second Amendment to Lease Agreement between the Company and Crown Perryville, LLC dated as of March 8, 2019</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45"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630"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5/7/19</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86"/>
        <w:gridCol w:w="109"/>
        <w:gridCol w:w="7167"/>
        <w:gridCol w:w="109"/>
        <w:gridCol w:w="965"/>
        <w:gridCol w:w="109"/>
        <w:gridCol w:w="466"/>
        <w:gridCol w:w="109"/>
        <w:gridCol w:w="585"/>
      </w:tblGrid>
      <w:tr>
        <w:trPr/>
        <w:tc>
          <w:tcPr>
            <w:tcW w:w="58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16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6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85" w:type="dxa"/>
            <w:tcBorders/>
            <w:shd w:fill="auto" w:val="clear"/>
            <w:vAlign w:val="center"/>
          </w:tcPr>
          <w:p>
            <w:pPr>
              <w:pStyle w:val="TableContents"/>
              <w:spacing w:before="0" w:after="0"/>
              <w:ind w:left="0" w:right="0" w:hanging="0"/>
              <w:rPr/>
            </w:pPr>
            <w:r>
              <w:rPr/>
              <w:t>​</w:t>
            </w:r>
          </w:p>
        </w:tc>
      </w:tr>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67" w:type="dxa"/>
            <w:tcBorders/>
            <w:shd w:fill="auto" w:val="clear"/>
            <w:vAlign w:val="center"/>
          </w:tcPr>
          <w:p>
            <w:pPr>
              <w:pStyle w:val="TableContents"/>
              <w:spacing w:before="0" w:after="0"/>
              <w:ind w:left="0" w:right="0" w:hanging="0"/>
              <w:rPr/>
            </w:pPr>
            <w:hyperlink r:id="rId34">
              <w:r>
                <w:rPr>
                  <w:rStyle w:val="InternetLink"/>
                  <w:rFonts w:ascii="Times New Roman;Times;serif" w:hAnsi="Times New Roman;Times;serif"/>
                  <w:b w:val="false"/>
                  <w:i w:val="false"/>
                  <w:caps w:val="false"/>
                  <w:smallCaps w:val="false"/>
                  <w:sz w:val="20"/>
                </w:rPr>
                <w:t>Extension of Lease Agreement between the Company and University of Massachusetts Dartmouth dated as of July 1, 2020</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96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58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8/6/20</w:t>
            </w:r>
          </w:p>
        </w:tc>
      </w:tr>
    </w:tbl>
    <w:p>
      <w:pPr>
        <w:pStyle w:val="TextBody"/>
        <w:spacing w:before="0" w:after="0"/>
        <w:ind w:left="0" w:right="0" w:hanging="0"/>
        <w:rPr/>
      </w:pPr>
      <w:r>
        <w:rPr/>
        <w:t>​</w:t>
      </w:r>
    </w:p>
    <w:tbl>
      <w:tblPr>
        <w:tblW w:w="6854" w:type="dxa"/>
        <w:jc w:val="left"/>
        <w:tblInd w:w="0" w:type="dxa"/>
        <w:tblCellMar>
          <w:top w:w="0" w:type="dxa"/>
          <w:left w:w="0" w:type="dxa"/>
          <w:bottom w:w="0" w:type="dxa"/>
          <w:right w:w="0" w:type="dxa"/>
        </w:tblCellMar>
      </w:tblPr>
      <w:tblGrid>
        <w:gridCol w:w="869"/>
        <w:gridCol w:w="763"/>
        <w:gridCol w:w="158"/>
        <w:gridCol w:w="763"/>
        <w:gridCol w:w="158"/>
        <w:gridCol w:w="763"/>
        <w:gridCol w:w="763"/>
        <w:gridCol w:w="763"/>
        <w:gridCol w:w="763"/>
        <w:gridCol w:w="763"/>
        <w:gridCol w:w="174"/>
        <w:gridCol w:w="154"/>
      </w:tblGrid>
      <w:tr>
        <w:trPr/>
        <w:tc>
          <w:tcPr>
            <w:tcW w:w="869" w:type="dxa"/>
            <w:tcBorders/>
            <w:shd w:fill="auto" w:val="clear"/>
            <w:vAlign w:val="center"/>
          </w:tcPr>
          <w:p>
            <w:pPr>
              <w:pStyle w:val="TableContents"/>
              <w:spacing w:before="0" w:after="283"/>
              <w:ind w:left="0" w:right="0" w:hanging="0"/>
              <w:rPr>
                <w:sz w:val="4"/>
                <w:szCs w:val="4"/>
              </w:rPr>
            </w:pPr>
            <w:r>
              <w:rPr>
                <w:sz w:val="4"/>
                <w:szCs w:val="4"/>
              </w:rPr>
            </w:r>
          </w:p>
        </w:tc>
        <w:tc>
          <w:tcPr>
            <w:tcW w:w="763" w:type="dxa"/>
            <w:tcBorders/>
            <w:shd w:fill="auto" w:val="clear"/>
            <w:vAlign w:val="center"/>
          </w:tcPr>
          <w:p>
            <w:pPr>
              <w:pStyle w:val="TableContents"/>
              <w:spacing w:before="0" w:after="0"/>
              <w:ind w:left="0" w:right="0" w:hanging="0"/>
              <w:rPr/>
            </w:pPr>
            <w:r>
              <w:rPr/>
              <w:t>​</w:t>
            </w:r>
          </w:p>
        </w:tc>
        <w:tc>
          <w:tcPr>
            <w:tcW w:w="1079" w:type="dxa"/>
            <w:gridSpan w:val="3"/>
            <w:tcBorders/>
            <w:shd w:fill="auto" w:val="clear"/>
            <w:vAlign w:val="center"/>
          </w:tcPr>
          <w:p>
            <w:pPr>
              <w:pStyle w:val="TableContents"/>
              <w:spacing w:before="0" w:after="283"/>
              <w:ind w:left="0" w:right="0" w:hanging="0"/>
              <w:rPr>
                <w:sz w:val="4"/>
                <w:szCs w:val="4"/>
              </w:rPr>
            </w:pPr>
            <w:r>
              <w:rPr>
                <w:sz w:val="4"/>
                <w:szCs w:val="4"/>
              </w:rPr>
            </w:r>
          </w:p>
        </w:tc>
        <w:tc>
          <w:tcPr>
            <w:tcW w:w="763"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rPr/>
            </w:pPr>
            <w:r>
              <w:rPr/>
              <w:t>​</w:t>
            </w:r>
          </w:p>
        </w:tc>
        <w:tc>
          <w:tcPr>
            <w:tcW w:w="763" w:type="dxa"/>
            <w:tcBorders/>
            <w:shd w:fill="auto" w:val="clear"/>
            <w:vAlign w:val="center"/>
          </w:tcPr>
          <w:p>
            <w:pPr>
              <w:pStyle w:val="TableContents"/>
              <w:spacing w:before="0" w:after="0"/>
              <w:ind w:left="0" w:right="0" w:hanging="0"/>
              <w:rPr/>
            </w:pPr>
            <w:r>
              <w:rPr/>
              <w:t>​</w:t>
            </w:r>
          </w:p>
        </w:tc>
        <w:tc>
          <w:tcPr>
            <w:tcW w:w="328"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6700" w:type="dxa"/>
            <w:gridSpan w:val="11"/>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Material Contracts-License, Collaboration, Supply and Distribution Agreements</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90" w:type="dxa"/>
            <w:gridSpan w:val="3"/>
            <w:tcBorders/>
            <w:shd w:fill="auto" w:val="clear"/>
            <w:vAlign w:val="center"/>
          </w:tcPr>
          <w:p>
            <w:pPr>
              <w:pStyle w:val="TableContents"/>
              <w:spacing w:before="0" w:after="0"/>
              <w:ind w:left="0" w:right="0" w:hanging="0"/>
              <w:jc w:val="right"/>
              <w:rPr/>
            </w:pPr>
            <w:r>
              <w:rPr/>
              <w:t>​</w:t>
            </w:r>
          </w:p>
        </w:tc>
        <w:tc>
          <w:tcPr>
            <w:tcW w:w="763" w:type="dxa"/>
            <w:tcBorders/>
            <w:shd w:fill="auto" w:val="clear"/>
            <w:vAlign w:val="center"/>
          </w:tcPr>
          <w:p>
            <w:pPr>
              <w:pStyle w:val="TableContents"/>
              <w:spacing w:before="0" w:after="0"/>
              <w:ind w:left="0" w:right="0" w:hanging="0"/>
              <w:rPr/>
            </w:pPr>
            <w:r>
              <w:rPr/>
              <w:t>​</w:t>
            </w:r>
          </w:p>
        </w:tc>
        <w:tc>
          <w:tcPr>
            <w:tcW w:w="4147" w:type="dxa"/>
            <w:gridSpan w:val="7"/>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91"/>
        <w:gridCol w:w="109"/>
        <w:gridCol w:w="6918"/>
        <w:gridCol w:w="109"/>
        <w:gridCol w:w="903"/>
        <w:gridCol w:w="109"/>
        <w:gridCol w:w="571"/>
        <w:gridCol w:w="109"/>
        <w:gridCol w:w="686"/>
      </w:tblGrid>
      <w:tr>
        <w:trPr/>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6918" w:type="dxa"/>
            <w:tcBorders/>
            <w:shd w:fill="auto" w:val="clear"/>
            <w:vAlign w:val="center"/>
          </w:tcPr>
          <w:p>
            <w:pPr>
              <w:pStyle w:val="TableContents"/>
              <w:spacing w:before="0" w:after="0"/>
              <w:ind w:left="0" w:right="0" w:hanging="0"/>
              <w:rPr/>
            </w:pPr>
            <w:hyperlink r:id="rId35">
              <w:r>
                <w:rPr>
                  <w:rStyle w:val="InternetLink"/>
                  <w:rFonts w:ascii="Times New Roman;Times;serif" w:hAnsi="Times New Roman;Times;serif"/>
                  <w:b w:val="false"/>
                  <w:i w:val="false"/>
                  <w:caps w:val="false"/>
                  <w:smallCaps w:val="false"/>
                  <w:sz w:val="20"/>
                </w:rPr>
                <w:t>Exclusive Patent and Know-How License Agreement dated as of November 5, 2008 between the Company and the University of Southampton</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90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10.47</w:t>
            </w:r>
          </w:p>
        </w:tc>
        <w:tc>
          <w:tcPr>
            <w:tcW w:w="109" w:type="dxa"/>
            <w:tcBorders/>
            <w:shd w:fill="auto" w:val="clear"/>
            <w:vAlign w:val="center"/>
          </w:tcPr>
          <w:p>
            <w:pPr>
              <w:pStyle w:val="TableContents"/>
              <w:spacing w:before="0" w:after="0"/>
              <w:ind w:left="0" w:right="0" w:hanging="0"/>
              <w:jc w:val="center"/>
              <w:rPr/>
            </w:pPr>
            <w:r>
              <w:rPr/>
              <w:t>​</w:t>
            </w:r>
          </w:p>
        </w:tc>
        <w:tc>
          <w:tcPr>
            <w:tcW w:w="6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3/2/09</w:t>
            </w:r>
          </w:p>
        </w:tc>
      </w:tr>
      <w:tr>
        <w:trPr/>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6918" w:type="dxa"/>
            <w:tcBorders/>
            <w:shd w:fill="auto" w:val="clear"/>
            <w:vAlign w:val="center"/>
          </w:tcPr>
          <w:p>
            <w:pPr>
              <w:pStyle w:val="TableContents"/>
              <w:spacing w:before="0" w:after="0"/>
              <w:ind w:left="0" w:right="0" w:hanging="0"/>
              <w:rPr/>
            </w:pPr>
            <w:hyperlink r:id="rId36">
              <w:r>
                <w:rPr>
                  <w:rStyle w:val="InternetLink"/>
                  <w:rFonts w:ascii="Times New Roman;Times;serif" w:hAnsi="Times New Roman;Times;serif"/>
                  <w:b w:val="false"/>
                  <w:i w:val="false"/>
                  <w:caps w:val="false"/>
                  <w:smallCaps w:val="false"/>
                  <w:sz w:val="20"/>
                </w:rPr>
                <w:t>License and Assignment Agreement, between Amgen Inc. and the Company dated March 16, 2009</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90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10-K/A </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6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12/23/10</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691"/>
        <w:gridCol w:w="109"/>
        <w:gridCol w:w="7192"/>
        <w:gridCol w:w="109"/>
        <w:gridCol w:w="824"/>
        <w:gridCol w:w="109"/>
        <w:gridCol w:w="571"/>
        <w:gridCol w:w="109"/>
        <w:gridCol w:w="491"/>
      </w:tblGrid>
      <w:tr>
        <w:trPr/>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92" w:type="dxa"/>
            <w:tcBorders/>
            <w:shd w:fill="auto" w:val="clear"/>
            <w:vAlign w:val="center"/>
          </w:tcPr>
          <w:p>
            <w:pPr>
              <w:pStyle w:val="TableContents"/>
              <w:spacing w:before="0" w:after="0"/>
              <w:ind w:left="0" w:right="0" w:hanging="0"/>
              <w:rPr/>
            </w:pPr>
            <w:hyperlink r:id="rId37">
              <w:r>
                <w:rPr>
                  <w:rStyle w:val="InternetLink"/>
                  <w:rFonts w:ascii="Times New Roman;Times;serif" w:hAnsi="Times New Roman;Times;serif"/>
                  <w:b w:val="false"/>
                  <w:i w:val="false"/>
                  <w:caps w:val="false"/>
                  <w:smallCaps w:val="false"/>
                  <w:sz w:val="20"/>
                </w:rPr>
                <w:t>Third Amended and Restated License Agreement by and between Yale University and the Company, dated March 14, 2013, as amended by the Amendments, dated March 21, 2014 and December 1, 2014</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2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109" w:type="dxa"/>
            <w:tcBorders/>
            <w:shd w:fill="auto" w:val="clear"/>
            <w:vAlign w:val="center"/>
          </w:tcPr>
          <w:p>
            <w:pPr>
              <w:pStyle w:val="TableContents"/>
              <w:spacing w:before="0" w:after="0"/>
              <w:ind w:left="0" w:right="0" w:hanging="0"/>
              <w:jc w:val="center"/>
              <w:rPr/>
            </w:pPr>
            <w:r>
              <w:rPr/>
              <w:t>​</w:t>
            </w:r>
          </w:p>
        </w:tc>
        <w:tc>
          <w:tcPr>
            <w:tcW w:w="4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3/7/18</w:t>
            </w:r>
          </w:p>
        </w:tc>
      </w:tr>
    </w:tbl>
    <w:p>
      <w:pPr>
        <w:pStyle w:val="TextBody"/>
        <w:spacing w:before="0" w:after="0"/>
        <w:ind w:left="0" w:right="0" w:hanging="0"/>
        <w:rPr/>
      </w:pPr>
      <w:r>
        <w:rPr/>
        <w:t>​</w:t>
      </w:r>
    </w:p>
    <w:tbl>
      <w:tblPr>
        <w:tblW w:w="5926" w:type="dxa"/>
        <w:jc w:val="left"/>
        <w:tblInd w:w="0" w:type="dxa"/>
        <w:tblCellMar>
          <w:top w:w="0" w:type="dxa"/>
          <w:left w:w="0" w:type="dxa"/>
          <w:bottom w:w="0" w:type="dxa"/>
          <w:right w:w="0" w:type="dxa"/>
        </w:tblCellMar>
      </w:tblPr>
      <w:tblGrid>
        <w:gridCol w:w="5926"/>
      </w:tblGrid>
      <w:tr>
        <w:trPr/>
        <w:tc>
          <w:tcPr>
            <w:tcW w:w="592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Material Contracts-Stock Purchase, Financing and Credit Agreements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86"/>
        <w:gridCol w:w="109"/>
        <w:gridCol w:w="7124"/>
        <w:gridCol w:w="109"/>
        <w:gridCol w:w="998"/>
        <w:gridCol w:w="109"/>
        <w:gridCol w:w="361"/>
        <w:gridCol w:w="109"/>
        <w:gridCol w:w="700"/>
      </w:tblGrid>
      <w:tr>
        <w:trPr/>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124" w:type="dxa"/>
            <w:tcBorders/>
            <w:shd w:fill="auto" w:val="clear"/>
            <w:vAlign w:val="center"/>
          </w:tcPr>
          <w:p>
            <w:pPr>
              <w:pStyle w:val="TableContents"/>
              <w:spacing w:before="0" w:after="0"/>
              <w:ind w:left="0" w:right="0" w:hanging="0"/>
              <w:rPr/>
            </w:pPr>
            <w:hyperlink r:id="rId38">
              <w:r>
                <w:rPr>
                  <w:rStyle w:val="InternetLink"/>
                  <w:rFonts w:ascii="Times New Roman;Times;serif" w:hAnsi="Times New Roman;Times;serif"/>
                  <w:b w:val="false"/>
                  <w:i w:val="false"/>
                  <w:caps w:val="false"/>
                  <w:smallCaps w:val="false"/>
                  <w:sz w:val="20"/>
                </w:rPr>
                <w:t>Sales Agreement, dated May 19, 2016, by and between Celldex Therapeutics, Inc. and Cantor Fitzgerald &amp; Co.</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99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109" w:type="dxa"/>
            <w:tcBorders/>
            <w:shd w:fill="auto" w:val="clear"/>
            <w:vAlign w:val="center"/>
          </w:tcPr>
          <w:p>
            <w:pPr>
              <w:pStyle w:val="TableContents"/>
              <w:spacing w:before="0" w:after="0"/>
              <w:ind w:left="0" w:right="0" w:hanging="0"/>
              <w:jc w:val="center"/>
              <w:rPr/>
            </w:pPr>
            <w:r>
              <w:rPr/>
              <w:t>​</w:t>
            </w:r>
          </w:p>
        </w:tc>
        <w:tc>
          <w:tcPr>
            <w:tcW w:w="7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5/19/16</w:t>
            </w:r>
          </w:p>
        </w:tc>
      </w:tr>
    </w:tbl>
    <w:p>
      <w:pPr>
        <w:pStyle w:val="TextBody"/>
        <w:spacing w:before="0" w:after="0"/>
        <w:ind w:left="0" w:right="0" w:hanging="0"/>
        <w:rPr/>
      </w:pPr>
      <w:r>
        <w:rPr/>
        <w:t>​</w:t>
      </w:r>
    </w:p>
    <w:tbl>
      <w:tblPr>
        <w:tblW w:w="5821" w:type="dxa"/>
        <w:jc w:val="left"/>
        <w:tblInd w:w="0" w:type="dxa"/>
        <w:tblCellMar>
          <w:top w:w="0" w:type="dxa"/>
          <w:left w:w="0" w:type="dxa"/>
          <w:bottom w:w="0" w:type="dxa"/>
          <w:right w:w="0" w:type="dxa"/>
        </w:tblCellMar>
      </w:tblPr>
      <w:tblGrid>
        <w:gridCol w:w="5821"/>
      </w:tblGrid>
      <w:tr>
        <w:trPr/>
        <w:tc>
          <w:tcPr>
            <w:tcW w:w="58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Material Contracts-Management Contracts and Compensatory Plans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48"/>
        <w:gridCol w:w="109"/>
        <w:gridCol w:w="7019"/>
        <w:gridCol w:w="109"/>
        <w:gridCol w:w="889"/>
        <w:gridCol w:w="109"/>
        <w:gridCol w:w="571"/>
        <w:gridCol w:w="109"/>
        <w:gridCol w:w="23"/>
        <w:gridCol w:w="619"/>
      </w:tblGrid>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10.22</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39">
              <w:r>
                <w:rPr>
                  <w:rStyle w:val="InternetLink"/>
                  <w:rFonts w:ascii="Times New Roman;Times;serif" w:hAnsi="Times New Roman;Times;serif"/>
                  <w:b w:val="false"/>
                  <w:i w:val="false"/>
                  <w:caps w:val="false"/>
                  <w:smallCaps w:val="false"/>
                  <w:sz w:val="20"/>
                </w:rPr>
                <w:t>Celldex Therapeutics, Inc. 2021 Omnibus Equity Incentive Plan</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6/17/21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10.23</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0">
              <w:r>
                <w:rPr>
                  <w:rStyle w:val="InternetLink"/>
                  <w:rFonts w:ascii="Times New Roman;Times;serif" w:hAnsi="Times New Roman;Times;serif"/>
                  <w:b w:val="false"/>
                  <w:i w:val="false"/>
                  <w:caps w:val="false"/>
                  <w:smallCaps w:val="false"/>
                  <w:sz w:val="20"/>
                </w:rPr>
                <w:t>Celldex Therapeutics, Inc. Amended and Restated 2008 Stock Option and Incentive Plan (as amended, effective June 18, 2020).</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6/18/20</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10.24</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1">
              <w:r>
                <w:rPr>
                  <w:rStyle w:val="InternetLink"/>
                  <w:rFonts w:ascii="Times New Roman;Times;serif" w:hAnsi="Times New Roman;Times;serif"/>
                  <w:b w:val="false"/>
                  <w:i w:val="false"/>
                  <w:caps w:val="false"/>
                  <w:smallCaps w:val="false"/>
                  <w:sz w:val="20"/>
                </w:rPr>
                <w:t>Celldex Therapeutics, Inc. Amended and Restated 2004 Employee Stock Purchase Plan (effective as of June 19, 2019)</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10.2</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6/19/19</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10.25</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2">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Anthony S. Marucci</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10.26</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3">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Sam Martin</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10.27</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4">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Tibor Keler, Ph.D.</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10.28</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5">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Ronald Pepin, Ph.D.</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10.29</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6">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Sarah Cavanaugh</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10.30</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7">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Margo Heath-Chiozzi, M.D.</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10.31</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7019" w:type="dxa"/>
            <w:tcBorders/>
            <w:shd w:fill="auto" w:val="clear"/>
            <w:vAlign w:val="center"/>
          </w:tcPr>
          <w:p>
            <w:pPr>
              <w:pStyle w:val="TableContents"/>
              <w:spacing w:before="0" w:after="0"/>
              <w:ind w:left="0" w:right="0" w:hanging="0"/>
              <w:rPr/>
            </w:pPr>
            <w:hyperlink r:id="rId48">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Elizabeth Crowley</w:t>
              </w:r>
            </w:hyperlink>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32" w:type="dxa"/>
            <w:gridSpan w:val="2"/>
            <w:tcBorders/>
            <w:shd w:fill="auto" w:val="clear"/>
            <w:vAlign w:val="center"/>
          </w:tcPr>
          <w:p>
            <w:pPr>
              <w:pStyle w:val="TableContents"/>
              <w:spacing w:before="0" w:after="0"/>
              <w:ind w:left="0" w:right="0" w:hanging="0"/>
              <w:jc w:val="center"/>
              <w:rPr/>
            </w:pPr>
            <w:r>
              <w:rPr/>
              <w:t>​</w:t>
            </w:r>
          </w:p>
        </w:tc>
        <w:tc>
          <w:tcPr>
            <w:tcW w:w="6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10.32</w:t>
            </w:r>
          </w:p>
        </w:tc>
        <w:tc>
          <w:tcPr>
            <w:tcW w:w="109" w:type="dxa"/>
            <w:tcBorders/>
            <w:shd w:fill="auto" w:val="clear"/>
            <w:vAlign w:val="center"/>
          </w:tcPr>
          <w:p>
            <w:pPr>
              <w:pStyle w:val="TableContents"/>
              <w:spacing w:before="0" w:after="0"/>
              <w:ind w:left="0" w:right="0" w:hanging="0"/>
              <w:rPr/>
            </w:pPr>
            <w:r>
              <w:rPr/>
              <w:t>​</w:t>
            </w:r>
          </w:p>
        </w:tc>
        <w:tc>
          <w:tcPr>
            <w:tcW w:w="7019" w:type="dxa"/>
            <w:tcBorders/>
            <w:shd w:fill="auto" w:val="clear"/>
            <w:vAlign w:val="center"/>
          </w:tcPr>
          <w:p>
            <w:pPr>
              <w:pStyle w:val="TableContents"/>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Richard Wright, Ph.D.</w:t>
              </w:r>
            </w:hyperlink>
          </w:p>
        </w:tc>
        <w:tc>
          <w:tcPr>
            <w:tcW w:w="109" w:type="dxa"/>
            <w:tcBorders/>
            <w:shd w:fill="auto" w:val="clear"/>
            <w:vAlign w:val="center"/>
          </w:tcPr>
          <w:p>
            <w:pPr>
              <w:pStyle w:val="TableContents"/>
              <w:spacing w:before="0" w:after="0"/>
              <w:ind w:left="0" w:right="0" w:hanging="0"/>
              <w:rPr/>
            </w:pPr>
            <w:r>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10.8</w:t>
            </w:r>
          </w:p>
        </w:tc>
        <w:tc>
          <w:tcPr>
            <w:tcW w:w="109" w:type="dxa"/>
            <w:tcBorders/>
            <w:shd w:fill="auto" w:val="clear"/>
            <w:vAlign w:val="center"/>
          </w:tcPr>
          <w:p>
            <w:pPr>
              <w:pStyle w:val="TableContents"/>
              <w:spacing w:before="0" w:after="0"/>
              <w:ind w:left="0" w:right="0" w:hanging="0"/>
              <w:jc w:val="center"/>
              <w:rPr/>
            </w:pPr>
            <w:r>
              <w:rPr/>
              <w:t>​</w:t>
            </w:r>
          </w:p>
        </w:tc>
        <w:tc>
          <w:tcPr>
            <w:tcW w:w="6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10.33</w:t>
            </w:r>
          </w:p>
        </w:tc>
        <w:tc>
          <w:tcPr>
            <w:tcW w:w="109" w:type="dxa"/>
            <w:tcBorders/>
            <w:shd w:fill="auto" w:val="clear"/>
            <w:vAlign w:val="center"/>
          </w:tcPr>
          <w:p>
            <w:pPr>
              <w:pStyle w:val="TableContents"/>
              <w:spacing w:before="0" w:after="0"/>
              <w:ind w:left="0" w:right="0" w:hanging="0"/>
              <w:rPr/>
            </w:pPr>
            <w:r>
              <w:rPr/>
              <w:t>​</w:t>
            </w:r>
          </w:p>
        </w:tc>
        <w:tc>
          <w:tcPr>
            <w:tcW w:w="7019" w:type="dxa"/>
            <w:tcBorders/>
            <w:shd w:fill="auto" w:val="clear"/>
            <w:vAlign w:val="center"/>
          </w:tcPr>
          <w:p>
            <w:pPr>
              <w:pStyle w:val="TableContents"/>
              <w:spacing w:before="0" w:after="0"/>
              <w:ind w:left="0" w:right="0" w:hanging="0"/>
              <w:rPr/>
            </w:pPr>
            <w:hyperlink r:id="rId50">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Diane Young, M.D.</w:t>
              </w:r>
            </w:hyperlink>
          </w:p>
        </w:tc>
        <w:tc>
          <w:tcPr>
            <w:tcW w:w="109" w:type="dxa"/>
            <w:tcBorders/>
            <w:shd w:fill="auto" w:val="clear"/>
            <w:vAlign w:val="center"/>
          </w:tcPr>
          <w:p>
            <w:pPr>
              <w:pStyle w:val="TableContents"/>
              <w:spacing w:before="0" w:after="0"/>
              <w:ind w:left="0" w:right="0" w:hanging="0"/>
              <w:rPr/>
            </w:pPr>
            <w:r>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10.9</w:t>
            </w:r>
          </w:p>
        </w:tc>
        <w:tc>
          <w:tcPr>
            <w:tcW w:w="109" w:type="dxa"/>
            <w:tcBorders/>
            <w:shd w:fill="auto" w:val="clear"/>
            <w:vAlign w:val="center"/>
          </w:tcPr>
          <w:p>
            <w:pPr>
              <w:pStyle w:val="TableContents"/>
              <w:spacing w:before="0" w:after="0"/>
              <w:ind w:left="0" w:right="0" w:hanging="0"/>
              <w:jc w:val="center"/>
              <w:rPr/>
            </w:pPr>
            <w:r>
              <w:rPr/>
              <w:t>​</w:t>
            </w:r>
          </w:p>
        </w:tc>
        <w:tc>
          <w:tcPr>
            <w:tcW w:w="6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10.34</w:t>
            </w:r>
          </w:p>
        </w:tc>
        <w:tc>
          <w:tcPr>
            <w:tcW w:w="109" w:type="dxa"/>
            <w:tcBorders/>
            <w:shd w:fill="auto" w:val="clear"/>
            <w:vAlign w:val="center"/>
          </w:tcPr>
          <w:p>
            <w:pPr>
              <w:pStyle w:val="TableContents"/>
              <w:spacing w:before="0" w:after="0"/>
              <w:ind w:left="0" w:right="0" w:hanging="0"/>
              <w:rPr/>
            </w:pPr>
            <w:r>
              <w:rPr/>
              <w:t>​</w:t>
            </w:r>
          </w:p>
        </w:tc>
        <w:tc>
          <w:tcPr>
            <w:tcW w:w="7019" w:type="dxa"/>
            <w:tcBorders/>
            <w:shd w:fill="auto" w:val="clear"/>
            <w:vAlign w:val="center"/>
          </w:tcPr>
          <w:p>
            <w:pPr>
              <w:pStyle w:val="TableContents"/>
              <w:spacing w:before="0" w:after="0"/>
              <w:ind w:left="0" w:right="0" w:hanging="0"/>
              <w:rPr/>
            </w:pPr>
            <w:hyperlink r:id="rId51">
              <w:r>
                <w:rPr>
                  <w:rStyle w:val="InternetLink"/>
                  <w:rFonts w:ascii="Times New Roman;Times;serif" w:hAnsi="Times New Roman;Times;serif"/>
                  <w:b w:val="false"/>
                  <w:i w:val="false"/>
                  <w:caps w:val="false"/>
                  <w:smallCaps w:val="false"/>
                  <w:sz w:val="20"/>
                </w:rPr>
                <w:t>Amended and Restated Employment Agreement, dated as of July 1, 2021, by and between Celldex Therapeutics, Inc. and Freddy Jimenez</w:t>
              </w:r>
            </w:hyperlink>
          </w:p>
        </w:tc>
        <w:tc>
          <w:tcPr>
            <w:tcW w:w="109" w:type="dxa"/>
            <w:tcBorders/>
            <w:shd w:fill="auto" w:val="clear"/>
            <w:vAlign w:val="center"/>
          </w:tcPr>
          <w:p>
            <w:pPr>
              <w:pStyle w:val="TableContents"/>
              <w:spacing w:before="0" w:after="0"/>
              <w:ind w:left="0" w:right="0" w:hanging="0"/>
              <w:rPr/>
            </w:pPr>
            <w:r>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10.10</w:t>
            </w:r>
          </w:p>
        </w:tc>
        <w:tc>
          <w:tcPr>
            <w:tcW w:w="109" w:type="dxa"/>
            <w:tcBorders/>
            <w:shd w:fill="auto" w:val="clear"/>
            <w:vAlign w:val="center"/>
          </w:tcPr>
          <w:p>
            <w:pPr>
              <w:pStyle w:val="TableContents"/>
              <w:spacing w:before="0" w:after="0"/>
              <w:ind w:left="0" w:right="0" w:hanging="0"/>
              <w:jc w:val="center"/>
              <w:rPr/>
            </w:pPr>
            <w:r>
              <w:rPr/>
              <w:t>​</w:t>
            </w:r>
          </w:p>
        </w:tc>
        <w:tc>
          <w:tcPr>
            <w:tcW w:w="6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10.35</w:t>
            </w:r>
          </w:p>
        </w:tc>
        <w:tc>
          <w:tcPr>
            <w:tcW w:w="109" w:type="dxa"/>
            <w:tcBorders/>
            <w:shd w:fill="auto" w:val="clear"/>
            <w:vAlign w:val="center"/>
          </w:tcPr>
          <w:p>
            <w:pPr>
              <w:pStyle w:val="TableContents"/>
              <w:spacing w:before="0" w:after="0"/>
              <w:ind w:left="0" w:right="0" w:hanging="0"/>
              <w:rPr/>
            </w:pPr>
            <w:r>
              <w:rPr/>
              <w:t>​</w:t>
            </w:r>
          </w:p>
        </w:tc>
        <w:tc>
          <w:tcPr>
            <w:tcW w:w="7019" w:type="dxa"/>
            <w:tcBorders/>
            <w:shd w:fill="auto" w:val="clear"/>
            <w:vAlign w:val="center"/>
          </w:tcPr>
          <w:p>
            <w:pPr>
              <w:pStyle w:val="TableContents"/>
              <w:spacing w:before="0" w:after="0"/>
              <w:ind w:left="0" w:right="0" w:hanging="0"/>
              <w:rPr/>
            </w:pPr>
            <w:hyperlink r:id="rId52">
              <w:r>
                <w:rPr>
                  <w:rStyle w:val="InternetLink"/>
                  <w:rFonts w:ascii="Times New Roman;Times;serif" w:hAnsi="Times New Roman;Times;serif"/>
                  <w:b w:val="false"/>
                  <w:i w:val="false"/>
                  <w:caps w:val="false"/>
                  <w:smallCaps w:val="false"/>
                  <w:sz w:val="20"/>
                </w:rPr>
                <w:t>Celldex Therapeutics, Inc. 2021 Plan Form of Restricted Stock Award Agreement</w:t>
              </w:r>
            </w:hyperlink>
          </w:p>
        </w:tc>
        <w:tc>
          <w:tcPr>
            <w:tcW w:w="109" w:type="dxa"/>
            <w:tcBorders/>
            <w:shd w:fill="auto" w:val="clear"/>
            <w:vAlign w:val="center"/>
          </w:tcPr>
          <w:p>
            <w:pPr>
              <w:pStyle w:val="TableContents"/>
              <w:spacing w:before="0" w:after="0"/>
              <w:ind w:left="0" w:right="0" w:hanging="0"/>
              <w:rPr/>
            </w:pPr>
            <w:r>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10.2</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6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6/17/21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10.36</w:t>
            </w:r>
          </w:p>
        </w:tc>
        <w:tc>
          <w:tcPr>
            <w:tcW w:w="109" w:type="dxa"/>
            <w:tcBorders/>
            <w:shd w:fill="auto" w:val="clear"/>
            <w:vAlign w:val="center"/>
          </w:tcPr>
          <w:p>
            <w:pPr>
              <w:pStyle w:val="TableContents"/>
              <w:spacing w:before="0" w:after="0"/>
              <w:ind w:left="0" w:right="0" w:hanging="0"/>
              <w:rPr/>
            </w:pPr>
            <w:r>
              <w:rPr/>
              <w:t>​</w:t>
            </w:r>
          </w:p>
        </w:tc>
        <w:tc>
          <w:tcPr>
            <w:tcW w:w="7019" w:type="dxa"/>
            <w:tcBorders/>
            <w:shd w:fill="auto" w:val="clear"/>
            <w:vAlign w:val="center"/>
          </w:tcPr>
          <w:p>
            <w:pPr>
              <w:pStyle w:val="TableContents"/>
              <w:spacing w:before="0" w:after="0"/>
              <w:ind w:left="0" w:right="0" w:hanging="0"/>
              <w:rPr/>
            </w:pPr>
            <w:hyperlink r:id="rId53">
              <w:r>
                <w:rPr>
                  <w:rStyle w:val="InternetLink"/>
                  <w:rFonts w:ascii="Times New Roman;Times;serif" w:hAnsi="Times New Roman;Times;serif"/>
                  <w:b w:val="false"/>
                  <w:i w:val="false"/>
                  <w:caps w:val="false"/>
                  <w:smallCaps w:val="false"/>
                  <w:sz w:val="20"/>
                </w:rPr>
                <w:t>Celldex Therapeutics, Inc. 2021 Plan Form of Incentive Stock Option Grant Agreement</w:t>
              </w:r>
            </w:hyperlink>
          </w:p>
        </w:tc>
        <w:tc>
          <w:tcPr>
            <w:tcW w:w="109" w:type="dxa"/>
            <w:tcBorders/>
            <w:shd w:fill="auto" w:val="clear"/>
            <w:vAlign w:val="center"/>
          </w:tcPr>
          <w:p>
            <w:pPr>
              <w:pStyle w:val="TableContents"/>
              <w:spacing w:before="0" w:after="0"/>
              <w:ind w:left="0" w:right="0" w:hanging="0"/>
              <w:rPr/>
            </w:pPr>
            <w:r>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10.3</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6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6/17/21</w:t>
            </w:r>
          </w:p>
        </w:tc>
      </w:tr>
      <w:tr>
        <w:trPr/>
        <w:tc>
          <w:tcPr>
            <w:tcW w:w="648"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10.37</w:t>
            </w:r>
          </w:p>
        </w:tc>
        <w:tc>
          <w:tcPr>
            <w:tcW w:w="109" w:type="dxa"/>
            <w:tcBorders/>
            <w:shd w:fill="auto" w:val="clear"/>
            <w:vAlign w:val="center"/>
          </w:tcPr>
          <w:p>
            <w:pPr>
              <w:pStyle w:val="TableContents"/>
              <w:spacing w:before="0" w:after="0"/>
              <w:ind w:left="0" w:right="0" w:hanging="0"/>
              <w:rPr/>
            </w:pPr>
            <w:r>
              <w:rPr/>
              <w:t>​</w:t>
            </w:r>
          </w:p>
        </w:tc>
        <w:tc>
          <w:tcPr>
            <w:tcW w:w="7019" w:type="dxa"/>
            <w:tcBorders/>
            <w:shd w:fill="auto" w:val="clear"/>
            <w:vAlign w:val="center"/>
          </w:tcPr>
          <w:p>
            <w:pPr>
              <w:pStyle w:val="TableContents"/>
              <w:spacing w:before="0" w:after="0"/>
              <w:ind w:left="0" w:right="0" w:hanging="0"/>
              <w:rPr/>
            </w:pPr>
            <w:hyperlink r:id="rId54">
              <w:r>
                <w:rPr>
                  <w:rStyle w:val="InternetLink"/>
                  <w:rFonts w:ascii="Times New Roman;Times;serif" w:hAnsi="Times New Roman;Times;serif"/>
                  <w:b w:val="false"/>
                  <w:i w:val="false"/>
                  <w:caps w:val="false"/>
                  <w:smallCaps w:val="false"/>
                  <w:sz w:val="20"/>
                </w:rPr>
                <w:t>Celldex Therapeutics, Inc. 2021 Plan Form of Nonqualified Stock Option Grant Agreement</w:t>
              </w:r>
            </w:hyperlink>
          </w:p>
        </w:tc>
        <w:tc>
          <w:tcPr>
            <w:tcW w:w="109" w:type="dxa"/>
            <w:tcBorders/>
            <w:shd w:fill="auto" w:val="clear"/>
            <w:vAlign w:val="center"/>
          </w:tcPr>
          <w:p>
            <w:pPr>
              <w:pStyle w:val="TableContents"/>
              <w:spacing w:before="0" w:after="0"/>
              <w:ind w:left="0" w:right="0" w:hanging="0"/>
              <w:rPr/>
            </w:pPr>
            <w:r>
              <w:rPr/>
              <w:t>​</w:t>
            </w:r>
          </w:p>
        </w:tc>
        <w:tc>
          <w:tcPr>
            <w:tcW w:w="889"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10.4</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642" w:type="dxa"/>
            <w:gridSpan w:val="2"/>
            <w:tcBorders/>
            <w:shd w:fill="auto" w:val="clear"/>
            <w:vAlign w:val="center"/>
          </w:tcPr>
          <w:p>
            <w:pPr>
              <w:pStyle w:val="TableContents"/>
              <w:spacing w:before="0" w:after="0"/>
              <w:ind w:left="106" w:right="0" w:hanging="0"/>
              <w:jc w:val="center"/>
              <w:rPr>
                <w:rFonts w:ascii="Times New Roman;Times;serif" w:hAnsi="Times New Roman;Times;serif"/>
                <w:color w:val="231F20"/>
                <w:sz w:val="20"/>
              </w:rPr>
            </w:pPr>
            <w:r>
              <w:rPr>
                <w:rFonts w:ascii="Times New Roman;Times;serif" w:hAnsi="Times New Roman;Times;serif"/>
                <w:color w:val="231F20"/>
                <w:sz w:val="20"/>
              </w:rPr>
              <w:t>6/17/21</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693"/>
        <w:gridCol w:w="109"/>
        <w:gridCol w:w="6634"/>
        <w:gridCol w:w="109"/>
        <w:gridCol w:w="1198"/>
        <w:gridCol w:w="109"/>
        <w:gridCol w:w="571"/>
        <w:gridCol w:w="109"/>
        <w:gridCol w:w="517"/>
        <w:gridCol w:w="156"/>
      </w:tblGrid>
      <w:tr>
        <w:trPr/>
        <w:tc>
          <w:tcPr>
            <w:tcW w:w="693"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10.38</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r:id="rId55">
              <w:r>
                <w:rPr>
                  <w:rStyle w:val="InternetLink"/>
                  <w:rFonts w:ascii="Times New Roman;Times;serif" w:hAnsi="Times New Roman;Times;serif"/>
                  <w:b w:val="false"/>
                  <w:i w:val="false"/>
                  <w:caps w:val="false"/>
                  <w:smallCaps w:val="false"/>
                  <w:sz w:val="20"/>
                </w:rPr>
                <w:t>Celldex Therapeutics, Inc. 2021 Plan Form of Restricted Stock Unit Award Agreement</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8-K</w:t>
              <w:br/>
              <w:t>(000-15006)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10.5</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17"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6/17/21</w:t>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10.39</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"https://www.sec.gov/Archives/edgar/data/744218/000110465918050496/a18-14097_1ex10d1.htm" \l "Exhibit10_1_040249"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2008 Plan Form of Stock Option Agreement</w:t>
            </w:r>
            <w:r>
              <w:rPr>
                <w:rStyle w:val="InternetLink"/>
                <w:smallCaps w:val="false"/>
                <w:caps w:val="false"/>
                <w:sz w:val="20"/>
                <w:i w:val="false"/>
                <w:b w:val="false"/>
                <w:rFonts w:ascii="Times New Roman;Times;serif" w:hAnsi="Times New Roman;Times;serif"/>
              </w:rPr>
              <w:fldChar w:fldCharType="end"/>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10-Q</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10.1</w:t>
            </w:r>
          </w:p>
        </w:tc>
        <w:tc>
          <w:tcPr>
            <w:tcW w:w="109" w:type="dxa"/>
            <w:tcBorders/>
            <w:shd w:fill="auto" w:val="clear"/>
            <w:vAlign w:val="center"/>
          </w:tcPr>
          <w:p>
            <w:pPr>
              <w:pStyle w:val="TableContents"/>
              <w:spacing w:before="0" w:after="0"/>
              <w:ind w:left="0" w:right="0" w:hanging="0"/>
              <w:jc w:val="center"/>
              <w:rPr/>
            </w:pPr>
            <w:r>
              <w:rPr/>
              <w:t>​</w:t>
            </w:r>
          </w:p>
        </w:tc>
        <w:tc>
          <w:tcPr>
            <w:tcW w:w="517"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8/08/18</w:t>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pPr>
            <w:r>
              <w:rPr/>
              <w:t>†</w:t>
            </w:r>
            <w:r>
              <w:rPr>
                <w:rFonts w:ascii="Times New Roman;Times;serif" w:hAnsi="Times New Roman;Times;serif"/>
                <w:sz w:val="20"/>
              </w:rPr>
              <w:t>10.40</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r:id="rId56">
              <w:r>
                <w:rPr>
                  <w:rStyle w:val="InternetLink"/>
                  <w:rFonts w:ascii="Times New Roman;Times;serif" w:hAnsi="Times New Roman;Times;serif"/>
                  <w:b w:val="false"/>
                  <w:i w:val="false"/>
                  <w:caps w:val="false"/>
                  <w:smallCaps w:val="false"/>
                  <w:sz w:val="20"/>
                </w:rPr>
                <w:t>2008 Plan Form of Restricted Stock Award</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10-K</w:t>
              <w:br/>
              <w:t>(000-15006)</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10.42</w:t>
            </w:r>
          </w:p>
        </w:tc>
        <w:tc>
          <w:tcPr>
            <w:tcW w:w="109" w:type="dxa"/>
            <w:tcBorders/>
            <w:shd w:fill="auto" w:val="clear"/>
            <w:vAlign w:val="center"/>
          </w:tcPr>
          <w:p>
            <w:pPr>
              <w:pStyle w:val="TableContents"/>
              <w:spacing w:before="0" w:after="0"/>
              <w:ind w:left="0" w:right="0" w:hanging="0"/>
              <w:jc w:val="center"/>
              <w:rPr/>
            </w:pPr>
            <w:r>
              <w:rPr/>
              <w:t>​</w:t>
            </w:r>
          </w:p>
        </w:tc>
        <w:tc>
          <w:tcPr>
            <w:tcW w:w="517"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3/12/10</w:t>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w:anchor="cldx-20211231xex21d1.htm">
              <w:r>
                <w:rPr>
                  <w:rStyle w:val="InternetLink"/>
                  <w:rFonts w:ascii="Times New Roman;Times;serif" w:hAnsi="Times New Roman;Times;serif"/>
                  <w:b w:val="false"/>
                  <w:i w:val="false"/>
                  <w:caps w:val="false"/>
                  <w:smallCaps w:val="false"/>
                  <w:sz w:val="20"/>
                </w:rPr>
                <w:t>Subsidiaries of Celldex Therapeutics, Inc.</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626" w:type="dxa"/>
            <w:gridSpan w:val="2"/>
            <w:vMerge w:val="restart"/>
            <w:tcBorders/>
            <w:shd w:fill="auto" w:val="clear"/>
            <w:vAlign w:val="center"/>
          </w:tcPr>
          <w:p>
            <w:pPr>
              <w:pStyle w:val="TableContents"/>
              <w:spacing w:before="0" w:after="0"/>
              <w:ind w:left="0" w:right="0" w:hanging="0"/>
              <w:jc w:val="center"/>
              <w:rPr/>
            </w:pPr>
            <w:r>
              <w:rPr/>
              <w:t>​</w:t>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w:anchor="cldx-20211231xex23d1.htm">
              <w:r>
                <w:rPr>
                  <w:rStyle w:val="InternetLink"/>
                  <w:rFonts w:ascii="Times New Roman;Times;serif" w:hAnsi="Times New Roman;Times;serif"/>
                  <w:b w:val="false"/>
                  <w:i w:val="false"/>
                  <w:caps w:val="false"/>
                  <w:smallCaps w:val="false"/>
                  <w:sz w:val="20"/>
                </w:rPr>
                <w:t>Consent of PricewaterhouseCoopers LLP, an Independent Registered Public Accounting Firm</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w:anchor="cldx-20211231xex31d1.htm">
              <w:r>
                <w:rPr>
                  <w:rStyle w:val="InternetLink"/>
                  <w:rFonts w:ascii="Times New Roman;Times;serif" w:hAnsi="Times New Roman;Times;serif"/>
                  <w:b w:val="false"/>
                  <w:i w:val="false"/>
                  <w:caps w:val="false"/>
                  <w:smallCaps w:val="false"/>
                  <w:sz w:val="20"/>
                </w:rPr>
                <w:t>Certification of President and Chief Executive Officer</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w:anchor="cldx-20211231xex31d2.htm">
              <w:r>
                <w:rPr>
                  <w:rStyle w:val="InternetLink"/>
                  <w:rFonts w:ascii="Times New Roman;Times;serif" w:hAnsi="Times New Roman;Times;serif"/>
                  <w:b w:val="false"/>
                  <w:i w:val="false"/>
                  <w:caps w:val="false"/>
                  <w:smallCaps w:val="false"/>
                  <w:sz w:val="20"/>
                </w:rPr>
                <w:t>Certification of Senior Vice President and Chief Financial Officer</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pPr>
            <w:hyperlink w:anchor="cldx-20211231xex32.htm">
              <w:r>
                <w:rPr>
                  <w:rStyle w:val="InternetLink"/>
                  <w:rFonts w:ascii="Times New Roman;Times;serif" w:hAnsi="Times New Roman;Times;serif"/>
                  <w:b w:val="false"/>
                  <w:i w:val="false"/>
                  <w:caps w:val="false"/>
                  <w:smallCaps w:val="false"/>
                  <w:sz w:val="20"/>
                </w:rPr>
                <w:t>Section 1350 Certifications</w:t>
              </w:r>
            </w:hyperlink>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101.INS</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Inline XBRL Instance Document - the instance document does not appear in the Interactive Data File because its XBRL tags are embedded within the Inline XBRL document</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101.SCH</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Inline XBRL Taxonomy Extension Schema Document</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101.CAL</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Inline XBRL Taxonomy Extension Calculation Linkbase Document</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101.DEF</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Inline XBRL Taxonomy Extension Definition Linkbase Document</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101.LAB</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Inline XBRL Taxonomy Extension Label Linkbase Document</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101.PRE</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Inline XBRL Taxonomy Extension Presentation Linkbase Document</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Filed herewith</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vMerge w:val="continue"/>
            <w:tcBorders/>
            <w:shd w:fill="auto" w:val="clear"/>
            <w:vAlign w:val="center"/>
          </w:tcPr>
          <w:p>
            <w:pPr>
              <w:pStyle w:val="Normal"/>
              <w:rPr/>
            </w:pPr>
            <w:r>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69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104</w:t>
            </w:r>
          </w:p>
        </w:tc>
        <w:tc>
          <w:tcPr>
            <w:tcW w:w="109" w:type="dxa"/>
            <w:tcBorders/>
            <w:shd w:fill="auto" w:val="clear"/>
            <w:vAlign w:val="center"/>
          </w:tcPr>
          <w:p>
            <w:pPr>
              <w:pStyle w:val="TableContents"/>
              <w:spacing w:before="0" w:after="0"/>
              <w:ind w:left="0" w:right="0" w:hanging="0"/>
              <w:rPr/>
            </w:pPr>
            <w:r>
              <w:rPr/>
              <w:t>​</w:t>
            </w:r>
          </w:p>
        </w:tc>
        <w:tc>
          <w:tcPr>
            <w:tcW w:w="6634"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Cover Page Interactive Data File (formatted as Inline XBRL and contained in Exhibits 101)</w:t>
            </w:r>
          </w:p>
        </w:tc>
        <w:tc>
          <w:tcPr>
            <w:tcW w:w="109" w:type="dxa"/>
            <w:tcBorders/>
            <w:shd w:fill="auto" w:val="clear"/>
            <w:vAlign w:val="center"/>
          </w:tcPr>
          <w:p>
            <w:pPr>
              <w:pStyle w:val="TableContents"/>
              <w:spacing w:before="0" w:after="0"/>
              <w:ind w:left="0" w:right="0" w:hanging="0"/>
              <w:rPr/>
            </w:pPr>
            <w:r>
              <w:rPr/>
              <w:t>​</w:t>
            </w:r>
          </w:p>
        </w:tc>
        <w:tc>
          <w:tcPr>
            <w:tcW w:w="1198" w:type="dxa"/>
            <w:tcBorders/>
            <w:shd w:fill="auto" w:val="clear"/>
            <w:vAlign w:val="center"/>
          </w:tcPr>
          <w:p>
            <w:pPr>
              <w:pStyle w:val="TableContents"/>
              <w:spacing w:before="0" w:after="0"/>
              <w:ind w:left="0" w:right="0" w:hanging="0"/>
              <w:jc w:val="center"/>
              <w:rPr>
                <w:color w:val="231F20"/>
              </w:rPr>
            </w:pPr>
            <w:r>
              <w:rPr>
                <w:color w:val="231F20"/>
              </w:rPr>
              <w:t>​</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rPr/>
            </w:pPr>
            <w:r>
              <w:rPr/>
              <w:t>​</w:t>
            </w:r>
          </w:p>
        </w:tc>
        <w:tc>
          <w:tcPr>
            <w:tcW w:w="626" w:type="dxa"/>
            <w:gridSpan w:val="2"/>
            <w:tcBorders/>
            <w:shd w:fill="auto" w:val="clear"/>
            <w:vAlign w:val="center"/>
          </w:tcPr>
          <w:p>
            <w:pPr>
              <w:pStyle w:val="TableContents"/>
              <w:spacing w:before="0" w:after="0"/>
              <w:ind w:left="0" w:right="0" w:hanging="0"/>
              <w:rPr/>
            </w:pPr>
            <w:r>
              <w:rPr/>
              <w:t>​</w:t>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Confidential treatment has been requested for certain provisions of this Exhibit pursuant to Rule 24b-2 promulgated under the Securities Exchange Act of 1934, as amended.</w:t>
            </w:r>
          </w:p>
        </w:tc>
      </w:tr>
    </w:tbl>
    <w:tbl>
      <w:tblPr>
        <w:tblW w:w="6902" w:type="dxa"/>
        <w:jc w:val="left"/>
        <w:tblInd w:w="0" w:type="dxa"/>
        <w:tblCellMar>
          <w:top w:w="0" w:type="dxa"/>
          <w:left w:w="0" w:type="dxa"/>
          <w:bottom w:w="0" w:type="dxa"/>
          <w:right w:w="0" w:type="dxa"/>
        </w:tblCellMar>
      </w:tblPr>
      <w:tblGrid>
        <w:gridCol w:w="241"/>
        <w:gridCol w:w="6661"/>
      </w:tblGrid>
      <w:tr>
        <w:trPr/>
        <w:tc>
          <w:tcPr>
            <w:tcW w:w="241" w:type="dxa"/>
            <w:tcBorders/>
            <w:shd w:fill="auto" w:val="clear"/>
            <w:vAlign w:val="center"/>
          </w:tcPr>
          <w:p>
            <w:pPr>
              <w:pStyle w:val="TableContents"/>
              <w:spacing w:before="0" w:after="0"/>
              <w:rPr/>
            </w:pPr>
            <w:r>
              <w:rPr/>
              <w:t>†</w:t>
            </w:r>
          </w:p>
        </w:tc>
        <w:tc>
          <w:tcPr>
            <w:tcW w:w="666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Indicates a management contract or compensation plan, contract or arrangement.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97" w:name="Item16FORM10KSUMMARY_35393"/>
      <w:bookmarkStart w:id="998" w:name="_d93107a6_974f_4c55_80ca_267bc2dcf296"/>
      <w:bookmarkEnd w:id="997"/>
      <w:bookmarkEnd w:id="998"/>
      <w:r>
        <w:rPr>
          <w:rFonts w:ascii="Times New Roman;Times;serif" w:hAnsi="Times New Roman;Times;serif"/>
          <w:b/>
          <w:sz w:val="20"/>
        </w:rPr>
        <w:t>Item 16. FORM 10-K SUMMARY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center"/>
        <w:rPr>
          <w:rFonts w:ascii="Times New Roman;Times;serif" w:hAnsi="Times New Roman;Times;serif"/>
          <w:b/>
          <w:sz w:val="20"/>
        </w:rPr>
      </w:pPr>
      <w:bookmarkStart w:id="999" w:name="SIGNATURES_398499"/>
      <w:bookmarkStart w:id="1000" w:name="_75199366_3d11_4be1_837d_871c82e06235"/>
      <w:bookmarkEnd w:id="999"/>
      <w:bookmarkEnd w:id="1000"/>
      <w:r>
        <w:rPr>
          <w:rFonts w:ascii="Times New Roman;Times;serif" w:hAnsi="Times New Roman;Times;serif"/>
          <w:b/>
          <w:sz w:val="20"/>
        </w:rPr>
        <w:t>SIGNATURES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240"/>
        <w:ind w:left="0" w:right="0" w:firstLine="720"/>
        <w:jc w:val="right"/>
        <w:rPr/>
      </w:pPr>
      <w:r>
        <w:rPr/>
        <w:t>​</w:t>
      </w:r>
    </w:p>
    <w:tbl>
      <w:tblPr>
        <w:tblW w:w="5253" w:type="dxa"/>
        <w:jc w:val="left"/>
        <w:tblInd w:w="0" w:type="dxa"/>
        <w:tblCellMar>
          <w:top w:w="0" w:type="dxa"/>
          <w:left w:w="0" w:type="dxa"/>
          <w:bottom w:w="0" w:type="dxa"/>
          <w:right w:w="0" w:type="dxa"/>
        </w:tblCellMar>
      </w:tblPr>
      <w:tblGrid>
        <w:gridCol w:w="1606"/>
        <w:gridCol w:w="406"/>
        <w:gridCol w:w="3241"/>
      </w:tblGrid>
      <w:tr>
        <w:trPr/>
        <w:tc>
          <w:tcPr>
            <w:tcW w:w="160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241" w:type="dxa"/>
            <w:tcBorders/>
            <w:shd w:fill="auto" w:val="clear"/>
            <w:vAlign w:val="center"/>
          </w:tcPr>
          <w:p>
            <w:pPr>
              <w:pStyle w:val="TableContents"/>
              <w:spacing w:before="0" w:after="283"/>
              <w:ind w:left="0" w:right="0" w:hanging="0"/>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rPr/>
            </w:pPr>
            <w:r>
              <w:rPr/>
              <w:t>​</w:t>
            </w:r>
          </w:p>
        </w:tc>
        <w:tc>
          <w:tcPr>
            <w:tcW w:w="3647"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CELLDEX THERAPEUTICS, INC.</w:t>
            </w:r>
          </w:p>
        </w:tc>
      </w:tr>
      <w:tr>
        <w:trPr/>
        <w:tc>
          <w:tcPr>
            <w:tcW w:w="1606" w:type="dxa"/>
            <w:tcBorders/>
            <w:shd w:fill="auto" w:val="clear"/>
            <w:vAlign w:val="center"/>
          </w:tcPr>
          <w:p>
            <w:pPr>
              <w:pStyle w:val="TableContents"/>
              <w:spacing w:before="0" w:after="0"/>
              <w:ind w:left="0" w:right="0" w:hanging="0"/>
              <w:rPr/>
            </w:pPr>
            <w:r>
              <w:rPr/>
              <w:t>​</w:t>
            </w:r>
          </w:p>
        </w:tc>
        <w:tc>
          <w:tcPr>
            <w:tcW w:w="3647" w:type="dxa"/>
            <w:gridSpan w:val="2"/>
            <w:tcBorders/>
            <w:shd w:fill="auto" w:val="clear"/>
            <w:vAlign w:val="center"/>
          </w:tcPr>
          <w:p>
            <w:pPr>
              <w:pStyle w:val="TableContents"/>
              <w:spacing w:before="0" w:after="0"/>
              <w:ind w:left="0" w:right="0" w:hanging="0"/>
              <w:rPr/>
            </w:pPr>
            <w:r>
              <w:rPr/>
              <w:t>​</w:t>
            </w:r>
          </w:p>
        </w:tc>
      </w:tr>
      <w:tr>
        <w:trPr/>
        <w:tc>
          <w:tcPr>
            <w:tcW w:w="160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ANTHONY S. MARUCCI</w:t>
            </w:r>
          </w:p>
        </w:tc>
      </w:tr>
      <w:tr>
        <w:trPr/>
        <w:tc>
          <w:tcPr>
            <w:tcW w:w="160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Date</w:t>
            </w:r>
          </w:p>
          <w:p>
            <w:pPr>
              <w:pStyle w:val="TableContents"/>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February 28, 2022</w:t>
            </w:r>
          </w:p>
        </w:tc>
        <w:tc>
          <w:tcPr>
            <w:tcW w:w="406" w:type="dxa"/>
            <w:tcBorders/>
            <w:shd w:fill="auto" w:val="clear"/>
            <w:vAlign w:val="center"/>
          </w:tcPr>
          <w:p>
            <w:pPr>
              <w:pStyle w:val="TableContents"/>
              <w:spacing w:before="0" w:after="0"/>
              <w:ind w:left="0" w:right="0" w:hanging="0"/>
              <w:rPr/>
            </w:pPr>
            <w:r>
              <w:rPr/>
              <w:t>​</w:t>
            </w:r>
          </w:p>
        </w:tc>
        <w:tc>
          <w:tcPr>
            <w:tcW w:w="324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Anthony S. Marucci</w:t>
            </w:r>
          </w:p>
          <w:p>
            <w:pPr>
              <w:pStyle w:val="TableContents"/>
              <w:spacing w:before="0" w:after="0"/>
              <w:ind w:left="0" w:right="0" w:hanging="0"/>
              <w:jc w:val="center"/>
              <w:rPr>
                <w:rFonts w:ascii="Times New Roman;Times;serif" w:hAnsi="Times New Roman;Times;serif"/>
                <w:i/>
                <w:color w:val="231F20"/>
                <w:sz w:val="20"/>
              </w:rPr>
            </w:pPr>
            <w:r>
              <w:rPr>
                <w:rFonts w:ascii="Times New Roman;Times;serif" w:hAnsi="Times New Roman;Times;serif"/>
                <w:i/>
                <w:color w:val="231F20"/>
                <w:sz w:val="20"/>
              </w:rPr>
              <w:t>President and Chief Executive Officer</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on behalf of the registrant and in the capacities and on the dates indicated.</w:t>
      </w:r>
    </w:p>
    <w:tbl>
      <w:tblPr>
        <w:tblW w:w="8695" w:type="dxa"/>
        <w:jc w:val="left"/>
        <w:tblInd w:w="0" w:type="dxa"/>
        <w:tblCellMar>
          <w:top w:w="0" w:type="dxa"/>
          <w:left w:w="0" w:type="dxa"/>
          <w:bottom w:w="0" w:type="dxa"/>
          <w:right w:w="0" w:type="dxa"/>
        </w:tblCellMar>
      </w:tblPr>
      <w:tblGrid>
        <w:gridCol w:w="2446"/>
        <w:gridCol w:w="326"/>
        <w:gridCol w:w="3961"/>
        <w:gridCol w:w="326"/>
        <w:gridCol w:w="1636"/>
      </w:tblGrid>
      <w:tr>
        <w:trPr/>
        <w:tc>
          <w:tcPr>
            <w:tcW w:w="2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53210" cy="29210"/>
                      <wp:effectExtent l="0" t="0" r="0" b="0"/>
                      <wp:wrapNone/>
                      <wp:docPr id="265" name="Frame264"/>
                      <a:graphic xmlns:a="http://schemas.openxmlformats.org/drawingml/2006/main">
                        <a:graphicData uri="http://schemas.microsoft.com/office/word/2010/wordprocessingShape">
                          <wps:wsp>
                            <wps:cNvSpPr txBox="1"/>
                            <wps:spPr>
                              <a:xfrm>
                                <a:off x="0" y="0"/>
                                <a:ext cx="15532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15235" cy="29210"/>
                      <wp:effectExtent l="0" t="0" r="0" b="0"/>
                      <wp:wrapNone/>
                      <wp:docPr id="266" name="Frame265"/>
                      <a:graphic xmlns:a="http://schemas.openxmlformats.org/drawingml/2006/main">
                        <a:graphicData uri="http://schemas.microsoft.com/office/word/2010/wordprocessingShape">
                          <wps:wsp>
                            <wps:cNvSpPr txBox="1"/>
                            <wps:spPr>
                              <a:xfrm>
                                <a:off x="0" y="0"/>
                                <a:ext cx="2515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038860" cy="29210"/>
                      <wp:effectExtent l="0" t="0" r="0" b="0"/>
                      <wp:wrapNone/>
                      <wp:docPr id="267" name="Frame266"/>
                      <a:graphic xmlns:a="http://schemas.openxmlformats.org/drawingml/2006/main">
                        <a:graphicData uri="http://schemas.microsoft.com/office/word/2010/wordprocessingShape">
                          <wps:wsp>
                            <wps:cNvSpPr txBox="1"/>
                            <wps:spPr>
                              <a:xfrm>
                                <a:off x="0" y="0"/>
                                <a:ext cx="10388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26" w:type="dxa"/>
            <w:tcBorders/>
            <w:shd w:fill="auto" w:val="clear"/>
            <w:vAlign w:val="center"/>
          </w:tcPr>
          <w:p>
            <w:pPr>
              <w:pStyle w:val="TableContents"/>
              <w:spacing w:before="0" w:after="0"/>
              <w:ind w:left="0" w:right="0" w:hanging="0"/>
              <w:jc w:val="center"/>
              <w:rPr/>
            </w:pPr>
            <w:r>
              <w:rPr/>
              <w:t>    </w:t>
            </w:r>
          </w:p>
        </w:tc>
        <w:tc>
          <w:tcPr>
            <w:tcW w:w="3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shd w:fill="auto" w:val="clear"/>
            <w:vAlign w:val="center"/>
          </w:tcPr>
          <w:p>
            <w:pPr>
              <w:pStyle w:val="TableContents"/>
              <w:spacing w:before="0" w:after="0"/>
              <w:ind w:left="0" w:right="0" w:hanging="0"/>
              <w:jc w:val="center"/>
              <w:rPr/>
            </w:pPr>
            <w:r>
              <w:rPr/>
              <w:t>    </w:t>
            </w:r>
          </w:p>
        </w:tc>
        <w:tc>
          <w:tcPr>
            <w:tcW w:w="16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44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ANTHONY S. MARUCCI</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Anthony S. Marucci</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SAM MARTIN</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Sam Martin</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Chief Financial Officer and Treasurer </w:t>
              <w:br/>
              <w:t>(Principal Financial and Accounting Officer)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KAREN L. SHOOS</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Director, Chair of the Board of Directors</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Karen L. Shoos</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KEITH L. BROWNLIE</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Keith L. Brownlie</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HERBERT J. CONRAD</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Herbert J. Conrad</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JAMES J. MARINO</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James J. Marino</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r>
        <w:trPr/>
        <w:tc>
          <w:tcPr>
            <w:tcW w:w="24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HARRY H. PENNER, JR.</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February 28, 2022</w:t>
            </w:r>
          </w:p>
        </w:tc>
      </w:tr>
      <w:tr>
        <w:trPr/>
        <w:tc>
          <w:tcPr>
            <w:tcW w:w="244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Harry H. Penner, Jr.</w:t>
            </w:r>
          </w:p>
        </w:tc>
        <w:tc>
          <w:tcPr>
            <w:tcW w:w="326" w:type="dxa"/>
            <w:tcBorders/>
            <w:shd w:fill="auto" w:val="clear"/>
            <w:vAlign w:val="center"/>
          </w:tcPr>
          <w:p>
            <w:pPr>
              <w:pStyle w:val="TableContents"/>
              <w:spacing w:before="0" w:after="0"/>
              <w:ind w:left="0" w:right="0" w:hanging="0"/>
              <w:jc w:val="center"/>
              <w:rPr/>
            </w:pPr>
            <w:r>
              <w:rPr/>
              <w:t>​</w:t>
            </w:r>
          </w:p>
        </w:tc>
        <w:tc>
          <w:tcPr>
            <w:tcW w:w="3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36"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r>
        <w:br w:type="page"/>
      </w:r>
    </w:p>
    <w:p>
      <w:pPr>
        <w:pStyle w:val="TextBody"/>
        <w:spacing w:before="0" w:after="240"/>
        <w:ind w:left="0" w:right="0" w:hanging="0"/>
        <w:jc w:val="right"/>
        <w:rPr>
          <w:rFonts w:ascii="Times New Roman;Times;serif" w:hAnsi="Times New Roman;Times;serif"/>
          <w:b/>
          <w:color w:val="231F20"/>
          <w:sz w:val="20"/>
        </w:rPr>
      </w:pPr>
      <w:bookmarkStart w:id="1001" w:name="cldx-20211231xex21d1.htm"/>
      <w:bookmarkStart w:id="1002" w:name="kscldx20211231xex21d1"/>
      <w:bookmarkEnd w:id="1001"/>
      <w:bookmarkEnd w:id="1002"/>
      <w:r>
        <w:rPr>
          <w:rFonts w:ascii="Times New Roman;Times;serif" w:hAnsi="Times New Roman;Times;serif"/>
          <w:b/>
          <w:color w:val="231F20"/>
          <w:sz w:val="20"/>
        </w:rPr>
        <w:t>Exhibit 21.1</w:t>
      </w:r>
    </w:p>
    <w:p>
      <w:pPr>
        <w:pStyle w:val="TextBody"/>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SUBSIDIARIES OF CELLDEX THERAPEUTICS, INC.</w:t>
      </w:r>
    </w:p>
    <w:tbl>
      <w:tblPr>
        <w:tblW w:w="6520" w:type="dxa"/>
        <w:jc w:val="left"/>
        <w:tblInd w:w="0" w:type="dxa"/>
        <w:tblCellMar>
          <w:top w:w="0" w:type="dxa"/>
          <w:left w:w="0" w:type="dxa"/>
          <w:bottom w:w="0" w:type="dxa"/>
          <w:right w:w="0" w:type="dxa"/>
        </w:tblCellMar>
      </w:tblPr>
      <w:tblGrid>
        <w:gridCol w:w="3436"/>
        <w:gridCol w:w="326"/>
        <w:gridCol w:w="1336"/>
        <w:gridCol w:w="326"/>
        <w:gridCol w:w="1096"/>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81860" cy="175260"/>
                      <wp:effectExtent l="0" t="0" r="0" b="0"/>
                      <wp:wrapNone/>
                      <wp:docPr id="268" name="Frame267"/>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848360" cy="175260"/>
                      <wp:effectExtent l="0" t="0" r="0" b="0"/>
                      <wp:wrapNone/>
                      <wp:docPr id="269" name="Frame268"/>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5960" cy="175260"/>
                      <wp:effectExtent l="0" t="0" r="0" b="0"/>
                      <wp:wrapNone/>
                      <wp:docPr id="270" name="Frame269"/>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Jurisdiction of</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Ownership</w:t>
            </w:r>
          </w:p>
        </w:tc>
      </w:tr>
      <w:tr>
        <w:trPr/>
        <w:tc>
          <w:tcPr>
            <w:tcW w:w="34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Name</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Organization</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Percentage</w:t>
            </w:r>
          </w:p>
        </w:tc>
      </w:tr>
      <w:tr>
        <w:trPr/>
        <w:tc>
          <w:tcPr>
            <w:tcW w:w="343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Celldex Therapeutics Switzerland GmbH</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1336"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Switzerland</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1096"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color w:val="231F20"/>
          <w:sz w:val="20"/>
        </w:rPr>
      </w:pPr>
      <w:bookmarkStart w:id="1003" w:name="cldx-20211231xex23d1.htm"/>
      <w:bookmarkStart w:id="1004" w:name="kscldx20211231xex23d1"/>
      <w:bookmarkEnd w:id="1003"/>
      <w:bookmarkEnd w:id="1004"/>
      <w:r>
        <w:rPr>
          <w:rFonts w:ascii="Times New Roman;Times;serif" w:hAnsi="Times New Roman;Times;serif"/>
          <w:b/>
          <w:color w:val="231F20"/>
          <w:sz w:val="20"/>
        </w:rPr>
        <w:t>Exhibit 23.1</w:t>
      </w:r>
    </w:p>
    <w:p>
      <w:pPr>
        <w:pStyle w:val="TextBody"/>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CONSENT OF INDEPENDENT REGISTERED PUBLIC ACCOUNTING FIRM</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We hereby consent to the incorporation by reference in the Registration Statements on Form S-8 (Nos. 333-257137, 333-239463, 333-232253, 333-232255, 333-219867, 333-219869, 333-205694, 333-189336, 333-182142, 333-151728 and 333-117602) and on Form S-3 (Nos. 333-249917, 333-239199, 333-235399 and 333-215747) of Celldex Therapeutics, Inc. of our report dated February 28, 2022 relating to the financial statements and the effectiveness of internal control over financial reporting, which appears in this Form 10-K.</w:t>
      </w:r>
    </w:p>
    <w:p>
      <w:pPr>
        <w:pStyle w:val="TextBody"/>
        <w:spacing w:before="0" w:after="240"/>
        <w:ind w:left="0" w:right="0" w:hanging="0"/>
        <w:rPr>
          <w:rFonts w:ascii="Times New Roman;Times;serif" w:hAnsi="Times New Roman;Times;serif"/>
          <w:color w:val="231F20"/>
          <w:sz w:val="20"/>
        </w:rPr>
      </w:pPr>
      <w:r>
        <w:rPr>
          <w:rFonts w:ascii="Times New Roman;Times;serif" w:hAnsi="Times New Roman;Times;serif"/>
          <w:color w:val="231F20"/>
          <w:sz w:val="20"/>
        </w:rPr>
        <w:t>/s/ PricewaterhouseCoopers LLP</w:t>
      </w:r>
    </w:p>
    <w:p>
      <w:pPr>
        <w:pStyle w:val="TextBody"/>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Boston, Massachusetts</w:t>
      </w:r>
    </w:p>
    <w:p>
      <w:pPr>
        <w:pStyle w:val="TextBody"/>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February 28, 2022</w:t>
      </w:r>
    </w:p>
    <w:p>
      <w:pPr>
        <w:pStyle w:val="HorizontalLine"/>
        <w:rPr/>
      </w:pPr>
      <w:r>
        <w:rPr/>
      </w:r>
      <w:r>
        <w:br w:type="page"/>
      </w:r>
    </w:p>
    <w:p>
      <w:pPr>
        <w:pStyle w:val="TextBody"/>
        <w:spacing w:before="0" w:after="240"/>
        <w:ind w:left="0" w:right="0" w:hanging="0"/>
        <w:jc w:val="right"/>
        <w:rPr>
          <w:rFonts w:ascii="Times New Roman;Times;serif" w:hAnsi="Times New Roman;Times;serif"/>
          <w:b/>
          <w:color w:val="231F20"/>
          <w:sz w:val="20"/>
        </w:rPr>
      </w:pPr>
      <w:bookmarkStart w:id="1005" w:name="cldx-20211231xex31d1.htm"/>
      <w:bookmarkStart w:id="1006" w:name="kscldx20211231xex31d1"/>
      <w:bookmarkEnd w:id="1005"/>
      <w:bookmarkEnd w:id="1006"/>
      <w:r>
        <w:rPr>
          <w:rFonts w:ascii="Times New Roman;Times;serif" w:hAnsi="Times New Roman;Times;serif"/>
          <w:b/>
          <w:color w:val="231F20"/>
          <w:sz w:val="20"/>
        </w:rPr>
        <w:t>Exhibit 31.1</w:t>
      </w:r>
    </w:p>
    <w:p>
      <w:pPr>
        <w:pStyle w:val="TextBody"/>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CERTIFICATION</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 Anthony S. Marucci, certify that:</w:t>
      </w:r>
    </w:p>
    <w:tbl>
      <w:tblPr>
        <w:tblW w:w="6573" w:type="dxa"/>
        <w:jc w:val="left"/>
        <w:tblInd w:w="0" w:type="dxa"/>
        <w:tblCellMar>
          <w:top w:w="0" w:type="dxa"/>
          <w:left w:w="0" w:type="dxa"/>
          <w:bottom w:w="0" w:type="dxa"/>
          <w:right w:w="0" w:type="dxa"/>
        </w:tblCellMar>
      </w:tblPr>
      <w:tblGrid>
        <w:gridCol w:w="23"/>
        <w:gridCol w:w="170"/>
        <w:gridCol w:w="63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3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Celldex Therapeutics, Inc.;</w:t>
            </w:r>
          </w:p>
        </w:tc>
      </w:tr>
    </w:tbl>
    <w:p>
      <w:pPr>
        <w:pStyle w:val="TextBody"/>
        <w:spacing w:before="0" w:after="200"/>
        <w:ind w:left="0" w:right="0" w:hanging="0"/>
        <w:rPr>
          <w:rFonts w:ascii="Times New Roman;Times;serif" w:hAnsi="Times New Roman;Times;serif"/>
          <w:sz w:val="20"/>
        </w:rPr>
      </w:pPr>
      <w:r>
        <w:rPr>
          <w:rFonts w:ascii="Times New Roman" w:hAnsi="Times New Roman"/>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00"/>
        <w:ind w:left="0" w:right="0" w:hanging="0"/>
        <w:rPr>
          <w:rFonts w:ascii="Times New Roman;Times;serif" w:hAnsi="Times New Roman;Times;serif"/>
          <w:sz w:val="20"/>
        </w:rPr>
      </w:pPr>
      <w:r>
        <w:rPr>
          <w:rFonts w:ascii="Times New Roman" w:hAnsi="Times New Roman"/>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rFonts w:ascii="Times New Roman;Times;serif" w:hAnsi="Times New Roman;Times;serif"/>
          <w:sz w:val="20"/>
        </w:rPr>
      </w:pPr>
      <w:r>
        <w:rPr>
          <w:rFonts w:ascii="Times New Roman" w:hAnsi="Times New Roman"/>
          <w:sz w:val="20"/>
        </w:rPr>
        <w:t>4.</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spacing w:before="0" w:after="200"/>
        <w:ind w:left="360" w:right="0" w:hanging="0"/>
        <w:rPr>
          <w:rFonts w:ascii="Times New Roman;Times;serif" w:hAnsi="Times New Roman;Times;serif"/>
          <w:sz w:val="20"/>
        </w:rPr>
      </w:pPr>
      <w:r>
        <w:rPr>
          <w:rFonts w:ascii="Times New Roman" w:hAnsi="Times New Roman"/>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00"/>
        <w:ind w:left="360" w:right="0" w:hanging="0"/>
        <w:rPr>
          <w:rFonts w:ascii="Times New Roman;Times;serif" w:hAnsi="Times New Roman;Times;serif"/>
          <w:sz w:val="20"/>
        </w:rPr>
      </w:pPr>
      <w:r>
        <w:rPr>
          <w:rFonts w:ascii="Times New Roman" w:hAnsi="Times New Roman"/>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00"/>
        <w:ind w:left="360" w:right="0" w:hanging="0"/>
        <w:rPr>
          <w:rFonts w:ascii="Times New Roman;Times;serif" w:hAnsi="Times New Roman;Times;serif"/>
          <w:sz w:val="20"/>
        </w:rPr>
      </w:pPr>
      <w:r>
        <w:rPr>
          <w:rFonts w:ascii="Times New Roman" w:hAnsi="Times New Roman"/>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360" w:right="0" w:hanging="0"/>
        <w:rPr>
          <w:rFonts w:ascii="Times New Roman;Times;serif" w:hAnsi="Times New Roman;Times;serif"/>
          <w:sz w:val="20"/>
        </w:rPr>
      </w:pPr>
      <w:r>
        <w:rPr>
          <w:rFonts w:ascii="Times New Roman" w:hAnsi="Times New Roman"/>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rFonts w:ascii="Times New Roman;Times;serif" w:hAnsi="Times New Roman;Times;serif"/>
          <w:sz w:val="20"/>
        </w:rPr>
      </w:pPr>
      <w:r>
        <w:rPr>
          <w:rFonts w:ascii="Times New Roman" w:hAnsi="Times New Roman"/>
          <w:sz w:val="20"/>
        </w:rPr>
        <w:t>5.</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200"/>
        <w:ind w:left="360" w:right="0" w:hanging="0"/>
        <w:rPr>
          <w:rFonts w:ascii="Times New Roman;Times;serif" w:hAnsi="Times New Roman;Times;serif"/>
          <w:sz w:val="20"/>
        </w:rPr>
      </w:pPr>
      <w:r>
        <w:rPr>
          <w:rFonts w:ascii="Times New Roman" w:hAnsi="Times New Roman"/>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360" w:right="0" w:hanging="0"/>
        <w:rPr>
          <w:rFonts w:ascii="Times New Roman;Times;serif" w:hAnsi="Times New Roman;Times;serif"/>
          <w:sz w:val="20"/>
        </w:rPr>
      </w:pPr>
      <w:r>
        <w:rPr>
          <w:rFonts w:ascii="Times New Roman" w:hAnsi="Times New Roman"/>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6168" w:type="dxa"/>
        <w:jc w:val="center"/>
        <w:tblInd w:w="0" w:type="dxa"/>
        <w:tblCellMar>
          <w:top w:w="0" w:type="dxa"/>
          <w:left w:w="0" w:type="dxa"/>
          <w:bottom w:w="0" w:type="dxa"/>
          <w:right w:w="0" w:type="dxa"/>
        </w:tblCellMar>
      </w:tblPr>
      <w:tblGrid>
        <w:gridCol w:w="2086"/>
        <w:gridCol w:w="346"/>
        <w:gridCol w:w="3736"/>
      </w:tblGrid>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February 28, 2022</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ANTHONY S. MARUCCI</w:t>
            </w:r>
          </w:p>
        </w:tc>
      </w:tr>
      <w:tr>
        <w:trPr/>
        <w:tc>
          <w:tcPr>
            <w:tcW w:w="2086"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7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Anthony S. Marucci</w:t>
            </w:r>
          </w:p>
        </w:tc>
      </w:tr>
      <w:tr>
        <w:trPr/>
        <w:tc>
          <w:tcPr>
            <w:tcW w:w="2086"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President and 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965" w:right="0" w:hanging="0"/>
        <w:jc w:val="right"/>
        <w:rPr>
          <w:rFonts w:ascii="Times New Roman;Times;serif" w:hAnsi="Times New Roman;Times;serif"/>
          <w:b/>
          <w:color w:val="231F20"/>
          <w:sz w:val="20"/>
        </w:rPr>
      </w:pPr>
      <w:bookmarkStart w:id="1007" w:name="cldx-20211231xex31d2.htm"/>
      <w:bookmarkStart w:id="1008" w:name="kscldx20211231xex31d2"/>
      <w:bookmarkEnd w:id="1007"/>
      <w:bookmarkEnd w:id="1008"/>
      <w:r>
        <w:rPr>
          <w:rFonts w:ascii="Times New Roman;Times;serif" w:hAnsi="Times New Roman;Times;serif"/>
          <w:b/>
          <w:color w:val="231F20"/>
          <w:sz w:val="20"/>
        </w:rPr>
        <w:t>Exhibit 31.2</w:t>
      </w:r>
    </w:p>
    <w:p>
      <w:pPr>
        <w:pStyle w:val="TextBody"/>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CERTIFICATION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Sam Martin, certify that:</w:t>
      </w:r>
    </w:p>
    <w:tbl>
      <w:tblPr>
        <w:tblW w:w="6573" w:type="dxa"/>
        <w:jc w:val="left"/>
        <w:tblInd w:w="0" w:type="dxa"/>
        <w:tblCellMar>
          <w:top w:w="0" w:type="dxa"/>
          <w:left w:w="0" w:type="dxa"/>
          <w:bottom w:w="0" w:type="dxa"/>
          <w:right w:w="0" w:type="dxa"/>
        </w:tblCellMar>
      </w:tblPr>
      <w:tblGrid>
        <w:gridCol w:w="23"/>
        <w:gridCol w:w="170"/>
        <w:gridCol w:w="63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3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Celldex Therapeutics, Inc.;</w:t>
            </w:r>
          </w:p>
        </w:tc>
      </w:tr>
    </w:tbl>
    <w:p>
      <w:pPr>
        <w:pStyle w:val="TextBody"/>
        <w:spacing w:before="0" w:after="200"/>
        <w:ind w:left="0" w:right="0" w:hanging="0"/>
        <w:rPr>
          <w:rFonts w:ascii="Times New Roman;Times;serif" w:hAnsi="Times New Roman;Times;serif"/>
          <w:sz w:val="20"/>
        </w:rPr>
      </w:pPr>
      <w:r>
        <w:rPr>
          <w:rFonts w:ascii="Times New Roman" w:hAnsi="Times New Roman"/>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00"/>
        <w:ind w:left="0" w:right="0" w:hanging="0"/>
        <w:rPr>
          <w:rFonts w:ascii="Times New Roman;Times;serif" w:hAnsi="Times New Roman;Times;serif"/>
          <w:sz w:val="20"/>
        </w:rPr>
      </w:pPr>
      <w:r>
        <w:rPr>
          <w:rFonts w:ascii="Times New Roman" w:hAnsi="Times New Roman"/>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rFonts w:ascii="Times New Roman;Times;serif" w:hAnsi="Times New Roman;Times;serif"/>
          <w:sz w:val="20"/>
        </w:rPr>
      </w:pPr>
      <w:r>
        <w:rPr>
          <w:rFonts w:ascii="Times New Roman" w:hAnsi="Times New Roman"/>
          <w:sz w:val="20"/>
        </w:rPr>
        <w:t>4.</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spacing w:before="0" w:after="200"/>
        <w:ind w:left="360" w:right="0" w:hanging="0"/>
        <w:rPr>
          <w:rFonts w:ascii="Times New Roman;Times;serif" w:hAnsi="Times New Roman;Times;serif"/>
          <w:sz w:val="20"/>
        </w:rPr>
      </w:pPr>
      <w:r>
        <w:rPr>
          <w:rFonts w:ascii="Times New Roman" w:hAnsi="Times New Roman"/>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00"/>
        <w:ind w:left="360" w:right="0" w:hanging="0"/>
        <w:rPr>
          <w:rFonts w:ascii="Times New Roman;Times;serif" w:hAnsi="Times New Roman;Times;serif"/>
          <w:sz w:val="20"/>
        </w:rPr>
      </w:pPr>
      <w:r>
        <w:rPr>
          <w:rFonts w:ascii="Times New Roman" w:hAnsi="Times New Roman"/>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00"/>
        <w:ind w:left="360" w:right="0" w:hanging="0"/>
        <w:rPr>
          <w:rFonts w:ascii="Times New Roman;Times;serif" w:hAnsi="Times New Roman;Times;serif"/>
          <w:sz w:val="20"/>
        </w:rPr>
      </w:pPr>
      <w:r>
        <w:rPr>
          <w:rFonts w:ascii="Times New Roman" w:hAnsi="Times New Roman"/>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360" w:right="0" w:hanging="0"/>
        <w:rPr>
          <w:rFonts w:ascii="Times New Roman;Times;serif" w:hAnsi="Times New Roman;Times;serif"/>
          <w:sz w:val="20"/>
        </w:rPr>
      </w:pPr>
      <w:r>
        <w:rPr>
          <w:rFonts w:ascii="Times New Roman" w:hAnsi="Times New Roman"/>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rFonts w:ascii="Times New Roman;Times;serif" w:hAnsi="Times New Roman;Times;serif"/>
          <w:sz w:val="20"/>
        </w:rPr>
      </w:pPr>
      <w:r>
        <w:rPr>
          <w:rFonts w:ascii="Times New Roman" w:hAnsi="Times New Roman"/>
          <w:sz w:val="20"/>
        </w:rPr>
        <w:t>5.</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200"/>
        <w:ind w:left="360" w:right="0" w:hanging="0"/>
        <w:rPr>
          <w:rFonts w:ascii="Times New Roman;Times;serif" w:hAnsi="Times New Roman;Times;serif"/>
          <w:sz w:val="20"/>
        </w:rPr>
      </w:pPr>
      <w:r>
        <w:rPr>
          <w:rFonts w:ascii="Times New Roman" w:hAnsi="Times New Roman"/>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360" w:right="0" w:hanging="0"/>
        <w:rPr>
          <w:rFonts w:ascii="Times New Roman;Times;serif" w:hAnsi="Times New Roman;Times;serif"/>
          <w:sz w:val="20"/>
        </w:rPr>
      </w:pPr>
      <w:r>
        <w:rPr>
          <w:rFonts w:ascii="Times New Roman" w:hAnsi="Times New Roman"/>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7173" w:type="dxa"/>
        <w:jc w:val="center"/>
        <w:tblInd w:w="0" w:type="dxa"/>
        <w:tblCellMar>
          <w:top w:w="0" w:type="dxa"/>
          <w:left w:w="0" w:type="dxa"/>
          <w:bottom w:w="0" w:type="dxa"/>
          <w:right w:w="0" w:type="dxa"/>
        </w:tblCellMar>
      </w:tblPr>
      <w:tblGrid>
        <w:gridCol w:w="2086"/>
        <w:gridCol w:w="346"/>
        <w:gridCol w:w="4741"/>
      </w:tblGrid>
      <w:tr>
        <w:trPr/>
        <w:tc>
          <w:tcPr>
            <w:tcW w:w="208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Date: February 28, 2022</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By</w:t>
            </w:r>
          </w:p>
        </w:tc>
        <w:tc>
          <w:tcPr>
            <w:tcW w:w="47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 SAM MARTIN</w:t>
            </w:r>
          </w:p>
        </w:tc>
      </w:tr>
      <w:tr>
        <w:trPr/>
        <w:tc>
          <w:tcPr>
            <w:tcW w:w="2086" w:type="dxa"/>
            <w:tcBorders/>
            <w:shd w:fill="auto" w:val="clear"/>
            <w:vAlign w:val="center"/>
          </w:tcPr>
          <w:p>
            <w:pPr>
              <w:pStyle w:val="TableContents"/>
              <w:spacing w:before="0" w:after="0"/>
              <w:ind w:left="0" w:right="0" w:hanging="0"/>
              <w:rPr>
                <w:color w:val="231F20"/>
              </w:rPr>
            </w:pPr>
            <w:r>
              <w:rPr>
                <w:color w:val="231F20"/>
              </w:rPr>
              <w:t>​</w:t>
            </w:r>
          </w:p>
        </w:tc>
        <w:tc>
          <w:tcPr>
            <w:tcW w:w="346" w:type="dxa"/>
            <w:tcBorders/>
            <w:shd w:fill="auto" w:val="clear"/>
            <w:vAlign w:val="center"/>
          </w:tcPr>
          <w:p>
            <w:pPr>
              <w:pStyle w:val="TableContents"/>
              <w:spacing w:before="0" w:after="0"/>
              <w:ind w:left="0" w:right="0" w:hanging="0"/>
              <w:rPr>
                <w:color w:val="231F20"/>
              </w:rPr>
            </w:pPr>
            <w:r>
              <w:rPr>
                <w:color w:val="231F20"/>
              </w:rPr>
              <w:t>​</w:t>
            </w:r>
          </w:p>
        </w:tc>
        <w:tc>
          <w:tcPr>
            <w:tcW w:w="47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Name: Sam Martin</w:t>
            </w:r>
          </w:p>
        </w:tc>
      </w:tr>
      <w:tr>
        <w:trPr/>
        <w:tc>
          <w:tcPr>
            <w:tcW w:w="2086" w:type="dxa"/>
            <w:tcBorders/>
            <w:shd w:fill="auto" w:val="clear"/>
            <w:vAlign w:val="center"/>
          </w:tcPr>
          <w:p>
            <w:pPr>
              <w:pStyle w:val="TableContents"/>
              <w:spacing w:before="0" w:after="0"/>
              <w:ind w:left="0" w:right="0" w:hanging="0"/>
              <w:rPr>
                <w:color w:val="231F20"/>
              </w:rPr>
            </w:pPr>
            <w:r>
              <w:rPr>
                <w:color w:val="231F20"/>
              </w:rPr>
              <w:t>​</w:t>
            </w:r>
          </w:p>
        </w:tc>
        <w:tc>
          <w:tcPr>
            <w:tcW w:w="346" w:type="dxa"/>
            <w:tcBorders/>
            <w:shd w:fill="auto" w:val="clear"/>
            <w:vAlign w:val="center"/>
          </w:tcPr>
          <w:p>
            <w:pPr>
              <w:pStyle w:val="TableContents"/>
              <w:spacing w:before="0" w:after="0"/>
              <w:ind w:left="0" w:right="0" w:hanging="0"/>
              <w:rPr>
                <w:color w:val="231F20"/>
              </w:rPr>
            </w:pPr>
            <w:r>
              <w:rPr>
                <w:color w:val="231F20"/>
              </w:rPr>
              <w:t>​</w:t>
            </w:r>
          </w:p>
        </w:tc>
        <w:tc>
          <w:tcPr>
            <w:tcW w:w="4741" w:type="dxa"/>
            <w:tcBorders/>
            <w:shd w:fill="auto" w:val="clear"/>
            <w:vAlign w:val="center"/>
          </w:tcPr>
          <w:p>
            <w:pPr>
              <w:pStyle w:val="TableContents"/>
              <w:pBdr/>
              <w:spacing w:before="0" w:after="0"/>
              <w:ind w:left="0" w:right="0" w:hanging="360"/>
              <w:rPr>
                <w:rFonts w:ascii="Times New Roman;Times;serif" w:hAnsi="Times New Roman;Times;serif"/>
                <w:sz w:val="20"/>
              </w:rPr>
            </w:pPr>
            <w:r>
              <w:rPr>
                <w:rFonts w:ascii="Times New Roman;Times;serif" w:hAnsi="Times New Roman;Times;serif"/>
                <w:color w:val="231F20"/>
                <w:sz w:val="20"/>
              </w:rPr>
              <w:t xml:space="preserve">Title: </w:t>
            </w:r>
            <w:r>
              <w:rPr>
                <w:rFonts w:ascii="Times New Roman;Times;serif" w:hAnsi="Times New Roman;Times;serif"/>
                <w:i/>
                <w:color w:val="231F20"/>
                <w:sz w:val="20"/>
              </w:rPr>
              <w:t>Senior Vice President and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color w:val="231F20"/>
          <w:sz w:val="20"/>
        </w:rPr>
      </w:pPr>
      <w:bookmarkStart w:id="1009" w:name="cldx-20211231xex32.htm"/>
      <w:bookmarkStart w:id="1010" w:name="kscldx20211231xex32"/>
      <w:bookmarkEnd w:id="1009"/>
      <w:bookmarkEnd w:id="1010"/>
      <w:r>
        <w:rPr>
          <w:rFonts w:ascii="Times New Roman;Times;serif" w:hAnsi="Times New Roman;Times;serif"/>
          <w:b/>
          <w:color w:val="231F20"/>
          <w:sz w:val="20"/>
        </w:rPr>
        <w:t>Exhibit 32</w:t>
      </w:r>
    </w:p>
    <w:p>
      <w:pPr>
        <w:pStyle w:val="TextBody"/>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CERTIFICATION OF CHIEF EXECUTIVE OFFICER AND</w:t>
      </w:r>
    </w:p>
    <w:p>
      <w:pPr>
        <w:pStyle w:val="TextBody"/>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CHIEF FINANCIAL OFFICER PURSUANT TO</w:t>
      </w:r>
    </w:p>
    <w:p>
      <w:pPr>
        <w:pStyle w:val="TextBody"/>
        <w:spacing w:before="0" w:after="39"/>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18 U.S.C. SECTION 1350, AS ADOPTED PURSUANT TO</w:t>
      </w:r>
    </w:p>
    <w:p>
      <w:pPr>
        <w:pStyle w:val="TextBody"/>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SECTION 906 OF THE SARBANES-OXLEY ACT OF 2002</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2021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tbl>
      <w:tblPr>
        <w:tblW w:w="6228" w:type="dxa"/>
        <w:jc w:val="left"/>
        <w:tblInd w:w="0" w:type="dxa"/>
        <w:tblCellMar>
          <w:top w:w="0" w:type="dxa"/>
          <w:left w:w="0" w:type="dxa"/>
          <w:bottom w:w="0" w:type="dxa"/>
          <w:right w:w="0" w:type="dxa"/>
        </w:tblCellMar>
      </w:tblPr>
      <w:tblGrid>
        <w:gridCol w:w="2086"/>
        <w:gridCol w:w="406"/>
        <w:gridCol w:w="3736"/>
      </w:tblGrid>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36"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Date: February 28, 2022</w:t>
            </w:r>
          </w:p>
        </w:tc>
        <w:tc>
          <w:tcPr>
            <w:tcW w:w="40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By:</w:t>
            </w:r>
          </w:p>
        </w:tc>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 ANTHONY S. MARUCCI</w:t>
            </w:r>
          </w:p>
        </w:tc>
      </w:tr>
      <w:tr>
        <w:trPr/>
        <w:tc>
          <w:tcPr>
            <w:tcW w:w="2086" w:type="dxa"/>
            <w:tcBorders/>
            <w:shd w:fill="auto" w:val="clear"/>
            <w:vAlign w:val="center"/>
          </w:tcPr>
          <w:p>
            <w:pPr>
              <w:pStyle w:val="TableContents"/>
              <w:spacing w:before="0" w:after="0"/>
              <w:ind w:left="0" w:right="0" w:hanging="0"/>
              <w:rPr>
                <w:color w:val="231F20"/>
              </w:rPr>
            </w:pPr>
            <w:r>
              <w:rPr>
                <w:color w:val="231F20"/>
              </w:rPr>
              <w:t>​</w:t>
            </w:r>
          </w:p>
        </w:tc>
        <w:tc>
          <w:tcPr>
            <w:tcW w:w="406" w:type="dxa"/>
            <w:tcBorders/>
            <w:shd w:fill="auto" w:val="clear"/>
            <w:vAlign w:val="center"/>
          </w:tcPr>
          <w:p>
            <w:pPr>
              <w:pStyle w:val="TableContents"/>
              <w:spacing w:before="0" w:after="0"/>
              <w:ind w:left="0" w:right="0" w:hanging="0"/>
              <w:rPr>
                <w:color w:val="231F20"/>
              </w:rPr>
            </w:pPr>
            <w:r>
              <w:rPr>
                <w:color w:val="231F20"/>
              </w:rPr>
              <w:t>​</w:t>
            </w:r>
          </w:p>
        </w:tc>
        <w:tc>
          <w:tcPr>
            <w:tcW w:w="37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Name: Anthony S. Marucci</w:t>
            </w:r>
          </w:p>
        </w:tc>
      </w:tr>
      <w:tr>
        <w:trPr/>
        <w:tc>
          <w:tcPr>
            <w:tcW w:w="2086" w:type="dxa"/>
            <w:tcBorders/>
            <w:shd w:fill="auto" w:val="clear"/>
            <w:vAlign w:val="center"/>
          </w:tcPr>
          <w:p>
            <w:pPr>
              <w:pStyle w:val="TableContents"/>
              <w:spacing w:before="0" w:after="0"/>
              <w:ind w:left="0" w:right="0" w:hanging="0"/>
              <w:rPr>
                <w:color w:val="231F20"/>
              </w:rPr>
            </w:pPr>
            <w:r>
              <w:rPr>
                <w:color w:val="231F20"/>
              </w:rPr>
              <w:t>​</w:t>
            </w:r>
          </w:p>
        </w:tc>
        <w:tc>
          <w:tcPr>
            <w:tcW w:w="406" w:type="dxa"/>
            <w:tcBorders/>
            <w:shd w:fill="auto" w:val="clear"/>
            <w:vAlign w:val="center"/>
          </w:tcPr>
          <w:p>
            <w:pPr>
              <w:pStyle w:val="TableContents"/>
              <w:spacing w:before="0" w:after="0"/>
              <w:ind w:left="0" w:right="0" w:hanging="0"/>
              <w:rPr>
                <w:color w:val="231F20"/>
              </w:rPr>
            </w:pPr>
            <w:r>
              <w:rPr>
                <w:color w:val="231F20"/>
              </w:rPr>
              <w:t>​</w:t>
            </w:r>
          </w:p>
        </w:tc>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z w:val="20"/>
              </w:rPr>
              <w:t xml:space="preserve">Title: </w:t>
            </w:r>
            <w:r>
              <w:rPr>
                <w:rFonts w:ascii="Times New Roman;Times;serif" w:hAnsi="Times New Roman;Times;serif"/>
                <w:i/>
                <w:color w:val="231F20"/>
                <w:sz w:val="20"/>
              </w:rPr>
              <w:t>President and Chief Executive Officer</w:t>
            </w:r>
          </w:p>
        </w:tc>
      </w:tr>
    </w:tbl>
    <w:p>
      <w:pPr>
        <w:pStyle w:val="TextBody"/>
        <w:spacing w:before="0" w:after="0"/>
        <w:ind w:left="0" w:right="0" w:hanging="0"/>
        <w:rPr/>
      </w:pPr>
      <w:r>
        <w:rPr/>
        <w:t>​</w:t>
      </w:r>
    </w:p>
    <w:tbl>
      <w:tblPr>
        <w:tblW w:w="7233" w:type="dxa"/>
        <w:jc w:val="left"/>
        <w:tblInd w:w="0" w:type="dxa"/>
        <w:tblCellMar>
          <w:top w:w="0" w:type="dxa"/>
          <w:left w:w="0" w:type="dxa"/>
          <w:bottom w:w="0" w:type="dxa"/>
          <w:right w:w="0" w:type="dxa"/>
        </w:tblCellMar>
      </w:tblPr>
      <w:tblGrid>
        <w:gridCol w:w="2086"/>
        <w:gridCol w:w="406"/>
        <w:gridCol w:w="4741"/>
      </w:tblGrid>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741"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Date: February 28, 2022</w:t>
            </w:r>
          </w:p>
        </w:tc>
        <w:tc>
          <w:tcPr>
            <w:tcW w:w="40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By:</w:t>
            </w:r>
          </w:p>
        </w:tc>
        <w:tc>
          <w:tcPr>
            <w:tcW w:w="47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 SAM MARTIN</w:t>
            </w:r>
          </w:p>
        </w:tc>
      </w:tr>
      <w:tr>
        <w:trPr/>
        <w:tc>
          <w:tcPr>
            <w:tcW w:w="2086" w:type="dxa"/>
            <w:tcBorders/>
            <w:shd w:fill="auto" w:val="clear"/>
            <w:vAlign w:val="center"/>
          </w:tcPr>
          <w:p>
            <w:pPr>
              <w:pStyle w:val="TableContents"/>
              <w:spacing w:before="0" w:after="0"/>
              <w:ind w:left="0" w:right="0" w:hanging="0"/>
              <w:rPr>
                <w:color w:val="231F20"/>
              </w:rPr>
            </w:pPr>
            <w:r>
              <w:rPr>
                <w:color w:val="231F20"/>
              </w:rPr>
              <w:t>​</w:t>
            </w:r>
          </w:p>
        </w:tc>
        <w:tc>
          <w:tcPr>
            <w:tcW w:w="406" w:type="dxa"/>
            <w:tcBorders/>
            <w:shd w:fill="auto" w:val="clear"/>
            <w:vAlign w:val="center"/>
          </w:tcPr>
          <w:p>
            <w:pPr>
              <w:pStyle w:val="TableContents"/>
              <w:spacing w:before="0" w:after="0"/>
              <w:ind w:left="0" w:right="0" w:hanging="0"/>
              <w:rPr>
                <w:color w:val="231F20"/>
              </w:rPr>
            </w:pPr>
            <w:r>
              <w:rPr>
                <w:color w:val="231F20"/>
              </w:rPr>
              <w:t>​</w:t>
            </w:r>
          </w:p>
        </w:tc>
        <w:tc>
          <w:tcPr>
            <w:tcW w:w="47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Name: Sam Martin</w:t>
            </w:r>
          </w:p>
        </w:tc>
      </w:tr>
      <w:tr>
        <w:trPr/>
        <w:tc>
          <w:tcPr>
            <w:tcW w:w="2086" w:type="dxa"/>
            <w:tcBorders/>
            <w:shd w:fill="auto" w:val="clear"/>
            <w:vAlign w:val="center"/>
          </w:tcPr>
          <w:p>
            <w:pPr>
              <w:pStyle w:val="TableContents"/>
              <w:spacing w:before="0" w:after="0"/>
              <w:ind w:left="0" w:right="0" w:hanging="0"/>
              <w:rPr>
                <w:color w:val="231F20"/>
              </w:rPr>
            </w:pPr>
            <w:r>
              <w:rPr>
                <w:color w:val="231F20"/>
              </w:rPr>
              <w:t>​</w:t>
            </w:r>
          </w:p>
        </w:tc>
        <w:tc>
          <w:tcPr>
            <w:tcW w:w="406" w:type="dxa"/>
            <w:tcBorders/>
            <w:shd w:fill="auto" w:val="clear"/>
            <w:vAlign w:val="center"/>
          </w:tcPr>
          <w:p>
            <w:pPr>
              <w:pStyle w:val="TableContents"/>
              <w:spacing w:before="0" w:after="0"/>
              <w:ind w:left="0" w:right="0" w:hanging="0"/>
              <w:rPr>
                <w:color w:val="231F20"/>
              </w:rPr>
            </w:pPr>
            <w:r>
              <w:rPr>
                <w:color w:val="231F20"/>
              </w:rPr>
              <w:t>​</w:t>
            </w:r>
          </w:p>
        </w:tc>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z w:val="20"/>
              </w:rPr>
              <w:t xml:space="preserve">Title: </w:t>
            </w:r>
            <w:r>
              <w:rPr>
                <w:rFonts w:ascii="Times New Roman;Times;serif" w:hAnsi="Times New Roman;Times;serif"/>
                <w:i/>
                <w:color w:val="231F20"/>
                <w:sz w:val="20"/>
              </w:rPr>
              <w:t>Senior Vice President and Chief Financial Officer</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This certification shall not be deemed “filed” for any purpose, nor shall it be deemed to be incorporated by reference into any filing under the Securities Act of 1933 or the Exchange Act.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44218/000110465916153723/a16-20866_1ex2d1.htm" TargetMode="External"/><Relationship Id="rId4" Type="http://schemas.openxmlformats.org/officeDocument/2006/relationships/hyperlink" Target="https://www.sec.gov/Archives/edgar/data/744218/0001029869-98-000936-index.html" TargetMode="External"/><Relationship Id="rId5" Type="http://schemas.openxmlformats.org/officeDocument/2006/relationships/hyperlink" Target="https://www.sec.gov/Archives/edgar/data/744218/0001029869-98-000936-index.html" TargetMode="External"/><Relationship Id="rId6" Type="http://schemas.openxmlformats.org/officeDocument/2006/relationships/hyperlink" Target="https://www.sec.gov/Archives/edgar/data/744218/0001029869-98-000936-index.html" TargetMode="External"/><Relationship Id="rId7" Type="http://schemas.openxmlformats.org/officeDocument/2006/relationships/hyperlink" Target="https://www.sec.gov/Archives/edgar/data/744218/000110465902001892/j3484_ex3d1.htm" TargetMode="External"/><Relationship Id="rId8" Type="http://schemas.openxmlformats.org/officeDocument/2006/relationships/hyperlink" Target="https://www.sec.gov/Archives/edgar/data/744218/000110465908016816/a08-7923_1ex3d1.htm" TargetMode="External"/><Relationship Id="rId9" Type="http://schemas.openxmlformats.org/officeDocument/2006/relationships/hyperlink" Target="https://www.sec.gov/Archives/edgar/data/744218/000110465908016816/a08-7923_1ex3d2.htm" TargetMode="External"/><Relationship Id="rId10" Type="http://schemas.openxmlformats.org/officeDocument/2006/relationships/hyperlink" Target="https://www.sec.gov/Archives/edgar/data/744218/000110465908069812/a08-25757_1ex3d7.htm" TargetMode="External"/><Relationship Id="rId11" Type="http://schemas.openxmlformats.org/officeDocument/2006/relationships/hyperlink" Target="https://www.sec.gov/Archives/edgar/data/744218/000110465914026295/a14-10147_1ex3d1.htm" TargetMode="External"/><Relationship Id="rId12" Type="http://schemas.openxmlformats.org/officeDocument/2006/relationships/hyperlink" Target="https://www.sec.gov/Archives/edgar/data/744218/000110465919006667/a19-4170_1ex3d1.htm" TargetMode="External"/><Relationship Id="rId13" Type="http://schemas.openxmlformats.org/officeDocument/2006/relationships/hyperlink" Target="https://www.sec.gov/Archives/edgar/data/744218/000110465922008977/tm224432d1_ex3-1.htm" TargetMode="External"/><Relationship Id="rId14" Type="http://schemas.openxmlformats.org/officeDocument/2006/relationships/hyperlink" Target="https://www.sec.gov/Archives/edgar/data/744218/000110465919006667/a19-4170_1ex4d1.htm" TargetMode="External"/><Relationship Id="rId15" Type="http://schemas.openxmlformats.org/officeDocument/2006/relationships/hyperlink" Target="https://www.sec.gov/Archives/edgar/data/744218/000104746904033436/a2146122zex-3_1.htm" TargetMode="External"/><Relationship Id="rId16" Type="http://schemas.openxmlformats.org/officeDocument/2006/relationships/hyperlink" Target="https://www.sec.gov/Archives/edgar/data/744218/000104746920001809/a2241053zex-4_3.htm" TargetMode="External"/><Relationship Id="rId17" Type="http://schemas.openxmlformats.org/officeDocument/2006/relationships/hyperlink" Target="https://www.sec.gov/Archives/edgar/data/744218/0000950135-96-003793-index.html" TargetMode="External"/><Relationship Id="rId18" Type="http://schemas.openxmlformats.org/officeDocument/2006/relationships/hyperlink" Target="https://www.sec.gov/Archives/edgar/data/744218/000091205702011869/a2073956zex-10_9.txt" TargetMode="External"/><Relationship Id="rId19" Type="http://schemas.openxmlformats.org/officeDocument/2006/relationships/hyperlink" Target="https://www.sec.gov/Archives/edgar/data/744218/000091205702011869/a2073956zex-10_9.txt" TargetMode="External"/><Relationship Id="rId20" Type="http://schemas.openxmlformats.org/officeDocument/2006/relationships/hyperlink" Target="https://www.sec.gov/Archives/edgar/data/744218/000110465906017401/a06-2616_1ex10d40.htm" TargetMode="External"/><Relationship Id="rId21" Type="http://schemas.openxmlformats.org/officeDocument/2006/relationships/hyperlink" Target="https://www.sec.gov/Archives/edgar/data/744218/000104746916010396/a2226904zex-10_4.htm" TargetMode="External"/><Relationship Id="rId22" Type="http://schemas.openxmlformats.org/officeDocument/2006/relationships/hyperlink" Target="https://www.sec.gov/Archives/edgar/data/744218/000110465904012065/a04-5109_1ex10d1.htm" TargetMode="External"/><Relationship Id="rId23" Type="http://schemas.openxmlformats.org/officeDocument/2006/relationships/hyperlink" Target="https://www.sec.gov/Archives/edgar/data/744218/000110465910064201/a10-22053_1ex10d6.htm" TargetMode="External"/><Relationship Id="rId24" Type="http://schemas.openxmlformats.org/officeDocument/2006/relationships/hyperlink" Target="https://www.sec.gov/Archives/edgar/data/744218/000110465906017401/a06-2616_1ex10d41.htm" TargetMode="External"/><Relationship Id="rId25" Type="http://schemas.openxmlformats.org/officeDocument/2006/relationships/hyperlink" Target="https://www.sec.gov/Archives/edgar/data/744218/000110465910064201/a10-22053_1ex10d7.htm" TargetMode="External"/><Relationship Id="rId26" Type="http://schemas.openxmlformats.org/officeDocument/2006/relationships/hyperlink" Target="https://www.sec.gov/Archives/edgar/data/744218/000110465910064201/a10-22053_1ex10d8.htm" TargetMode="External"/><Relationship Id="rId27" Type="http://schemas.openxmlformats.org/officeDocument/2006/relationships/hyperlink" Target="https://www.sec.gov/Archives/edgar/data/744218/000110465910064201/a10-22053_1ex10d9.htm" TargetMode="External"/><Relationship Id="rId28" Type="http://schemas.openxmlformats.org/officeDocument/2006/relationships/hyperlink" Target="https://www.sec.gov/Archives/edgar/data/744218/000110465910042274/a10-12851_1ex10d1.htm" TargetMode="External"/><Relationship Id="rId29" Type="http://schemas.openxmlformats.org/officeDocument/2006/relationships/hyperlink" Target="https://www.sec.gov/Archives/edgar/data/744218/000104746916010396/a2226904zex-10_12.htm" TargetMode="External"/><Relationship Id="rId30" Type="http://schemas.openxmlformats.org/officeDocument/2006/relationships/hyperlink" Target="https://www.sec.gov/Archives/edgar/data/744218/000104746920001809/a2241053zex-10_13.htm" TargetMode="External"/><Relationship Id="rId31" Type="http://schemas.openxmlformats.org/officeDocument/2006/relationships/hyperlink" Target="https://www.sec.gov/Archives/edgar/data/744218/000110465913036833/a13-8304_1ex10d1.htm" TargetMode="External"/><Relationship Id="rId32" Type="http://schemas.openxmlformats.org/officeDocument/2006/relationships/hyperlink" Target="https://www.sec.gov/Archives/edgar/data/744218/000110465915058233/a15-12408_1ex10d2.htm" TargetMode="External"/><Relationship Id="rId33" Type="http://schemas.openxmlformats.org/officeDocument/2006/relationships/hyperlink" Target="https://www.sec.gov/Archives/edgar/data/744218/000110465919027513/a19-7174_1ex10d1.htm" TargetMode="External"/><Relationship Id="rId34" Type="http://schemas.openxmlformats.org/officeDocument/2006/relationships/hyperlink" Target="https://www.sec.gov/Archives/edgar/data/744218/000110465920091459/tm2020550d3_ex10-1.htm" TargetMode="External"/><Relationship Id="rId35" Type="http://schemas.openxmlformats.org/officeDocument/2006/relationships/hyperlink" Target="https://www.sec.gov/Archives/edgar/data/744218/000104746909002264/a2190889zex-10_47.htm" TargetMode="External"/><Relationship Id="rId36" Type="http://schemas.openxmlformats.org/officeDocument/2006/relationships/hyperlink" Target="https://www.sec.gov/Archives/edgar/data/744218/000110465910064201/a10-22053_1ex10d1.htm" TargetMode="External"/><Relationship Id="rId37" Type="http://schemas.openxmlformats.org/officeDocument/2006/relationships/hyperlink" Target="https://www.sec.gov/Archives/edgar/data/744218/000104746918001363/a2234429zex-10_25.htm" TargetMode="External"/><Relationship Id="rId38" Type="http://schemas.openxmlformats.org/officeDocument/2006/relationships/hyperlink" Target="https://www.sec.gov/Archives/edgar/data/744218/000110465916122085/a16-11792_1ex1d1.htm" TargetMode="External"/><Relationship Id="rId39" Type="http://schemas.openxmlformats.org/officeDocument/2006/relationships/hyperlink" Target="https://www.sec.gov/Archives/edgar/data/744218/000110465921082585/tm2119126d1_ex10-1.htm" TargetMode="External"/><Relationship Id="rId40" Type="http://schemas.openxmlformats.org/officeDocument/2006/relationships/hyperlink" Target="https://www.sec.gov/Archives/edgar/data/744218/000110465920074646/tm2022847d1_ex10-1.htm" TargetMode="External"/><Relationship Id="rId41" Type="http://schemas.openxmlformats.org/officeDocument/2006/relationships/hyperlink" Target="https://www.sec.gov/Archives/edgar/data/744218/000110465919036671/a19-11620_3ex10d2.htm" TargetMode="External"/><Relationship Id="rId42" Type="http://schemas.openxmlformats.org/officeDocument/2006/relationships/hyperlink" Target="https://www.sec.gov/Archives/edgar/data/744218/000110465921088220/tm2120284d1_ex10-1.htm" TargetMode="External"/><Relationship Id="rId43" Type="http://schemas.openxmlformats.org/officeDocument/2006/relationships/hyperlink" Target="https://www.sec.gov/Archives/edgar/data/744218/000110465921088220/tm2120284d1_ex10-2.htm" TargetMode="External"/><Relationship Id="rId44" Type="http://schemas.openxmlformats.org/officeDocument/2006/relationships/hyperlink" Target="https://www.sec.gov/Archives/edgar/data/744218/000110465921088220/tm2120284d1_ex10-3.htm" TargetMode="External"/><Relationship Id="rId45" Type="http://schemas.openxmlformats.org/officeDocument/2006/relationships/hyperlink" Target="https://www.sec.gov/Archives/edgar/data/744218/000110465921088220/tm2120284d1_ex10-4.htm" TargetMode="External"/><Relationship Id="rId46" Type="http://schemas.openxmlformats.org/officeDocument/2006/relationships/hyperlink" Target="https://www.sec.gov/Archives/edgar/data/744218/000110465921088220/tm2120284d1_ex10-5.htm" TargetMode="External"/><Relationship Id="rId47" Type="http://schemas.openxmlformats.org/officeDocument/2006/relationships/hyperlink" Target="https://www.sec.gov/Archives/edgar/data/744218/000110465921088220/tm2120284d1_ex10-6.htm" TargetMode="External"/><Relationship Id="rId48" Type="http://schemas.openxmlformats.org/officeDocument/2006/relationships/hyperlink" Target="https://www.sec.gov/Archives/edgar/data/744218/000110465921088220/tm2120284d1_ex10-7.htm" TargetMode="External"/><Relationship Id="rId49" Type="http://schemas.openxmlformats.org/officeDocument/2006/relationships/hyperlink" Target="https://www.sec.gov/Archives/edgar/data/744218/000110465921088220/tm2120284d1_ex10-8.htm" TargetMode="External"/><Relationship Id="rId50" Type="http://schemas.openxmlformats.org/officeDocument/2006/relationships/hyperlink" Target="https://www.sec.gov/Archives/edgar/data/744218/000110465921088220/tm2120284d1_ex10-9.htm" TargetMode="External"/><Relationship Id="rId51" Type="http://schemas.openxmlformats.org/officeDocument/2006/relationships/hyperlink" Target="https://www.sec.gov/Archives/edgar/data/744218/000110465921088220/tm2120284d1_ex10-10.htm" TargetMode="External"/><Relationship Id="rId52" Type="http://schemas.openxmlformats.org/officeDocument/2006/relationships/hyperlink" Target="https://www.sec.gov/Archives/edgar/data/744218/000110465921082585/tm2119126d1_ex10-2.htm" TargetMode="External"/><Relationship Id="rId53" Type="http://schemas.openxmlformats.org/officeDocument/2006/relationships/hyperlink" Target="https://www.sec.gov/Archives/edgar/data/744218/000110465921082585/tm2119126d1_ex10-3.htm" TargetMode="External"/><Relationship Id="rId54" Type="http://schemas.openxmlformats.org/officeDocument/2006/relationships/hyperlink" Target="https://www.sec.gov/Archives/edgar/data/744218/000110465921082585/tm2119126d1_ex10-4.htm" TargetMode="External"/><Relationship Id="rId55" Type="http://schemas.openxmlformats.org/officeDocument/2006/relationships/hyperlink" Target="https://www.sec.gov/Archives/edgar/data/744218/000110465921082585/tm2119126d1_ex10-5.htm" TargetMode="External"/><Relationship Id="rId56" Type="http://schemas.openxmlformats.org/officeDocument/2006/relationships/hyperlink" Target="https://www.sec.gov/Archives/edgar/data/744218/000104746910002142/a2196680zex-10_42.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62042</Words>
  <CharactersWithSpaces>409577</CharactersWithSpaces>
  <Paragraphs>6249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