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ind w:left="3000" w:right="140" w:hanging="2668"/>
        <w:spacing w:after="0" w:line="427" w:lineRule="auto"/>
        <w:tabs>
          <w:tab w:leader="none" w:pos="64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76" w:lineRule="exact"/>
        <w:rPr>
          <w:sz w:val="24"/>
          <w:szCs w:val="24"/>
          <w:color w:val="auto"/>
        </w:rPr>
      </w:pPr>
    </w:p>
    <w:p>
      <w:pPr>
        <w:ind w:left="3540" w:right="140" w:hanging="3208"/>
        <w:spacing w:after="0" w:line="376" w:lineRule="auto"/>
        <w:tabs>
          <w:tab w:leader="none" w:pos="62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000-15006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661" w:right="999" w:bottom="1440" w:gutter="0" w:footer="0" w:header="0"/>
        </w:sectPr>
      </w:pP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8" w:lineRule="exact"/>
        <w:rPr>
          <w:sz w:val="24"/>
          <w:szCs w:val="24"/>
          <w:color w:val="auto"/>
        </w:rPr>
      </w:pPr>
    </w:p>
    <w:p>
      <w:pPr>
        <w:sectPr>
          <w:pgSz w:w="11900" w:h="16838" w:orient="portrait"/>
          <w:cols w:equalWidth="0" w:num="2">
            <w:col w:w="5460" w:space="720"/>
            <w:col w:w="374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8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CLDX</w:t>
            </w:r>
          </w:p>
        </w:tc>
        <w:tc>
          <w:tcPr>
            <w:tcW w:w="18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85" w:lineRule="exact"/>
        <w:rPr>
          <w:sz w:val="24"/>
          <w:szCs w:val="24"/>
          <w:color w:val="auto"/>
        </w:rPr>
      </w:pPr>
    </w:p>
    <w:p>
      <w:pPr>
        <w:jc w:val="both"/>
        <w:ind w:right="2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1" w:right="999" w:bottom="1440" w:gutter="0" w:footer="0" w:header="0"/>
          <w:type w:val="continuous"/>
        </w:sectPr>
      </w:pPr>
    </w:p>
    <w:p>
      <w:pPr>
        <w:spacing w:after="0" w:line="41" w:lineRule="exact"/>
        <w:rPr>
          <w:sz w:val="24"/>
          <w:szCs w:val="24"/>
          <w:color w:val="auto"/>
        </w:rPr>
      </w:pPr>
    </w:p>
    <w:p>
      <w:pPr>
        <w:ind w:left="15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3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3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5680" w:space="720"/>
            <w:col w:w="3520"/>
          </w:cols>
          <w:pgMar w:left="980" w:top="661" w:right="999" w:bottom="1440" w:gutter="0" w:footer="0" w:header="0"/>
          <w:type w:val="continuous"/>
        </w:sectPr>
      </w:pPr>
    </w:p>
    <w:p>
      <w:pPr>
        <w:ind w:right="3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340" w:right="42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29, 2024, 66,344,236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60325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940" w:type="dxa"/>
            <w:vAlign w:val="bottom"/>
            <w:tcBorders>
              <w:top w:val="single" w:sz="8" w:color="CCEEFF"/>
              <w:bottom w:val="single" w:sz="8" w:color="CCEEFF"/>
            </w:tcBorders>
            <w:gridSpan w:val="10"/>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 Unaudited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September 30, 2024 and December 31, 2023</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Nine Months Ended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tcBorders>
              <w:top w:val="single" w:sz="8" w:color="0000EE"/>
            </w:tcBorders>
            <w:gridSpan w:val="18"/>
          </w:tcPr>
          <w:p>
            <w:pPr>
              <w:ind w:left="120"/>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74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8680" w:type="dxa"/>
            <w:vAlign w:val="bottom"/>
            <w:gridSpan w:val="17"/>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86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8680" w:type="dxa"/>
            <w:vAlign w:val="bottom"/>
            <w:gridSpan w:val="17"/>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86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Exhibit Index</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388,784</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0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778,842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431,693</w:t>
            </w: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823,179</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465,627</w:t>
            </w:r>
          </w:p>
        </w:tc>
      </w:tr>
      <w:tr>
        <w:trPr>
          <w:trHeight w:val="196"/>
        </w:trPr>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other long-term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0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w:t>
            </w: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0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36,456</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8"/>
        </w:trPr>
        <w:tc>
          <w:tcPr>
            <w:tcW w:w="7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outstanding at September 30, 2024 and December 31, 2023</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66,344,236 and 55,883,377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September 30, 2024 and December 31, 2023, respectively</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1,823,168</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(1,508,132)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(1,397,361)</w:t>
            </w:r>
          </w:p>
        </w:tc>
      </w:tr>
      <w:tr>
        <w:trPr>
          <w:trHeight w:val="21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785,905</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429,171</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823,179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465,627</w:t>
            </w: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5"/>
                <w:szCs w:val="15"/>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5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4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55,317</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(52,126)</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(139,051)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5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(0.81)</w:t>
            </w:r>
          </w:p>
        </w:tc>
        <w:tc>
          <w:tcPr>
            <w:tcW w:w="4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used in calculating basic and diluted net loss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(42,121)</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(38,260)</w:t>
            </w:r>
          </w:p>
        </w:tc>
        <w:tc>
          <w:tcPr>
            <w:tcW w:w="4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(110,771)</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(38,613)</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8" w:lineRule="auto"/>
        <w:rPr>
          <w:sz w:val="20"/>
          <w:szCs w:val="20"/>
          <w:color w:val="auto"/>
        </w:rPr>
      </w:pPr>
      <w:r>
        <w:rPr>
          <w:rFonts w:ascii="Times New Roman" w:cs="Times New Roman" w:eastAsia="Times New Roman" w:hAnsi="Times New Roman"/>
          <w:sz w:val="18"/>
          <w:szCs w:val="18"/>
          <w:b w:val="1"/>
          <w:bCs w:val="1"/>
          <w:color w:val="auto"/>
        </w:rPr>
        <w:t>CELLDEX THERAPEUTICS, INC. CONDENSED CONSOLIDATED STATEMENTS OF CASH FLOW (Unaudited)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(110,771)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(660,745)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68" w:lineRule="auto"/>
        <w:rPr>
          <w:sz w:val="20"/>
          <w:szCs w:val="20"/>
          <w:color w:val="auto"/>
        </w:rPr>
      </w:pPr>
      <w:r>
        <w:rPr>
          <w:rFonts w:ascii="Times New Roman" w:cs="Times New Roman" w:eastAsia="Times New Roman" w:hAnsi="Times New Roman"/>
          <w:sz w:val="18"/>
          <w:szCs w:val="18"/>
          <w:b w:val="1"/>
          <w:bCs w:val="1"/>
          <w:color w:val="auto"/>
        </w:rPr>
        <w:t>CELLDEX THERAPEUTICS, INC. Notes to Unaudited Condensed Consolidated Financial Statements 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2023, which are included in the Company’s Annual Report on Form 10-K filed with the Securities and Exchange Commission (the “SEC”) on February 26, 2024.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2024.</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the Company had cash, cash equivalents and marketable securities of $756.0 million. The Company has had recurring losses and incurred a loss of $110.8 million for the nine months ended September 30, 2024. Net cash used in operations for the nine months ended September 30, 2024 was $125.3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14),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on this Quarterly Report on Form 10-Q for the three and nine months ended September 30, 2024 are consistent with those discussed in Note 2 to the financial statements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 of significant segment expenses. The amendments in ASU 2023-07 apply to public entities, including those with a single reportable segment, and are effective for fiscal years beginning after December 15, 2023, and interim periods within fiscal years beginning after December 15, 2024, with early adoption permitted. The Company does not expect the adoption of this guidance to have a material impact on its consolidated financial statements and related disclosures.</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consolidated financial statements and related disclosures.</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March 2024, the SEC adopted final rules requiring public entities to provide certain climate-related information in their registration statements and annual reports. The rules require disclosure of, among other things: material climate-related risks; activities to mitigate or adapt to such risks; governance and management of such risks; and material greenhouse gas (GHG) emissions from operations owned or controlled (Scope 1) and/or indirect emissions from purchased energy consumed in operations (Scope 2). Additionally, the rules require disclosure in the notes to the financial statements of the effects of severe weather events and other natural conditions, subject to certain materiality thresholds. In April 2024, the SEC voluntarily stayed the new rules as a result of pending legal challenges. Absent the result of pending legal challenges, and the removal of the stay, the rules were to become effective on a phased-in timeline, with the first requirements to be adopted for the Company’s fiscal year beginning in 2025. The Company is assessing the effect of the new rules on its consolidated financial statements and related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and liabilities subject to fair value measurements: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gridSpan w:val="2"/>
            <w:vMerge w:val="restart"/>
          </w:tcPr>
          <w:p>
            <w:pPr>
              <w:spacing w:after="0"/>
              <w:rPr>
                <w:sz w:val="13"/>
                <w:szCs w:val="13"/>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gridSpan w:val="2"/>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w w:val="80"/>
              </w:rPr>
              <w:t>(In thousands)</w:t>
            </w:r>
          </w:p>
        </w:tc>
        <w:tc>
          <w:tcPr>
            <w:tcW w:w="8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2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744,892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744,892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6"/>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2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8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measured at fair value using Level 3 inputs were $0.0 million as of September 30, 2024 and December 31, 2023.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There was no gain or loss on fair value remeasurement of contingent consideration recorded during the three and nine months ended September 30, 2024 or September 30, 2023.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have any transfers in or out of Level 3 assets or liabilities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5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7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28"/>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3"/>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196,235</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196,964</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108,676</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303,830</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305,640</w:t>
            </w:r>
          </w:p>
        </w:tc>
      </w:tr>
      <w:tr>
        <w:trPr>
          <w:trHeight w:val="21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375,022</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38,239</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413,079</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413,960</w:t>
            </w: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716,909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719,600</w:t>
            </w: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20"/>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5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7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29"/>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3"/>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132,459</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132,549</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158,635</w:t>
            </w:r>
          </w:p>
        </w:tc>
      </w:tr>
      <w:tr>
        <w:trPr>
          <w:trHeight w:val="21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183,625</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183,915</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46,234</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229,602</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230,149</w:t>
            </w:r>
          </w:p>
        </w:tc>
      </w:tr>
      <w:tr>
        <w:trPr>
          <w:trHeight w:val="209"/>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388,070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holds investment-grade marketable securities. Unrealized losses are generally attributable to changes in interest rates. The aggregate fair value of marketable securities held by the Company in an unrealized loss position as of September 30, 2024 and December 31, 2023 was $28.6 million and $80.4 million, respectively. The Company has the intent and ability to hold its marketable securities until recovery and has determined that there has been no material change to their credit risk. As a result, the Company determined it did not hold any investments with a credit loss at September 30, 2024.</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$5.3 million and $1.9 million in accrued interest at September 30, 2024 and December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September 30, 2024, the IPR&amp;D asset related to the anti-KIT program had not reached technological feasibility nor did the asset have alternative future uses.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Assets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$9.6 million and $0.0 million at September 30, 2024 and December 31,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Long-Term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28"/>
        </w:trPr>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gridSpan w:val="4"/>
          </w:tcPr>
          <w:p>
            <w:pPr>
              <w:jc w:val="right"/>
              <w:ind w:right="8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related to IPR&amp;D (Note 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(Note 11)</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 w:type="dxa"/>
            <w:vAlign w:val="bottom"/>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$0.0 million and $0.9 million in other income related to the sale of these tax benefits for the three and nine months ended September 30, 2024, respectively, and $0.0 million and $0.9 million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Company filed an automatic shelf registration statement with the SEC to register for sale any combination of the types of securities described in the shelf registration statement, including shares of its common stock. Also in November 2023, the Company issued 8,538,750 shares of its common stock in an underwritten public offering resulting in net proceeds to the Company of $216.2 million, after deducting underwriting fees and offering expenses.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26, 2024, the Company entered into a controlled equity offering sales agreement (“ATM Agreement”) with Cantor Fitzgerald &amp; Co. (“Cantor”) to allow the Company to issue and sell shares of its common stock from time to time through Cantor, acting as agent. Also on February 26, 2024, the Company terminated its pre-existing controlled equity offering sale agreement dated May 19, 2016 with Cantor. At September 30, 2024, the Company had registered $300.0 million of its common stock to be sold pursuant to the Company’s ATM Agreement, all of which remained unsold as of that date.</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March 2024, the Company issued 9,798,000 shares of its common stock in an underwritten public offering resulting in net proceeds to the Company of $432.3 million, after deducting underwriting fees and offering expenses.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Stockholders’ Equity during the three and nine months ended September 30, 2024 and 2023 are summarized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7"/>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 except share amounts)</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December 31, 2023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55,883,377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$ 1,823,168</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(1,397,361)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429,171</w:t>
            </w: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229,171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underwritten offering, net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432,288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March 31, 2024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65,910,548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$ 2,266,472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(1,430,169)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838,613</w:t>
            </w: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370,119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June 30, 2024</w:t>
            </w:r>
          </w:p>
        </w:tc>
        <w:tc>
          <w:tcPr>
            <w:tcW w:w="8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66,280,667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$ 2,277,824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(1,466,011)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813,659</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9,620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September 30, 2024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66,344,236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$ 2,288,683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(1,508,132)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785,905</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24"/>
                <w:szCs w:val="24"/>
                <w:color w:val="auto"/>
              </w:rPr>
            </w:pPr>
          </w:p>
        </w:tc>
        <w:tc>
          <w:tcPr>
            <w:tcW w:w="7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6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 thousands, except share amounts)</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December 31, 2022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47,200,695</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$ 1,580,829</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(1,255,932)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326,204</w:t>
            </w: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March 31, 2023</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47,244,681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$ 1,585,863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(1,285,293)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302,740</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(30,502)</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June 30, 2023</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47,253,813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$ 1,591,213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center"/>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(1,315,795)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277,537</w:t>
            </w: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September 30, 2023</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47,264,197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$ 1,598,591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(1,354,055)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246,718</w:t>
            </w:r>
          </w:p>
        </w:tc>
        <w:tc>
          <w:tcPr>
            <w:tcW w:w="0" w:type="dxa"/>
            <w:vAlign w:val="bottom"/>
          </w:tcPr>
          <w:p>
            <w:pPr>
              <w:spacing w:after="0"/>
              <w:rPr>
                <w:sz w:val="1"/>
                <w:szCs w:val="1"/>
                <w:color w:val="auto"/>
              </w:rPr>
            </w:pPr>
          </w:p>
        </w:tc>
      </w:tr>
      <w:tr>
        <w:trPr>
          <w:trHeight w:val="873"/>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1,907,820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(649,672)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(109,968)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u w:val="single" w:color="auto"/>
                <w:color w:val="auto"/>
              </w:rPr>
              <w:t>83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7,527,104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September 30, 2024</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7,381,038</w:t>
            </w:r>
          </w:p>
        </w:tc>
        <w:tc>
          <w:tcPr>
            <w:tcW w:w="2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31.44</w:t>
            </w:r>
          </w:p>
        </w:tc>
        <w:tc>
          <w:tcPr>
            <w:tcW w:w="18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grant under the Celldex Therapeutics, Inc. 2021 Omnibus Equity</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Incentive Plan (as amended, effective as of June 13, 2024) at September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and nine months ended September 30, 2024 was $25.09 and $26.36, respectively.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vested and expected to vest at September 30, 2024 was $54.4 million. The aggregate intrinsic value of stock options exercisable at September 30, 2024 was $46.2 million. As of September 30, 2024, total compensation cost related to non-vested employee, consultant and non-employee director stock options not yet recognized was approximately $85.4 million, net of estimated forfeitures, which is expected to be recognized as expense over a weighted average period of 2.7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for the three and nine months ended September 30, 2024 and 2023 was recorded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28"/>
        </w:trPr>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5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1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0"/>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employee, consultant and non-employee director stock options granted during the three and nine months ended September 30, 2024 and 2023 were valued using the Black-Scholes option pricing model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00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98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 – 93%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6.0 Years</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6.0 Years</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6.0 Years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 – 4.3%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 – 4.5%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 4.1%</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None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980" w:type="dxa"/>
            <w:vAlign w:val="bottom"/>
          </w:tcPr>
          <w:p>
            <w:pPr>
              <w:spacing w:after="0"/>
              <w:rPr>
                <w:sz w:val="20"/>
                <w:szCs w:val="20"/>
                <w:color w:val="auto"/>
              </w:rPr>
            </w:pPr>
          </w:p>
        </w:tc>
      </w:tr>
      <w:tr>
        <w:trPr>
          <w:trHeight w:val="859"/>
        </w:trPr>
        <w:tc>
          <w:tcPr>
            <w:tcW w:w="1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which is reported as a component of stockholders’ equity, for the nine months ended September 30, 2024 are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amounts were reclassified out of accumulated other comprehensive income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and Grants Revenue</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Rockefeller University (“Rockefeller”) pursuant to which the Company performs manufacturing and research and development services on a time-and-materials basis or at a negotiated fixed-price. The Company recognized $3.2 million and $5.8 million in revenue under the agreements with Rockefeller during the three and nine months ended September 30, 2024, respectively, and $1.5 million and $2.7 million in revenue during the three and nine months ended September 30,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the Company’s right to consideration under all contracts was considered unconditional, and as such, there were no recorded contract assets. At September 30, 2024, the Company had $0.5 million of contract liabilities recorded, which is expected to be recognized during the next 12 months as manufacturing and research and development services are performed. At December 31, 2023, the Company had $3.1 million in contract liabilities recorded. Revenue recognized from contract liabilities as of December 31, 2023 during the nine months ended September 30, 2024 was $2.8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2024 and December 31, 2023.</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deferred tax liability of $1.6 million at September 30, 2024 and December 31, 2023 relates to the temporary differences associated with the IPR&amp;D intangible assets acquired in previous business combinations and is not deductible for tax purposes.</w:t>
      </w:r>
    </w:p>
    <w:p>
      <w:pPr>
        <w:spacing w:after="0" w:line="162"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7,527,104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6,407,584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7,527,104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6,407,584</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Kolltan Acquisition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15, 2022, the Company entered into a definitive settlement agreement between the Company and SRS (the “Settlement Agreement”) and the Company and SRS jointly filed a Stipulation of Dismissal with prejudice relating to the Litigation on July 19, 2022.</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Settlement Agreement, all milestone payments provided for by the Merger Agreement were replaced in their entirety with the following payments, each of which is payable only once:</w:t>
      </w:r>
    </w:p>
    <w:p>
      <w:pPr>
        <w:spacing w:after="0" w:line="162"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$15.0 million upon execution of the Settlement Agreement (the “Initial Payment”).</w:t>
      </w:r>
    </w:p>
    <w:p>
      <w:pPr>
        <w:spacing w:after="0" w:line="22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$12.5 million upon the Successful Completion (as defined in the Settlement Agreement) of a Phase 2 Clinical Trial (as defined in the Merger Agreement) of barzolvolimab.</w:t>
      </w:r>
    </w:p>
    <w:p>
      <w:pPr>
        <w:spacing w:after="0" w:line="121" w:lineRule="exact"/>
        <w:rPr>
          <w:rFonts w:ascii="Times New Roman" w:cs="Times New Roman" w:eastAsia="Times New Roman" w:hAnsi="Times New Roman"/>
          <w:sz w:val="18"/>
          <w:szCs w:val="18"/>
          <w:color w:val="auto"/>
        </w:rPr>
      </w:pPr>
    </w:p>
    <w:p>
      <w:pPr>
        <w:jc w:val="both"/>
        <w:ind w:left="1000" w:right="180" w:hanging="31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$52.5 million upon the first United States Food and Drug Administration or European Medicines Agency, or, in each case, any successor organization, regulatory approval of a Surviving Company Product (as defined in the Settlement Agreement).</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above payment obligations replace, in their entirety, the contingent consideration in the form of development, regulatory approval and sales-based milestones of up to $172.5 million contained in the Merger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7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Company paid the Initial Payment in cash in July 2022. The Company paid the second milestone for “successful completion” of a Phase 2 Clinical Trial of barzolvolimab in cash in November 2023.</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3). When and if the remaining payment described above becomes due, it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Quarterly Report on Form 10-Q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product candidates that are still in development stages;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preclinical and clinical studies;</w:t>
      </w:r>
    </w:p>
    <w:p>
      <w:pPr>
        <w:spacing w:after="0" w:line="238" w:lineRule="exact"/>
        <w:rPr>
          <w:rFonts w:ascii="Times New Roman" w:cs="Times New Roman" w:eastAsia="Times New Roman" w:hAnsi="Times New Roman"/>
          <w:sz w:val="18"/>
          <w:szCs w:val="18"/>
          <w:color w:val="auto"/>
        </w:rPr>
      </w:pPr>
    </w:p>
    <w:p>
      <w:pPr>
        <w:ind w:left="1000" w:right="36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timing for preclinical development, regulatory submissions, commencement and completion of clinical trials and product approvals;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drug candidates;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preclinical and clinical testing;</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attributes of our product and development candidates, including pharmaceutical properties, efficacy, safety and dosing regimens;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38" w:lineRule="exact"/>
        <w:rPr>
          <w:rFonts w:ascii="Times New Roman" w:cs="Times New Roman" w:eastAsia="Times New Roman" w:hAnsi="Times New Roman"/>
          <w:sz w:val="18"/>
          <w:szCs w:val="18"/>
          <w:color w:val="auto"/>
        </w:rPr>
      </w:pPr>
    </w:p>
    <w:p>
      <w:pPr>
        <w:ind w:left="1000" w:right="20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drug candidates and the growth of the markets for those drug candidates;</w:t>
      </w:r>
    </w:p>
    <w:p>
      <w:pPr>
        <w:spacing w:after="0" w:line="238" w:lineRule="exact"/>
        <w:rPr>
          <w:rFonts w:ascii="Times New Roman" w:cs="Times New Roman" w:eastAsia="Times New Roman" w:hAnsi="Times New Roman"/>
          <w:sz w:val="18"/>
          <w:szCs w:val="18"/>
          <w:color w:val="auto"/>
        </w:rPr>
      </w:pPr>
    </w:p>
    <w:p>
      <w:pPr>
        <w:ind w:left="1000" w:right="32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8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77" w:lineRule="exact"/>
        <w:rPr>
          <w:rFonts w:ascii="Times New Roman" w:cs="Times New Roman" w:eastAsia="Times New Roman" w:hAnsi="Times New Roman"/>
          <w:sz w:val="18"/>
          <w:szCs w:val="18"/>
          <w:color w:val="auto"/>
        </w:rPr>
      </w:pPr>
    </w:p>
    <w:p>
      <w:pPr>
        <w:ind w:left="1000" w:right="28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paying the regulatory approval milestone under the merger agreement by which we acquired Kolltan and our related settlement agreement with Kolltan;</w:t>
      </w:r>
    </w:p>
    <w:p>
      <w:pPr>
        <w:sectPr>
          <w:pgSz w:w="11900" w:h="16838" w:orient="portrait"/>
          <w:cols w:equalWidth="0" w:num="1">
            <w:col w:w="9900"/>
          </w:cols>
          <w:pgMar w:left="980" w:top="661" w:right="101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0" w:hanging="317"/>
        <w:spacing w:after="0" w:line="27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5" w:lineRule="exact"/>
        <w:rPr>
          <w:rFonts w:ascii="Times New Roman" w:cs="Times New Roman" w:eastAsia="Times New Roman" w:hAnsi="Times New Roman"/>
          <w:sz w:val="18"/>
          <w:szCs w:val="18"/>
          <w:color w:val="auto"/>
        </w:rPr>
      </w:pPr>
    </w:p>
    <w:p>
      <w:pPr>
        <w:ind w:left="1000" w:right="24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our ability to avoid intellectual property litigation, which can be costly and divert management time and attention;</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without infringing the intellectual property rights of third parties; and</w:t>
      </w:r>
    </w:p>
    <w:p>
      <w:pPr>
        <w:spacing w:after="0" w:line="238" w:lineRule="exact"/>
        <w:rPr>
          <w:rFonts w:ascii="Times New Roman" w:cs="Times New Roman" w:eastAsia="Times New Roman" w:hAnsi="Times New Roman"/>
          <w:sz w:val="18"/>
          <w:szCs w:val="18"/>
          <w:color w:val="auto"/>
        </w:rPr>
      </w:pPr>
    </w:p>
    <w:p>
      <w:pPr>
        <w:ind w:left="1000" w:right="100" w:hanging="317"/>
        <w:spacing w:after="0" w:line="27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2023 and other reports that we file with the SEC</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2" w:lineRule="exact"/>
        <w:rPr>
          <w:rFonts w:ascii="Times New Roman" w:cs="Times New Roman" w:eastAsia="Times New Roman" w:hAnsi="Times New Roman"/>
          <w:sz w:val="18"/>
          <w:szCs w:val="18"/>
          <w:color w:val="auto"/>
        </w:rPr>
      </w:pPr>
    </w:p>
    <w:p>
      <w:pPr>
        <w:ind w:left="1660" w:right="40" w:hanging="329"/>
        <w:spacing w:after="0" w:line="267" w:lineRule="auto"/>
        <w:tabs>
          <w:tab w:leader="none" w:pos="1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Urticarias: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 to receive barzolvolimab for 20 weeks of treatment;</w:t>
      </w:r>
    </w:p>
    <w:p>
      <w:pPr>
        <w:spacing w:after="0" w:line="207" w:lineRule="exact"/>
        <w:rPr>
          <w:rFonts w:ascii="Times New Roman" w:cs="Times New Roman" w:eastAsia="Times New Roman" w:hAnsi="Times New Roman"/>
          <w:sz w:val="18"/>
          <w:szCs w:val="18"/>
          <w:color w:val="auto"/>
        </w:rPr>
      </w:pPr>
    </w:p>
    <w:p>
      <w:pPr>
        <w:ind w:left="1660" w:hanging="329"/>
        <w:spacing w:after="0" w:line="297" w:lineRule="auto"/>
        <w:tabs>
          <w:tab w:leader="none" w:pos="1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April 2024, we initiated a Phase 2 study in PN and enrollment is ongoing; positive data from a Phase 1b study in PN was reported in November 2023;</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660" w:right="300" w:hanging="329"/>
        <w:spacing w:after="0" w:line="282"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Eosinophilic Esophagitis (EoE): A Phase 2 study in EoE was initiated in June 2023 and enrollment is ongoing; and</w:t>
      </w:r>
    </w:p>
    <w:p>
      <w:pPr>
        <w:spacing w:after="0" w:line="161" w:lineRule="exact"/>
        <w:rPr>
          <w:rFonts w:ascii="Times New Roman" w:cs="Times New Roman" w:eastAsia="Times New Roman" w:hAnsi="Times New Roman"/>
          <w:sz w:val="18"/>
          <w:szCs w:val="18"/>
          <w:color w:val="auto"/>
        </w:rPr>
      </w:pPr>
    </w:p>
    <w:p>
      <w:pPr>
        <w:jc w:val="both"/>
        <w:ind w:left="1660" w:right="40" w:hanging="329"/>
        <w:spacing w:after="0" w:line="266"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(AD): Atopic dermatitis has been selected as the next indication for the study of barzolvolimab. We are currently planning the design of a Phase 2 study in this indication, including in patients who received prior biologics, and plan to initiate this study by year end 2024.</w:t>
      </w:r>
    </w:p>
    <w:p>
      <w:pPr>
        <w:spacing w:after="0" w:line="13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 detail on these programs is provided in the Clinical Development Programs section.</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8660" w:type="dxa"/>
            <w:vAlign w:val="bottom"/>
            <w:gridSpan w:val="2"/>
            <w:vMerge w:val="continue"/>
          </w:tcPr>
          <w:p>
            <w:pPr>
              <w:spacing w:after="0"/>
              <w:rPr>
                <w:sz w:val="15"/>
                <w:szCs w:val="15"/>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8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35"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76"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past five years through December 31, 2023, we incurred an aggregate of $338.8 million in research and development expenses. The following table indicates the amount incurred for each of our significant research programs and for other identified research and development activities during the nine months ended September 30, 2024 and 2023. The amounts disclosed in the following table reflect direct research and development costs, license fees associated with the underlying technology and an allocation of indirect research and development costs to each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28"/>
        </w:trPr>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gridSpan w:val="4"/>
          </w:tcPr>
          <w:p>
            <w:pPr>
              <w:jc w:val="right"/>
              <w:ind w:right="97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59,009</w:t>
            </w:r>
          </w:p>
        </w:tc>
      </w:tr>
      <w:tr>
        <w:trPr>
          <w:trHeight w:val="216"/>
        </w:trPr>
        <w:tc>
          <w:tcPr>
            <w:tcW w:w="690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CDX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r>
      <w:tr>
        <w:trPr>
          <w:trHeight w:val="216"/>
        </w:trPr>
        <w:tc>
          <w:tcPr>
            <w:tcW w:w="690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CDX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r>
      <w:tr>
        <w:trPr>
          <w:trHeight w:val="216"/>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Programs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1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87,585</w:t>
            </w: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 In July 2024, we initiated two Phase 3 studies in CSU. Phase 1 studies in CSU and CIndU were successfully completed and Phase 2 studies are ongoing.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April 2024, we announced enrollment was complete in the ongoing Phase 2 CIndU study. In July 2024, we reported that barzolvolimab achieved the primary efficacy endpoint in this study with a statistically significant difference between the percent of patients with a negative provocation test compared to placebo at week 12 and was well tolerated. We plan to report topline 52 week data from the CSU study and full 12 week primary endpoint data from the CIndU study in the second half of 2024.</w:t>
      </w:r>
    </w:p>
    <w:p>
      <w:pPr>
        <w:spacing w:after="0" w:line="194"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Based on the positive results reported in urticaria, we expanded development of barzolvolimab into additional indications where mast cells are believed to play an important role. We are conducting an ongoing Phase 2 study in eosinophilic esophagitis (EoE) and initiated a Phase 2 study in prurigo nodularis (PN) in April 2024 after reporting positive data from a Phase 1b study in PN in late 2023. We have selected atopic dermatitis as the next indication for the study of barzolvolimab and are currently planning the design of a Phase</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 study in this indication, including in patients who received prior biologics, and plan to initiate this study by year end 2024. We continue to assess potential opportunities for barzolvolimab in other diseases where mast cells play an important role, such as dermatologic, respiratory, allergic, gastrointestinal and ophthalmic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Spontaneous Urticaria (CSU)</w:t>
      </w:r>
    </w:p>
    <w:p>
      <w:pPr>
        <w:spacing w:after="0" w:line="22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1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8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64" w:lineRule="exact"/>
        <w:rPr>
          <w:sz w:val="20"/>
          <w:szCs w:val="20"/>
          <w:color w:val="auto"/>
        </w:rPr>
      </w:pPr>
    </w:p>
    <w:p>
      <w:pPr>
        <w:jc w:val="both"/>
        <w:ind w:left="1000" w:right="120" w:hanging="317"/>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 from baseline in weekly urticaria activity score (UAS7) at week 12 was 67% in the 1.5 mg/kg dose group (n=8), 67% in the 3.0 mg/kg dose group (n=9) and 82% in the 4.5 mg/kg dose group (n=9). Mean reduction from baseline in UAS7 at week 24 was 80% in the 1.5 mg/kg dose group (n=7), 70% in the 3.0 mg/kg dose group (n=6) and 77% in the 4.5 mg/kg dose group (n=7).</w:t>
      </w:r>
    </w:p>
    <w:p>
      <w:pPr>
        <w:spacing w:after="0" w:line="179" w:lineRule="exact"/>
        <w:rPr>
          <w:rFonts w:ascii="Times New Roman" w:cs="Times New Roman" w:eastAsia="Times New Roman" w:hAnsi="Times New Roman"/>
          <w:sz w:val="18"/>
          <w:szCs w:val="18"/>
          <w:color w:val="auto"/>
        </w:rPr>
      </w:pPr>
    </w:p>
    <w:p>
      <w:pPr>
        <w:ind w:left="1000" w:right="4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response (UAS7=0) at week 12 was 57% in the 1.5 mg/kg dose group, 44% in the 3.0 mg/kg dose group and 67% in the 4.5 mg/kg dose group. Complete response (UAS7=0) at week 24 was 57% in the 1.5 mg/kg dose group, 67% in the 3.0 mg/kg dose group and 43% in the 4.5 mg/kg dose group.</w:t>
      </w:r>
    </w:p>
    <w:p>
      <w:pPr>
        <w:spacing w:after="0" w:line="175" w:lineRule="exact"/>
        <w:rPr>
          <w:rFonts w:ascii="Times New Roman" w:cs="Times New Roman" w:eastAsia="Times New Roman" w:hAnsi="Times New Roman"/>
          <w:sz w:val="18"/>
          <w:szCs w:val="18"/>
          <w:color w:val="auto"/>
        </w:rPr>
      </w:pPr>
    </w:p>
    <w:p>
      <w:pPr>
        <w:ind w:left="1000" w:right="28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12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w:t>
      </w:r>
    </w:p>
    <w:p>
      <w:pPr>
        <w:spacing w:after="0" w:line="17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Profound and durable improvement in angioedema symptoms as measured through the weekly angioedema activity score (AAS7) was achieved across all dose levels evaluated with sustained activity observed with the 1.5 mg/kg and greater dose levels.</w:t>
      </w:r>
    </w:p>
    <w:p>
      <w:pPr>
        <w:spacing w:after="0" w:line="17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1000" w:right="32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61" w:lineRule="exact"/>
        <w:rPr>
          <w:rFonts w:ascii="Times New Roman" w:cs="Times New Roman" w:eastAsia="Times New Roman" w:hAnsi="Times New Roman"/>
          <w:sz w:val="18"/>
          <w:szCs w:val="18"/>
          <w:color w:val="auto"/>
        </w:rPr>
      </w:pPr>
    </w:p>
    <w:p>
      <w:pPr>
        <w:ind w:left="1000" w:hanging="317"/>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June 2022, we initiated dosing in a Phase 2 study in patients with CSU who remained symptomatic despite antihistamine therapy; in July 2023, we announced that enrollment was complete.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After 16 weeks, patients then enter a 36-week active treatment period, in which patients receiving placebo or the 75 mg dose are randomized to receive barzolvolimab 150 mg every 4 weeks or 300 mg every 8 weeks; patients already randomized to the 150 mg and 300 mg treatment arms remain on the same regimen as during the placebo-controlled treatment period. After 52 weeks, patients then enter a follow-up period for an additional 24 weeks. The primary endpoint of the study is mean change in baseline to week 12 in UAS7 (weekly urticaria activity score). Secondary endpoints include safety and other assessments of clinical activity including ISS7 (weekly itch severity score), HSS7 (weekly hive severity score) and AAS7 (weekly angioedema activity score).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Clinical Activity Assessments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3651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365188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00" w:type="dxa"/>
            <w:vAlign w:val="bottom"/>
            <w:tcBorders>
              <w:top w:val="single" w:sz="8" w:color="auto"/>
              <w:right w:val="single" w:sz="8" w:color="auto"/>
            </w:tcBorders>
            <w:shd w:val="clear" w:color="auto" w:fill="CCEEFF"/>
          </w:tcPr>
          <w:p>
            <w:pPr>
              <w:spacing w:after="0"/>
              <w:rPr>
                <w:sz w:val="18"/>
                <w:szCs w:val="18"/>
                <w:color w:val="auto"/>
              </w:rPr>
            </w:pPr>
          </w:p>
        </w:tc>
        <w:tc>
          <w:tcPr>
            <w:tcW w:w="1820" w:type="dxa"/>
            <w:vAlign w:val="bottom"/>
            <w:tcBorders>
              <w:top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 mg Q8W</w:t>
            </w:r>
          </w:p>
        </w:tc>
        <w:tc>
          <w:tcPr>
            <w:tcW w:w="1800" w:type="dxa"/>
            <w:vAlign w:val="bottom"/>
            <w:tcBorders>
              <w:top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150 mg Q4W</w:t>
            </w:r>
          </w:p>
        </w:tc>
        <w:tc>
          <w:tcPr>
            <w:tcW w:w="1720" w:type="dxa"/>
            <w:vAlign w:val="bottom"/>
            <w:tcBorders>
              <w:top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 mg Q4W</w:t>
            </w:r>
          </w:p>
        </w:tc>
        <w:tc>
          <w:tcPr>
            <w:tcW w:w="14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Placebo</w:t>
            </w:r>
          </w:p>
        </w:tc>
        <w:tc>
          <w:tcPr>
            <w:tcW w:w="20" w:type="dxa"/>
            <w:vAlign w:val="bottom"/>
            <w:tcBorders>
              <w:top w:val="single" w:sz="8" w:color="auto"/>
            </w:tcBorders>
          </w:tcPr>
          <w:p>
            <w:pPr>
              <w:spacing w:after="0"/>
              <w:rPr>
                <w:sz w:val="18"/>
                <w:szCs w:val="18"/>
                <w:color w:val="auto"/>
              </w:rPr>
            </w:pPr>
          </w:p>
        </w:tc>
      </w:tr>
      <w:tr>
        <w:trPr>
          <w:trHeight w:val="241"/>
        </w:trPr>
        <w:tc>
          <w:tcPr>
            <w:tcW w:w="310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(n=51)</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(n=52)</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(n=51)</w:t>
            </w:r>
          </w:p>
        </w:tc>
        <w:tc>
          <w:tcPr>
            <w:tcW w:w="20" w:type="dxa"/>
            <w:vAlign w:val="bottom"/>
            <w:tcBorders>
              <w:bottom w:val="single" w:sz="8" w:color="auto"/>
            </w:tcBorders>
          </w:tcPr>
          <w:p>
            <w:pPr>
              <w:spacing w:after="0"/>
              <w:rPr>
                <w:sz w:val="20"/>
                <w:szCs w:val="20"/>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UAS7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31.33</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30.75</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30.30</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30.09</w:t>
            </w: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-23.87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-23.02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-17.06</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Borders>
              <w:bottom w:val="single" w:sz="8" w:color="auto"/>
            </w:tcBorders>
          </w:tcPr>
          <w:p>
            <w:pPr>
              <w:spacing w:after="0"/>
              <w:rPr>
                <w:sz w:val="19"/>
                <w:szCs w:val="19"/>
                <w:color w:val="auto"/>
              </w:rPr>
            </w:pPr>
          </w:p>
        </w:tc>
      </w:tr>
      <w:tr>
        <w:trPr>
          <w:trHeight w:val="205"/>
        </w:trPr>
        <w:tc>
          <w:tcPr>
            <w:tcW w:w="3100" w:type="dxa"/>
            <w:vAlign w:val="bottom"/>
            <w:tcBorders>
              <w:right w:val="single" w:sz="8" w:color="auto"/>
            </w:tcBorders>
            <w:shd w:val="clear" w:color="auto" w:fill="CCEEFF"/>
          </w:tcPr>
          <w:p>
            <w:pPr>
              <w:spacing w:after="0"/>
              <w:rPr>
                <w:sz w:val="17"/>
                <w:szCs w:val="17"/>
                <w:color w:val="auto"/>
              </w:rPr>
            </w:pPr>
          </w:p>
        </w:tc>
        <w:tc>
          <w:tcPr>
            <w:tcW w:w="18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-13.41</w:t>
            </w:r>
          </w:p>
        </w:tc>
        <w:tc>
          <w:tcPr>
            <w:tcW w:w="180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-12.55</w:t>
            </w:r>
          </w:p>
        </w:tc>
        <w:tc>
          <w:tcPr>
            <w:tcW w:w="17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-6.60</w:t>
            </w: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-17.47, -9.34)</w:t>
            </w:r>
          </w:p>
        </w:tc>
        <w:tc>
          <w:tcPr>
            <w:tcW w:w="18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(CI:-16.56, -8.55)</w:t>
            </w:r>
          </w:p>
        </w:tc>
        <w:tc>
          <w:tcPr>
            <w:tcW w:w="17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(CI:-10.71, -2.49)</w:t>
            </w: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p=0.0017</w:t>
            </w:r>
          </w:p>
        </w:tc>
        <w:tc>
          <w:tcPr>
            <w:tcW w:w="14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HSS7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14.92</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15.05</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14.86</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14.47</w:t>
            </w: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-12.19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-11.19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-4.95</w:t>
            </w:r>
          </w:p>
        </w:tc>
        <w:tc>
          <w:tcPr>
            <w:tcW w:w="20" w:type="dxa"/>
            <w:vAlign w:val="bottom"/>
            <w:tcBorders>
              <w:bottom w:val="single" w:sz="8" w:color="auto"/>
            </w:tcBorders>
          </w:tcPr>
          <w:p>
            <w:pPr>
              <w:spacing w:after="0"/>
              <w:rPr>
                <w:sz w:val="19"/>
                <w:szCs w:val="19"/>
                <w:color w:val="auto"/>
              </w:rPr>
            </w:pPr>
          </w:p>
        </w:tc>
      </w:tr>
      <w:tr>
        <w:trPr>
          <w:trHeight w:val="205"/>
        </w:trPr>
        <w:tc>
          <w:tcPr>
            <w:tcW w:w="3100" w:type="dxa"/>
            <w:vAlign w:val="bottom"/>
            <w:tcBorders>
              <w:right w:val="single" w:sz="8" w:color="auto"/>
            </w:tcBorders>
            <w:shd w:val="clear" w:color="auto" w:fill="CCEEFF"/>
          </w:tcPr>
          <w:p>
            <w:pPr>
              <w:spacing w:after="0"/>
              <w:rPr>
                <w:sz w:val="17"/>
                <w:szCs w:val="17"/>
                <w:color w:val="auto"/>
              </w:rPr>
            </w:pPr>
          </w:p>
        </w:tc>
        <w:tc>
          <w:tcPr>
            <w:tcW w:w="18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-7.24</w:t>
            </w:r>
          </w:p>
        </w:tc>
        <w:tc>
          <w:tcPr>
            <w:tcW w:w="180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-6.24</w:t>
            </w:r>
          </w:p>
        </w:tc>
        <w:tc>
          <w:tcPr>
            <w:tcW w:w="17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-3.31</w:t>
            </w: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(CI:-9.36, -5.12)</w:t>
            </w:r>
          </w:p>
        </w:tc>
        <w:tc>
          <w:tcPr>
            <w:tcW w:w="18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(CI:-8.33, -4.16),</w:t>
            </w:r>
          </w:p>
        </w:tc>
        <w:tc>
          <w:tcPr>
            <w:tcW w:w="172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(CI:-5.40, -1.22),</w:t>
            </w: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p=0.0020</w:t>
            </w:r>
          </w:p>
        </w:tc>
        <w:tc>
          <w:tcPr>
            <w:tcW w:w="14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ISS7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16.42</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15.44</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15.61</w:t>
            </w: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-11.79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-11.68</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-5.47</w:t>
            </w:r>
          </w:p>
        </w:tc>
        <w:tc>
          <w:tcPr>
            <w:tcW w:w="20" w:type="dxa"/>
            <w:vAlign w:val="bottom"/>
            <w:tcBorders>
              <w:bottom w:val="single" w:sz="8" w:color="auto"/>
            </w:tcBorders>
          </w:tcPr>
          <w:p>
            <w:pPr>
              <w:spacing w:after="0"/>
              <w:rPr>
                <w:sz w:val="19"/>
                <w:szCs w:val="19"/>
                <w:color w:val="auto"/>
              </w:rPr>
            </w:pPr>
          </w:p>
        </w:tc>
      </w:tr>
      <w:tr>
        <w:trPr>
          <w:trHeight w:val="205"/>
        </w:trPr>
        <w:tc>
          <w:tcPr>
            <w:tcW w:w="3100" w:type="dxa"/>
            <w:vAlign w:val="bottom"/>
            <w:tcBorders>
              <w:right w:val="single" w:sz="8" w:color="auto"/>
            </w:tcBorders>
            <w:shd w:val="clear" w:color="auto" w:fill="CCEEFF"/>
          </w:tcPr>
          <w:p>
            <w:pPr>
              <w:spacing w:after="0"/>
              <w:rPr>
                <w:sz w:val="17"/>
                <w:szCs w:val="17"/>
                <w:color w:val="auto"/>
              </w:rPr>
            </w:pPr>
          </w:p>
        </w:tc>
        <w:tc>
          <w:tcPr>
            <w:tcW w:w="18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-6.32</w:t>
            </w:r>
          </w:p>
        </w:tc>
        <w:tc>
          <w:tcPr>
            <w:tcW w:w="180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-6.21</w:t>
            </w:r>
          </w:p>
        </w:tc>
        <w:tc>
          <w:tcPr>
            <w:tcW w:w="17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-3.16</w:t>
            </w: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-8.50, -4.13),</w:t>
            </w:r>
          </w:p>
        </w:tc>
        <w:tc>
          <w:tcPr>
            <w:tcW w:w="18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 -8.38, -4.04),</w:t>
            </w:r>
          </w:p>
        </w:tc>
        <w:tc>
          <w:tcPr>
            <w:tcW w:w="17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 -5.41, -0.91),</w:t>
            </w: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p=0.0061</w:t>
            </w:r>
          </w:p>
        </w:tc>
        <w:tc>
          <w:tcPr>
            <w:tcW w:w="14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Responder Analyses/Clinical Responses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4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June 2024,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spacing w:after="0" w:line="19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Patients on study continued to receive barzolvolimab for up to 52 weeks and these long term treatment data were presented in September at the European Academy of Dermatology &amp; Venereology (EADV) Congress 2024. The data demonstrated a sustained and deepening disease efficacy and a well tolerated safety profile over a 52 week treatment period. Key highlighted included:</w:t>
      </w:r>
    </w:p>
    <w:p>
      <w:pPr>
        <w:spacing w:after="0" w:line="176" w:lineRule="exact"/>
        <w:rPr>
          <w:sz w:val="20"/>
          <w:szCs w:val="20"/>
          <w:color w:val="auto"/>
        </w:rPr>
      </w:pPr>
    </w:p>
    <w:p>
      <w:pPr>
        <w:ind w:left="1000" w:right="28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UAS7 (weekly urticaria activity score), previously shown to be statistically significantly vs placebo at Week 12, were noted as early as week 1 and were sustained or deepened at Week 52.</w:t>
      </w:r>
    </w:p>
    <w:p>
      <w:pPr>
        <w:spacing w:after="0" w:line="161" w:lineRule="exact"/>
        <w:rPr>
          <w:rFonts w:ascii="Times New Roman" w:cs="Times New Roman" w:eastAsia="Times New Roman" w:hAnsi="Times New Roman"/>
          <w:sz w:val="18"/>
          <w:szCs w:val="18"/>
          <w:color w:val="auto"/>
        </w:rPr>
      </w:pPr>
    </w:p>
    <w:p>
      <w:pPr>
        <w:jc w:val="both"/>
        <w:ind w:left="1000" w:right="14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16, patients receiving low dose barzolvolimab (75 mg) or placebo were transitioned to barzolvolimab 150 mg or 300 mg; after crossover, these patients experienced similar clinically meaningful disease response as the rest of the study population.</w:t>
      </w:r>
    </w:p>
    <w:p>
      <w:pPr>
        <w:spacing w:after="0" w:line="17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of patients treated with barzolvolimab 150 mg Q4W and 52% of patients treated with 300 mg Q8W had a complete response (no itch/hives; UAS7=0) at Week 52. These responses were observed early and sustained through 52 weeks.</w:t>
      </w:r>
    </w:p>
    <w:p>
      <w:pPr>
        <w:spacing w:after="0" w:line="161" w:lineRule="exact"/>
        <w:rPr>
          <w:rFonts w:ascii="Times New Roman" w:cs="Times New Roman" w:eastAsia="Times New Roman" w:hAnsi="Times New Roman"/>
          <w:sz w:val="18"/>
          <w:szCs w:val="18"/>
          <w:color w:val="auto"/>
        </w:rPr>
      </w:pPr>
    </w:p>
    <w:p>
      <w:pPr>
        <w:ind w:left="1000" w:right="7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patients treated with barzolvolimab 150 mg Q4W and 68% of patients treated with 300 mg Q8W had well controlled (UAS7&lt;6) disease at Week 52.</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robust responses were observed regardless of prior omalizumab experience.</w:t>
      </w:r>
    </w:p>
    <w:p>
      <w:pPr>
        <w:spacing w:after="0" w:line="225" w:lineRule="exact"/>
        <w:rPr>
          <w:rFonts w:ascii="Times New Roman" w:cs="Times New Roman" w:eastAsia="Times New Roman" w:hAnsi="Times New Roman"/>
          <w:sz w:val="18"/>
          <w:szCs w:val="18"/>
          <w:color w:val="auto"/>
        </w:rPr>
      </w:pPr>
    </w:p>
    <w:p>
      <w:pPr>
        <w:ind w:left="1000" w:right="40" w:hanging="317"/>
        <w:spacing w:after="0" w:line="255"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is ongoing.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Inducible Urticaria (CIndU)</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648"/>
        <w:spacing w:after="0" w:line="273" w:lineRule="auto"/>
        <w:rPr>
          <w:sz w:val="20"/>
          <w:szCs w:val="20"/>
          <w:color w:val="auto"/>
        </w:rPr>
      </w:pPr>
      <w:r>
        <w:rPr>
          <w:rFonts w:ascii="Times New Roman" w:cs="Times New Roman" w:eastAsia="Times New Roman" w:hAnsi="Times New Roman"/>
          <w:sz w:val="17"/>
          <w:szCs w:val="17"/>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13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185" w:lineRule="exact"/>
        <w:rPr>
          <w:sz w:val="20"/>
          <w:szCs w:val="20"/>
          <w:color w:val="auto"/>
        </w:rPr>
      </w:pPr>
    </w:p>
    <w:p>
      <w:pPr>
        <w:ind w:left="1000" w:right="100" w:hanging="317"/>
        <w:spacing w:after="0" w:line="254"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151" w:lineRule="exact"/>
        <w:rPr>
          <w:rFonts w:ascii="Times New Roman" w:cs="Times New Roman" w:eastAsia="Times New Roman" w:hAnsi="Times New Roman"/>
          <w:sz w:val="18"/>
          <w:szCs w:val="18"/>
          <w:color w:val="auto"/>
        </w:rPr>
      </w:pPr>
    </w:p>
    <w:p>
      <w:pPr>
        <w:ind w:left="1000" w:right="34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52" w:lineRule="exact"/>
        <w:rPr>
          <w:rFonts w:ascii="Times New Roman" w:cs="Times New Roman" w:eastAsia="Times New Roman" w:hAnsi="Times New Roman"/>
          <w:sz w:val="18"/>
          <w:szCs w:val="18"/>
          <w:color w:val="auto"/>
        </w:rPr>
      </w:pPr>
    </w:p>
    <w:p>
      <w:pPr>
        <w:ind w:left="1000" w:right="26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pacing w:after="0" w:line="13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3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79" w:lineRule="exact"/>
        <w:rPr>
          <w:rFonts w:ascii="Times New Roman" w:cs="Times New Roman" w:eastAsia="Times New Roman" w:hAnsi="Times New Roman"/>
          <w:sz w:val="18"/>
          <w:szCs w:val="18"/>
          <w:color w:val="auto"/>
        </w:rPr>
      </w:pPr>
    </w:p>
    <w:p>
      <w:pPr>
        <w:ind w:left="1000" w:hanging="317"/>
        <w:spacing w:after="0" w:line="253"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54"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Secondary endpoints include safety and other assessments of clinical activity including CTT (Critical Temperature Threshold), CFT (Critical Friction Threshold) and WI-NRS (Worst itch numeric rating scale).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reflect poorly controlled disease.</w:t>
      </w:r>
    </w:p>
    <w:p>
      <w:pPr>
        <w:spacing w:after="0" w:line="192" w:lineRule="exact"/>
        <w:rPr>
          <w:sz w:val="20"/>
          <w:szCs w:val="20"/>
          <w:color w:val="auto"/>
        </w:rPr>
      </w:pPr>
    </w:p>
    <w:tbl>
      <w:tblPr>
        <w:tblLayout w:type="fixed"/>
        <w:tblInd w:w="1010" w:type="dxa"/>
        <w:tblCellMar>
          <w:top w:w="0" w:type="dxa"/>
          <w:left w:w="0" w:type="dxa"/>
          <w:bottom w:w="0" w:type="dxa"/>
          <w:right w:w="0" w:type="dxa"/>
        </w:tblCellMar>
      </w:tblPr>
      <w:tr>
        <w:trPr>
          <w:trHeight w:val="357"/>
        </w:trPr>
        <w:tc>
          <w:tcPr>
            <w:tcW w:w="1800" w:type="dxa"/>
            <w:vAlign w:val="bottom"/>
            <w:tcBorders>
              <w:top w:val="single" w:sz="8" w:color="auto"/>
              <w:lef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0"/>
                <w:szCs w:val="20"/>
                <w:b w:val="1"/>
                <w:bCs w:val="1"/>
                <w:color w:val="auto"/>
              </w:rPr>
              <w:t>Summary of Clinical Assessments at Week 12</w:t>
            </w:r>
          </w:p>
        </w:tc>
        <w:tc>
          <w:tcPr>
            <w:tcW w:w="980" w:type="dxa"/>
            <w:vAlign w:val="bottom"/>
            <w:tcBorders>
              <w:top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3"/>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8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8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Cold Urticaria</w:t>
            </w:r>
          </w:p>
        </w:tc>
        <w:tc>
          <w:tcPr>
            <w:tcW w:w="740" w:type="dxa"/>
            <w:vAlign w:val="bottom"/>
            <w:tcBorders>
              <w:right w:val="single" w:sz="8" w:color="auto"/>
            </w:tcBorders>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96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Symptomatic Dermographism</w:t>
            </w:r>
          </w:p>
        </w:tc>
        <w:tc>
          <w:tcPr>
            <w:tcW w:w="0" w:type="dxa"/>
            <w:vAlign w:val="bottom"/>
          </w:tcPr>
          <w:p>
            <w:pPr>
              <w:spacing w:after="0"/>
              <w:rPr>
                <w:sz w:val="1"/>
                <w:szCs w:val="1"/>
                <w:color w:val="auto"/>
              </w:rPr>
            </w:pPr>
          </w:p>
        </w:tc>
      </w:tr>
      <w:tr>
        <w:trPr>
          <w:trHeight w:val="40"/>
        </w:trPr>
        <w:tc>
          <w:tcPr>
            <w:tcW w:w="1800" w:type="dxa"/>
            <w:vAlign w:val="bottom"/>
            <w:tcBorders>
              <w:left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CCEEFF"/>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40" w:type="dxa"/>
            <w:vAlign w:val="bottom"/>
            <w:tcBorders>
              <w:left w:val="single" w:sz="8" w:color="auto"/>
            </w:tcBorders>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All measurements at</w:t>
            </w:r>
          </w:p>
        </w:tc>
        <w:tc>
          <w:tcPr>
            <w:tcW w:w="100" w:type="dxa"/>
            <w:vAlign w:val="bottom"/>
            <w:tcBorders>
              <w:right w:val="single" w:sz="8" w:color="auto"/>
            </w:tcBorders>
            <w:shd w:val="clear" w:color="auto" w:fill="CCEEFF"/>
          </w:tcPr>
          <w:p>
            <w:pPr>
              <w:spacing w:after="0"/>
              <w:rPr>
                <w:sz w:val="23"/>
                <w:szCs w:val="23"/>
                <w:color w:val="auto"/>
              </w:rPr>
            </w:pPr>
          </w:p>
        </w:tc>
        <w:tc>
          <w:tcPr>
            <w:tcW w:w="90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 mg</w:t>
            </w:r>
          </w:p>
        </w:tc>
        <w:tc>
          <w:tcPr>
            <w:tcW w:w="90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300 mg</w:t>
            </w:r>
          </w:p>
        </w:tc>
        <w:tc>
          <w:tcPr>
            <w:tcW w:w="40" w:type="dxa"/>
            <w:vAlign w:val="bottom"/>
            <w:shd w:val="clear" w:color="auto" w:fill="CCEEFF"/>
          </w:tcPr>
          <w:p>
            <w:pPr>
              <w:spacing w:after="0"/>
              <w:rPr>
                <w:sz w:val="23"/>
                <w:szCs w:val="23"/>
                <w:color w:val="auto"/>
              </w:rPr>
            </w:pPr>
          </w:p>
        </w:tc>
        <w:tc>
          <w:tcPr>
            <w:tcW w:w="740" w:type="dxa"/>
            <w:vAlign w:val="bottom"/>
            <w:tcBorders>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Placebo</w:t>
            </w:r>
          </w:p>
        </w:tc>
        <w:tc>
          <w:tcPr>
            <w:tcW w:w="260" w:type="dxa"/>
            <w:vAlign w:val="bottom"/>
            <w:tcBorders>
              <w:right w:val="single" w:sz="8" w:color="auto"/>
            </w:tcBorders>
            <w:shd w:val="clear" w:color="auto" w:fill="CCEEFF"/>
          </w:tcPr>
          <w:p>
            <w:pPr>
              <w:spacing w:after="0"/>
              <w:rPr>
                <w:sz w:val="23"/>
                <w:szCs w:val="23"/>
                <w:color w:val="auto"/>
              </w:rPr>
            </w:pP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 mg</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 mg</w:t>
            </w:r>
          </w:p>
        </w:tc>
        <w:tc>
          <w:tcPr>
            <w:tcW w:w="9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Placebo</w:t>
            </w:r>
          </w:p>
        </w:tc>
        <w:tc>
          <w:tcPr>
            <w:tcW w:w="0" w:type="dxa"/>
            <w:vAlign w:val="bottom"/>
          </w:tcPr>
          <w:p>
            <w:pPr>
              <w:spacing w:after="0"/>
              <w:rPr>
                <w:sz w:val="1"/>
                <w:szCs w:val="1"/>
                <w:color w:val="auto"/>
              </w:rPr>
            </w:pPr>
          </w:p>
        </w:tc>
      </w:tr>
      <w:tr>
        <w:trPr>
          <w:trHeight w:val="104"/>
        </w:trPr>
        <w:tc>
          <w:tcPr>
            <w:tcW w:w="2040" w:type="dxa"/>
            <w:vAlign w:val="bottom"/>
            <w:tcBorders>
              <w:left w:val="single" w:sz="8" w:color="auto"/>
            </w:tcBorders>
            <w:gridSpan w:val="3"/>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q4w</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q8w</w:t>
            </w:r>
          </w:p>
        </w:tc>
        <w:tc>
          <w:tcPr>
            <w:tcW w:w="40" w:type="dxa"/>
            <w:vAlign w:val="bottom"/>
            <w:shd w:val="clear" w:color="auto" w:fill="CCEEFF"/>
          </w:tcPr>
          <w:p>
            <w:pPr>
              <w:spacing w:after="0"/>
              <w:rPr>
                <w:sz w:val="9"/>
                <w:szCs w:val="9"/>
                <w:color w:val="auto"/>
              </w:rPr>
            </w:pPr>
          </w:p>
        </w:tc>
        <w:tc>
          <w:tcPr>
            <w:tcW w:w="740" w:type="dxa"/>
            <w:vAlign w:val="bottom"/>
            <w:tcBorders>
              <w:right w:val="single" w:sz="8" w:color="auto"/>
            </w:tcBorders>
            <w:vMerge w:val="continue"/>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q4w</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q8w</w:t>
            </w:r>
          </w:p>
        </w:tc>
        <w:tc>
          <w:tcPr>
            <w:tcW w:w="9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40" w:type="dxa"/>
            <w:vAlign w:val="bottom"/>
            <w:tcBorders>
              <w:left w:val="single" w:sz="8" w:color="auto"/>
            </w:tcBorders>
            <w:gridSpan w:val="3"/>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Week 12</w:t>
            </w:r>
          </w:p>
        </w:tc>
        <w:tc>
          <w:tcPr>
            <w:tcW w:w="10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(n=32)</w:t>
            </w: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9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(n=31)</w:t>
            </w: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tcBorders>
            <w:gridSpan w:val="3"/>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(n=32)</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(n=32)</w:t>
            </w:r>
          </w:p>
        </w:tc>
        <w:tc>
          <w:tcPr>
            <w:tcW w:w="40" w:type="dxa"/>
            <w:vAlign w:val="bottom"/>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(n=33)</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(n=33)</w:t>
            </w:r>
          </w:p>
        </w:tc>
        <w:tc>
          <w:tcPr>
            <w:tcW w:w="9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92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right w:val="single" w:sz="8" w:color="auto"/>
            </w:tcBorders>
            <w:shd w:val="clear" w:color="auto" w:fill="CCEEFF"/>
          </w:tcPr>
          <w:p>
            <w:pPr>
              <w:spacing w:after="0"/>
              <w:rPr>
                <w:sz w:val="8"/>
                <w:szCs w:val="8"/>
                <w:color w:val="auto"/>
              </w:rPr>
            </w:pPr>
          </w:p>
        </w:tc>
        <w:tc>
          <w:tcPr>
            <w:tcW w:w="900" w:type="dxa"/>
            <w:vAlign w:val="bottom"/>
            <w:tcBorders>
              <w:bottom w:val="single" w:sz="8" w:color="auto"/>
              <w:right w:val="single" w:sz="8" w:color="auto"/>
            </w:tcBorders>
            <w:shd w:val="clear" w:color="auto" w:fill="CCEEFF"/>
          </w:tcPr>
          <w:p>
            <w:pPr>
              <w:spacing w:after="0"/>
              <w:rPr>
                <w:sz w:val="8"/>
                <w:szCs w:val="8"/>
                <w:color w:val="auto"/>
              </w:rPr>
            </w:pPr>
          </w:p>
        </w:tc>
        <w:tc>
          <w:tcPr>
            <w:tcW w:w="900" w:type="dxa"/>
            <w:vAlign w:val="bottom"/>
            <w:tcBorders>
              <w:bottom w:val="single" w:sz="8" w:color="auto"/>
              <w:right w:val="single" w:sz="8" w:color="auto"/>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right w:val="single" w:sz="8" w:color="auto"/>
            </w:tcBorders>
            <w:shd w:val="clear" w:color="auto" w:fill="CCEEFF"/>
          </w:tcPr>
          <w:p>
            <w:pPr>
              <w:spacing w:after="0"/>
              <w:rPr>
                <w:sz w:val="8"/>
                <w:szCs w:val="8"/>
                <w:color w:val="auto"/>
              </w:rPr>
            </w:pPr>
          </w:p>
        </w:tc>
        <w:tc>
          <w:tcPr>
            <w:tcW w:w="260" w:type="dxa"/>
            <w:vAlign w:val="bottom"/>
            <w:tcBorders>
              <w:right w:val="single" w:sz="8" w:color="auto"/>
            </w:tcBorders>
            <w:shd w:val="clear" w:color="auto" w:fill="CCEEFF"/>
          </w:tcPr>
          <w:p>
            <w:pPr>
              <w:spacing w:after="0"/>
              <w:rPr>
                <w:sz w:val="8"/>
                <w:szCs w:val="8"/>
                <w:color w:val="auto"/>
              </w:rPr>
            </w:pPr>
          </w:p>
        </w:tc>
        <w:tc>
          <w:tcPr>
            <w:tcW w:w="1060" w:type="dxa"/>
            <w:vAlign w:val="bottom"/>
            <w:tcBorders>
              <w:bottom w:val="single" w:sz="8" w:color="auto"/>
              <w:right w:val="single" w:sz="8" w:color="auto"/>
            </w:tcBorders>
            <w:shd w:val="clear" w:color="auto" w:fill="CCEEFF"/>
          </w:tcPr>
          <w:p>
            <w:pPr>
              <w:spacing w:after="0"/>
              <w:rPr>
                <w:sz w:val="8"/>
                <w:szCs w:val="8"/>
                <w:color w:val="auto"/>
              </w:rPr>
            </w:pPr>
          </w:p>
        </w:tc>
        <w:tc>
          <w:tcPr>
            <w:tcW w:w="980" w:type="dxa"/>
            <w:vAlign w:val="bottom"/>
            <w:tcBorders>
              <w:bottom w:val="single" w:sz="8" w:color="auto"/>
              <w:right w:val="single" w:sz="8" w:color="auto"/>
            </w:tcBorders>
            <w:shd w:val="clear" w:color="auto" w:fill="CCEEFF"/>
          </w:tcPr>
          <w:p>
            <w:pPr>
              <w:spacing w:after="0"/>
              <w:rPr>
                <w:sz w:val="8"/>
                <w:szCs w:val="8"/>
                <w:color w:val="auto"/>
              </w:rPr>
            </w:pPr>
          </w:p>
        </w:tc>
        <w:tc>
          <w:tcPr>
            <w:tcW w:w="92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40" w:type="dxa"/>
            <w:vAlign w:val="bottom"/>
            <w:tcBorders>
              <w:left w:val="single" w:sz="8" w:color="auto"/>
            </w:tcBorders>
            <w:gridSpan w:val="3"/>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Primary endpoint:</w:t>
            </w:r>
          </w:p>
        </w:tc>
        <w:tc>
          <w:tcPr>
            <w:tcW w:w="1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tcBorders>
            <w:gridSpan w:val="3"/>
          </w:tcPr>
          <w:p>
            <w:pPr>
              <w:ind w:left="20"/>
              <w:spacing w:after="0" w:line="226" w:lineRule="exact"/>
              <w:rPr>
                <w:sz w:val="20"/>
                <w:szCs w:val="20"/>
                <w:color w:val="auto"/>
              </w:rPr>
            </w:pPr>
            <w:r>
              <w:rPr>
                <w:rFonts w:ascii="Times New Roman" w:cs="Times New Roman" w:eastAsia="Times New Roman" w:hAnsi="Times New Roman"/>
                <w:sz w:val="20"/>
                <w:szCs w:val="20"/>
                <w:color w:val="auto"/>
              </w:rPr>
              <w:t>% of patients with</w:t>
            </w:r>
          </w:p>
        </w:tc>
        <w:tc>
          <w:tcPr>
            <w:tcW w:w="1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20"/>
                <w:szCs w:val="20"/>
                <w:color w:val="auto"/>
                <w:w w:val="96"/>
              </w:rPr>
              <w:t>46.9%</w:t>
            </w:r>
          </w:p>
        </w:tc>
        <w:tc>
          <w:tcPr>
            <w:tcW w:w="90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20"/>
                <w:szCs w:val="20"/>
                <w:color w:val="auto"/>
                <w:w w:val="96"/>
              </w:rPr>
              <w:t>53.1%</w:t>
            </w:r>
          </w:p>
        </w:tc>
        <w:tc>
          <w:tcPr>
            <w:tcW w:w="40" w:type="dxa"/>
            <w:vAlign w:val="bottom"/>
          </w:tcPr>
          <w:p>
            <w:pPr>
              <w:spacing w:after="0"/>
              <w:rPr>
                <w:sz w:val="19"/>
                <w:szCs w:val="1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12.5%</w:t>
            </w:r>
          </w:p>
        </w:tc>
        <w:tc>
          <w:tcPr>
            <w:tcW w:w="26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20"/>
                <w:szCs w:val="20"/>
                <w:color w:val="auto"/>
              </w:rPr>
              <w:t>57.6%</w:t>
            </w:r>
          </w:p>
        </w:tc>
        <w:tc>
          <w:tcPr>
            <w:tcW w:w="98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20"/>
                <w:szCs w:val="20"/>
                <w:color w:val="auto"/>
              </w:rPr>
              <w:t>42.4%</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w w:val="99"/>
              </w:rPr>
              <w:t>negative provocation test</w:t>
            </w:r>
          </w:p>
        </w:tc>
        <w:tc>
          <w:tcPr>
            <w:tcW w:w="1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p=0.0023</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p=0.0011</w:t>
            </w:r>
          </w:p>
        </w:tc>
        <w:tc>
          <w:tcPr>
            <w:tcW w:w="40" w:type="dxa"/>
            <w:vAlign w:val="bottom"/>
          </w:tcPr>
          <w:p>
            <w:pPr>
              <w:spacing w:after="0"/>
              <w:rPr>
                <w:sz w:val="20"/>
                <w:szCs w:val="20"/>
                <w:color w:val="auto"/>
              </w:rPr>
            </w:pPr>
          </w:p>
        </w:tc>
        <w:tc>
          <w:tcPr>
            <w:tcW w:w="740" w:type="dxa"/>
            <w:vAlign w:val="bottom"/>
            <w:tcBorders>
              <w:right w:val="single" w:sz="8" w:color="auto"/>
            </w:tcBorders>
            <w:vMerge w:val="continue"/>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p&lt;0.0001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p=0.0003</w:t>
            </w:r>
          </w:p>
        </w:tc>
        <w:tc>
          <w:tcPr>
            <w:tcW w:w="9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4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(complete response)</w:t>
            </w:r>
          </w:p>
        </w:tc>
        <w:tc>
          <w:tcPr>
            <w:tcW w:w="1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2040" w:type="dxa"/>
            <w:vAlign w:val="bottom"/>
            <w:tcBorders>
              <w:lef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of patients with complete</w:t>
            </w:r>
          </w:p>
        </w:tc>
        <w:tc>
          <w:tcPr>
            <w:tcW w:w="100" w:type="dxa"/>
            <w:vAlign w:val="bottom"/>
            <w:tcBorders>
              <w:right w:val="single" w:sz="8" w:color="auto"/>
            </w:tcBorders>
            <w:shd w:val="clear" w:color="auto" w:fill="CCEEFF"/>
          </w:tcPr>
          <w:p>
            <w:pPr>
              <w:spacing w:after="0"/>
              <w:rPr>
                <w:sz w:val="24"/>
                <w:szCs w:val="24"/>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75%</w:t>
            </w:r>
          </w:p>
        </w:tc>
        <w:tc>
          <w:tcPr>
            <w:tcW w:w="4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spacing w:after="0"/>
              <w:rPr>
                <w:sz w:val="24"/>
                <w:szCs w:val="24"/>
                <w:color w:val="auto"/>
              </w:rPr>
            </w:pPr>
          </w:p>
        </w:tc>
        <w:tc>
          <w:tcPr>
            <w:tcW w:w="260" w:type="dxa"/>
            <w:vAlign w:val="bottom"/>
            <w:tcBorders>
              <w:right w:val="single" w:sz="8" w:color="auto"/>
            </w:tcBorders>
            <w:shd w:val="clear" w:color="auto" w:fill="CCEEFF"/>
          </w:tcPr>
          <w:p>
            <w:pPr>
              <w:spacing w:after="0"/>
              <w:rPr>
                <w:sz w:val="24"/>
                <w:szCs w:val="24"/>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66.6%</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57.5%</w:t>
            </w:r>
          </w:p>
        </w:tc>
        <w:tc>
          <w:tcPr>
            <w:tcW w:w="92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4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partial response per</w:t>
            </w:r>
          </w:p>
        </w:tc>
        <w:tc>
          <w:tcPr>
            <w:tcW w:w="100" w:type="dxa"/>
            <w:vAlign w:val="bottom"/>
            <w:tcBorders>
              <w:right w:val="single" w:sz="8" w:color="auto"/>
            </w:tcBorders>
            <w:shd w:val="clear" w:color="auto" w:fill="CCEEFF"/>
          </w:tcPr>
          <w:p>
            <w:pPr>
              <w:spacing w:after="0"/>
              <w:rPr>
                <w:sz w:val="8"/>
                <w:szCs w:val="8"/>
                <w:color w:val="auto"/>
              </w:rPr>
            </w:pP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260" w:type="dxa"/>
            <w:vAlign w:val="bottom"/>
            <w:tcBorders>
              <w:right w:val="single" w:sz="8" w:color="auto"/>
            </w:tcBorders>
            <w:shd w:val="clear" w:color="auto" w:fill="CCEEFF"/>
          </w:tcPr>
          <w:p>
            <w:pPr>
              <w:spacing w:after="0"/>
              <w:rPr>
                <w:sz w:val="8"/>
                <w:szCs w:val="8"/>
                <w:color w:val="auto"/>
              </w:rPr>
            </w:pP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9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16"/>
        </w:trPr>
        <w:tc>
          <w:tcPr>
            <w:tcW w:w="2040" w:type="dxa"/>
            <w:vAlign w:val="bottom"/>
            <w:tcBorders>
              <w:left w:val="single" w:sz="8" w:color="auto"/>
            </w:tcBorders>
            <w:gridSpan w:val="3"/>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p=0.0118</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p=0.0006</w:t>
            </w:r>
          </w:p>
        </w:tc>
        <w:tc>
          <w:tcPr>
            <w:tcW w:w="40" w:type="dxa"/>
            <w:vAlign w:val="bottom"/>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p&lt;0.0001</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p=0.0002</w:t>
            </w:r>
          </w:p>
        </w:tc>
        <w:tc>
          <w:tcPr>
            <w:tcW w:w="9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provocation test</w:t>
            </w:r>
          </w:p>
        </w:tc>
        <w:tc>
          <w:tcPr>
            <w:tcW w:w="100" w:type="dxa"/>
            <w:vAlign w:val="bottom"/>
            <w:tcBorders>
              <w:right w:val="single" w:sz="8" w:color="auto"/>
            </w:tcBorders>
            <w:shd w:val="clear" w:color="auto" w:fill="CCEEFF"/>
          </w:tcPr>
          <w:p>
            <w:pPr>
              <w:spacing w:after="0"/>
              <w:rPr>
                <w:sz w:val="12"/>
                <w:szCs w:val="12"/>
                <w:color w:val="auto"/>
              </w:rPr>
            </w:pPr>
          </w:p>
        </w:tc>
        <w:tc>
          <w:tcPr>
            <w:tcW w:w="900" w:type="dxa"/>
            <w:vAlign w:val="bottom"/>
            <w:tcBorders>
              <w:right w:val="single" w:sz="8" w:color="auto"/>
            </w:tcBorders>
            <w:vMerge w:val="continue"/>
            <w:shd w:val="clear" w:color="auto" w:fill="CCEEFF"/>
          </w:tcPr>
          <w:p>
            <w:pPr>
              <w:spacing w:after="0"/>
              <w:rPr>
                <w:sz w:val="12"/>
                <w:szCs w:val="12"/>
                <w:color w:val="auto"/>
              </w:rPr>
            </w:pPr>
          </w:p>
        </w:tc>
        <w:tc>
          <w:tcPr>
            <w:tcW w:w="90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1060" w:type="dxa"/>
            <w:vAlign w:val="bottom"/>
            <w:tcBorders>
              <w:right w:val="single" w:sz="8" w:color="auto"/>
            </w:tcBorders>
            <w:vMerge w:val="continue"/>
            <w:shd w:val="clear" w:color="auto" w:fill="CCEEFF"/>
          </w:tcPr>
          <w:p>
            <w:pPr>
              <w:spacing w:after="0"/>
              <w:rPr>
                <w:sz w:val="12"/>
                <w:szCs w:val="12"/>
                <w:color w:val="auto"/>
              </w:rPr>
            </w:pPr>
          </w:p>
        </w:tc>
        <w:tc>
          <w:tcPr>
            <w:tcW w:w="980" w:type="dxa"/>
            <w:vAlign w:val="bottom"/>
            <w:tcBorders>
              <w:right w:val="single" w:sz="8" w:color="auto"/>
            </w:tcBorders>
            <w:vMerge w:val="continue"/>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40" w:type="dxa"/>
            <w:vAlign w:val="bottom"/>
            <w:tcBorders>
              <w:left w:val="single" w:sz="8" w:color="auto"/>
            </w:tcBorders>
            <w:gridSpan w:val="3"/>
            <w:vMerge w:val="continue"/>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900" w:type="dxa"/>
            <w:vAlign w:val="bottom"/>
            <w:tcBorders>
              <w:right w:val="single" w:sz="8" w:color="auto"/>
            </w:tcBorders>
            <w:shd w:val="clear" w:color="auto" w:fill="CCEEFF"/>
          </w:tcPr>
          <w:p>
            <w:pPr>
              <w:spacing w:after="0"/>
              <w:rPr>
                <w:sz w:val="7"/>
                <w:szCs w:val="7"/>
                <w:color w:val="auto"/>
              </w:rPr>
            </w:pPr>
          </w:p>
        </w:tc>
        <w:tc>
          <w:tcPr>
            <w:tcW w:w="90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260" w:type="dxa"/>
            <w:vAlign w:val="bottom"/>
            <w:tcBorders>
              <w:right w:val="single" w:sz="8" w:color="auto"/>
            </w:tcBorders>
            <w:shd w:val="clear" w:color="auto" w:fill="CCEEFF"/>
          </w:tcPr>
          <w:p>
            <w:pPr>
              <w:spacing w:after="0"/>
              <w:rPr>
                <w:sz w:val="7"/>
                <w:szCs w:val="7"/>
                <w:color w:val="auto"/>
              </w:rPr>
            </w:pPr>
          </w:p>
        </w:tc>
        <w:tc>
          <w:tcPr>
            <w:tcW w:w="106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900" w:type="dxa"/>
            <w:vAlign w:val="bottom"/>
            <w:tcBorders>
              <w:bottom w:val="single" w:sz="8" w:color="auto"/>
              <w:right w:val="single" w:sz="8" w:color="auto"/>
            </w:tcBorders>
            <w:shd w:val="clear" w:color="auto" w:fill="CCEEFF"/>
          </w:tcPr>
          <w:p>
            <w:pPr>
              <w:spacing w:after="0"/>
              <w:rPr>
                <w:sz w:val="9"/>
                <w:szCs w:val="9"/>
                <w:color w:val="auto"/>
              </w:rPr>
            </w:pPr>
          </w:p>
        </w:tc>
        <w:tc>
          <w:tcPr>
            <w:tcW w:w="900" w:type="dxa"/>
            <w:vAlign w:val="bottom"/>
            <w:tcBorders>
              <w:bottom w:val="single" w:sz="8" w:color="auto"/>
              <w:right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right w:val="single" w:sz="8" w:color="auto"/>
            </w:tcBorders>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bottom w:val="single" w:sz="8" w:color="auto"/>
              <w:right w:val="single" w:sz="8" w:color="auto"/>
            </w:tcBorders>
            <w:shd w:val="clear" w:color="auto" w:fill="CCEEFF"/>
          </w:tcPr>
          <w:p>
            <w:pPr>
              <w:spacing w:after="0"/>
              <w:rPr>
                <w:sz w:val="9"/>
                <w:szCs w:val="9"/>
                <w:color w:val="auto"/>
              </w:rPr>
            </w:pPr>
          </w:p>
        </w:tc>
        <w:tc>
          <w:tcPr>
            <w:tcW w:w="980" w:type="dxa"/>
            <w:vAlign w:val="bottom"/>
            <w:tcBorders>
              <w:bottom w:val="single" w:sz="8" w:color="auto"/>
              <w:right w:val="single" w:sz="8" w:color="auto"/>
            </w:tcBorders>
            <w:shd w:val="clear" w:color="auto" w:fill="CCEEFF"/>
          </w:tcPr>
          <w:p>
            <w:pPr>
              <w:spacing w:after="0"/>
              <w:rPr>
                <w:sz w:val="9"/>
                <w:szCs w:val="9"/>
                <w:color w:val="auto"/>
              </w:rPr>
            </w:pPr>
          </w:p>
        </w:tc>
        <w:tc>
          <w:tcPr>
            <w:tcW w:w="9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40" w:type="dxa"/>
            <w:vAlign w:val="bottom"/>
            <w:tcBorders>
              <w:left w:val="single" w:sz="8" w:color="auto"/>
            </w:tcBorders>
            <w:gridSpan w:val="3"/>
          </w:tcPr>
          <w:p>
            <w:pPr>
              <w:ind w:left="20"/>
              <w:spacing w:after="0" w:line="200" w:lineRule="exact"/>
              <w:rPr>
                <w:sz w:val="20"/>
                <w:szCs w:val="20"/>
                <w:color w:val="auto"/>
              </w:rPr>
            </w:pPr>
            <w:r>
              <w:rPr>
                <w:rFonts w:ascii="Times New Roman" w:cs="Times New Roman" w:eastAsia="Times New Roman" w:hAnsi="Times New Roman"/>
                <w:sz w:val="20"/>
                <w:szCs w:val="20"/>
                <w:color w:val="auto"/>
              </w:rPr>
              <w:t>Improvement in Critical</w:t>
            </w:r>
          </w:p>
        </w:tc>
        <w:tc>
          <w:tcPr>
            <w:tcW w:w="1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204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Temperature (CTT) and</w:t>
            </w:r>
          </w:p>
        </w:tc>
        <w:tc>
          <w:tcPr>
            <w:tcW w:w="1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-8.82°C</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-9.61°C</w:t>
            </w:r>
          </w:p>
        </w:tc>
        <w:tc>
          <w:tcPr>
            <w:tcW w:w="40" w:type="dxa"/>
            <w:vAlign w:val="bottom"/>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-0.30°C</w:t>
            </w:r>
          </w:p>
        </w:tc>
        <w:tc>
          <w:tcPr>
            <w:tcW w:w="2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-2.46 pins</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-2.27 pins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-0.82 pins</w:t>
            </w: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tcBorders>
            <w:gridSpan w:val="3"/>
          </w:tcPr>
          <w:p>
            <w:pPr>
              <w:ind w:left="20"/>
              <w:spacing w:after="0" w:line="153" w:lineRule="exact"/>
              <w:rPr>
                <w:sz w:val="20"/>
                <w:szCs w:val="20"/>
                <w:color w:val="auto"/>
              </w:rPr>
            </w:pPr>
            <w:r>
              <w:rPr>
                <w:rFonts w:ascii="Times New Roman" w:cs="Times New Roman" w:eastAsia="Times New Roman" w:hAnsi="Times New Roman"/>
                <w:sz w:val="16"/>
                <w:szCs w:val="16"/>
                <w:color w:val="auto"/>
              </w:rPr>
              <w:t>Critical Friction (CFT)</w:t>
            </w:r>
          </w:p>
        </w:tc>
        <w:tc>
          <w:tcPr>
            <w:tcW w:w="1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p&lt;0.0001</w:t>
            </w:r>
          </w:p>
        </w:tc>
        <w:tc>
          <w:tcPr>
            <w:tcW w:w="9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p&lt;0.0001</w:t>
            </w:r>
          </w:p>
        </w:tc>
        <w:tc>
          <w:tcPr>
            <w:tcW w:w="4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p&lt;0.0001</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p=0.0002</w:t>
            </w: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4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Thresholds</w:t>
            </w:r>
          </w:p>
        </w:tc>
        <w:tc>
          <w:tcPr>
            <w:tcW w:w="1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2040" w:type="dxa"/>
            <w:vAlign w:val="bottom"/>
            <w:tcBorders>
              <w:lef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of patients with</w:t>
            </w:r>
          </w:p>
        </w:tc>
        <w:tc>
          <w:tcPr>
            <w:tcW w:w="100" w:type="dxa"/>
            <w:vAlign w:val="bottom"/>
            <w:tcBorders>
              <w:right w:val="single" w:sz="8" w:color="auto"/>
            </w:tcBorders>
            <w:shd w:val="clear" w:color="auto" w:fill="CCEEFF"/>
          </w:tcPr>
          <w:p>
            <w:pPr>
              <w:spacing w:after="0"/>
              <w:rPr>
                <w:sz w:val="24"/>
                <w:szCs w:val="24"/>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58.6%</w:t>
            </w: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68.8%</w:t>
            </w:r>
          </w:p>
        </w:tc>
        <w:tc>
          <w:tcPr>
            <w:tcW w:w="40" w:type="dxa"/>
            <w:vAlign w:val="bottom"/>
            <w:shd w:val="clear" w:color="auto" w:fill="CCEEFF"/>
          </w:tcPr>
          <w:p>
            <w:pPr>
              <w:spacing w:after="0"/>
              <w:rPr>
                <w:sz w:val="24"/>
                <w:szCs w:val="24"/>
                <w:color w:val="auto"/>
              </w:rPr>
            </w:pPr>
          </w:p>
        </w:tc>
        <w:tc>
          <w:tcPr>
            <w:tcW w:w="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31.0%</w:t>
            </w:r>
          </w:p>
        </w:tc>
        <w:tc>
          <w:tcPr>
            <w:tcW w:w="260" w:type="dxa"/>
            <w:vAlign w:val="bottom"/>
            <w:tcBorders>
              <w:right w:val="single" w:sz="8" w:color="auto"/>
            </w:tcBorders>
            <w:shd w:val="clear" w:color="auto" w:fill="CCEEFF"/>
          </w:tcPr>
          <w:p>
            <w:pPr>
              <w:spacing w:after="0"/>
              <w:rPr>
                <w:sz w:val="24"/>
                <w:szCs w:val="24"/>
                <w:color w:val="auto"/>
              </w:rPr>
            </w:pP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54.8%</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65.5%</w:t>
            </w:r>
          </w:p>
        </w:tc>
        <w:tc>
          <w:tcPr>
            <w:tcW w:w="9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32.0%</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20"/>
                <w:szCs w:val="20"/>
                <w:color w:val="auto"/>
                <w:w w:val="97"/>
              </w:rPr>
              <w:t>Urticaria Control Test &gt;12</w:t>
            </w:r>
          </w:p>
        </w:tc>
        <w:tc>
          <w:tcPr>
            <w:tcW w:w="900" w:type="dxa"/>
            <w:vAlign w:val="bottom"/>
            <w:tcBorders>
              <w:right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p=0.0048</w:t>
            </w:r>
          </w:p>
        </w:tc>
        <w:tc>
          <w:tcPr>
            <w:tcW w:w="900" w:type="dxa"/>
            <w:vAlign w:val="bottom"/>
            <w:tcBorders>
              <w:right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p&lt;0.0001</w:t>
            </w:r>
          </w:p>
        </w:tc>
        <w:tc>
          <w:tcPr>
            <w:tcW w:w="40" w:type="dxa"/>
            <w:vAlign w:val="bottom"/>
            <w:shd w:val="clear" w:color="auto" w:fill="CCEEFF"/>
          </w:tcPr>
          <w:p>
            <w:pPr>
              <w:spacing w:after="0"/>
              <w:rPr>
                <w:sz w:val="18"/>
                <w:szCs w:val="18"/>
                <w:color w:val="auto"/>
              </w:rPr>
            </w:pPr>
          </w:p>
        </w:tc>
        <w:tc>
          <w:tcPr>
            <w:tcW w:w="740" w:type="dxa"/>
            <w:vAlign w:val="bottom"/>
            <w:tcBorders>
              <w:right w:val="single" w:sz="8" w:color="auto"/>
            </w:tcBorders>
            <w:vMerge w:val="continue"/>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p=0.0015</w:t>
            </w:r>
          </w:p>
        </w:tc>
        <w:tc>
          <w:tcPr>
            <w:tcW w:w="980" w:type="dxa"/>
            <w:vAlign w:val="bottom"/>
            <w:tcBorders>
              <w:right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p&lt;0.0001</w:t>
            </w:r>
          </w:p>
        </w:tc>
        <w:tc>
          <w:tcPr>
            <w:tcW w:w="92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tcBorders>
              <w:top w:val="single" w:sz="8" w:color="CCEEFF"/>
              <w:left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6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92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CIndU and plan to advance CIndU into Phase 3 registrational development.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pacing w:after="0" w:line="14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35" w:lineRule="exact"/>
        <w:rPr>
          <w:sz w:val="20"/>
          <w:szCs w:val="20"/>
          <w:color w:val="auto"/>
        </w:rPr>
      </w:pPr>
    </w:p>
    <w:p>
      <w:pPr>
        <w:ind w:left="1000" w:right="80" w:hanging="317"/>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of Subjects with ≥4-point decrease in WI-NRS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-125095</wp:posOffset>
            </wp:positionV>
            <wp:extent cx="5031740" cy="779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31740" cy="779780"/>
                    </a:xfrm>
                    <a:prstGeom prst="rect">
                      <a:avLst/>
                    </a:prstGeom>
                    <a:noFill/>
                  </pic:spPr>
                </pic:pic>
              </a:graphicData>
            </a:graphic>
          </wp:anchor>
        </w:drawing>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236"/>
        </w:trPr>
        <w:tc>
          <w:tcPr>
            <w:tcW w:w="210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Dose</w:t>
            </w:r>
          </w:p>
        </w:tc>
        <w:tc>
          <w:tcPr>
            <w:tcW w:w="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Week 1</w:t>
            </w:r>
          </w:p>
        </w:tc>
        <w:tc>
          <w:tcPr>
            <w:tcW w:w="7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Week 2</w:t>
            </w:r>
          </w:p>
        </w:tc>
        <w:tc>
          <w:tcPr>
            <w:tcW w:w="72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3</w:t>
            </w:r>
          </w:p>
        </w:tc>
        <w:tc>
          <w:tcPr>
            <w:tcW w:w="7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Week 4</w:t>
            </w:r>
          </w:p>
        </w:tc>
        <w:tc>
          <w:tcPr>
            <w:tcW w:w="74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5</w:t>
            </w:r>
          </w:p>
        </w:tc>
        <w:tc>
          <w:tcPr>
            <w:tcW w:w="7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Week 6</w:t>
            </w:r>
          </w:p>
        </w:tc>
        <w:tc>
          <w:tcPr>
            <w:tcW w:w="74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7</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1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 mg/kg</w:t>
            </w:r>
          </w:p>
        </w:tc>
        <w:tc>
          <w:tcPr>
            <w:tcW w:w="7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tcPr>
          <w:p>
            <w:pPr>
              <w:spacing w:after="0"/>
              <w:rPr>
                <w:sz w:val="19"/>
                <w:szCs w:val="19"/>
                <w:color w:val="auto"/>
              </w:rPr>
            </w:pPr>
          </w:p>
        </w:tc>
      </w:tr>
      <w:tr>
        <w:trPr>
          <w:trHeight w:val="223"/>
        </w:trPr>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7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74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w:t>
            </w: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71</w:t>
            </w:r>
          </w:p>
        </w:tc>
        <w:tc>
          <w:tcPr>
            <w:tcW w:w="74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w:t>
            </w: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21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placebo</w:t>
            </w:r>
          </w:p>
        </w:tc>
        <w:tc>
          <w:tcPr>
            <w:tcW w:w="7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120" w:hanging="317"/>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of Subjects with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-125095</wp:posOffset>
            </wp:positionV>
            <wp:extent cx="5031740" cy="779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31740" cy="779780"/>
                    </a:xfrm>
                    <a:prstGeom prst="rect">
                      <a:avLst/>
                    </a:prstGeom>
                    <a:noFill/>
                  </pic:spPr>
                </pic:pic>
              </a:graphicData>
            </a:graphic>
          </wp:anchor>
        </w:drawing>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320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Dose</w:t>
            </w:r>
          </w:p>
        </w:tc>
        <w:tc>
          <w:tcPr>
            <w:tcW w:w="118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Baseline</w:t>
            </w:r>
          </w:p>
        </w:tc>
        <w:tc>
          <w:tcPr>
            <w:tcW w:w="12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Week 2</w:t>
            </w:r>
          </w:p>
        </w:tc>
        <w:tc>
          <w:tcPr>
            <w:tcW w:w="118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4</w:t>
            </w:r>
          </w:p>
        </w:tc>
        <w:tc>
          <w:tcPr>
            <w:tcW w:w="11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32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 mg/kg</w:t>
            </w:r>
          </w:p>
        </w:tc>
        <w:tc>
          <w:tcPr>
            <w:tcW w:w="1180" w:type="dxa"/>
            <w:vAlign w:val="bottom"/>
            <w:tcBorders>
              <w:bottom w:val="single" w:sz="8" w:color="auto"/>
              <w:right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2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w:t>
            </w:r>
          </w:p>
        </w:tc>
        <w:tc>
          <w:tcPr>
            <w:tcW w:w="12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 w:type="dxa"/>
            <w:vAlign w:val="bottom"/>
            <w:tcBorders>
              <w:bottom w:val="single" w:sz="8" w:color="auto"/>
            </w:tcBorders>
          </w:tcPr>
          <w:p>
            <w:pPr>
              <w:spacing w:after="0"/>
              <w:rPr>
                <w:sz w:val="19"/>
                <w:szCs w:val="19"/>
                <w:color w:val="auto"/>
              </w:rPr>
            </w:pPr>
          </w:p>
        </w:tc>
      </w:tr>
      <w:tr>
        <w:trPr>
          <w:trHeight w:val="223"/>
        </w:trPr>
        <w:tc>
          <w:tcPr>
            <w:tcW w:w="32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Placebo</w:t>
            </w:r>
          </w:p>
        </w:tc>
        <w:tc>
          <w:tcPr>
            <w:tcW w:w="1180" w:type="dxa"/>
            <w:vAlign w:val="bottom"/>
            <w:tcBorders>
              <w:bottom w:val="single" w:sz="8" w:color="auto"/>
              <w:right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240" w:hanging="317"/>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48" w:lineRule="exact"/>
        <w:rPr>
          <w:rFonts w:ascii="Times New Roman" w:cs="Times New Roman" w:eastAsia="Times New Roman" w:hAnsi="Times New Roman"/>
          <w:sz w:val="18"/>
          <w:szCs w:val="18"/>
          <w:color w:val="auto"/>
        </w:rPr>
      </w:pPr>
    </w:p>
    <w:p>
      <w:pPr>
        <w:ind w:left="1000" w:right="320" w:hanging="317"/>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18" w:lineRule="exact"/>
        <w:rPr>
          <w:sz w:val="20"/>
          <w:szCs w:val="20"/>
          <w:color w:val="auto"/>
        </w:rPr>
      </w:pPr>
      <w:r>
        <w:rPr>
          <w:rFonts w:ascii="Times New Roman" w:cs="Times New Roman" w:eastAsia="Times New Roman" w:hAnsi="Times New Roman"/>
          <w:sz w:val="18"/>
          <w:szCs w:val="18"/>
          <w:color w:val="auto"/>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 Enrollment is ongoing.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Eosinophilic Esophagitis (EoE)</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Enrollment is ongoing.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2023, we completed the transfer of our current barzolvolimab manufacturing process to a CMO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CDX-622</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In preclinical studies, CDX-622 inhibits TSLP and SCF with similar potency to both its respective parental mAbs and comparator mAbs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CDX-622 was well tolerated in a multi-dose 8 week toxicology study in non-human primates. The No Adverse Event Level (NOAEL) was established to be 75 mg/kg, the highest dose level tested. We have completed manufacturing and IND-enabling activities and plan to initiate a Phase 1 study of CDX-622 in healthy volunteers by the end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CDX-585</w:t>
      </w:r>
    </w:p>
    <w:p>
      <w:pPr>
        <w:spacing w:after="0" w:line="22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CDX-585 combines our proprietary highly active PD-1 blockade and anti-ILT4 blockade to overcome immunosuppressive signals in T cells and myeloid cells, respectively. The concept behind CDX-585 is to simultaneously inhibit both T cell and myeloid suppressive signals to potentiate the anti-tumor activity of both cell types, and potentially overcome PD-1 resistance. We began dosing patients in May 2023 in a Phase 1 open-label, multi-center, multi-dose study in patients with advanced or metastatic solid tumors that have progressed during or after standard of care therapy. The dose-escalation phase of the study has been completed and we have decided not to advance CDX-585 given our expanding clinical development program in the inflammatory space, including barzolvolimab, which will enter studies in its fifth indication by year end 2024 and the near term advancement of CDX-622 into the clinic.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2023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with Three Months Ended September 30,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4"/>
          </w:tcPr>
          <w:p>
            <w:pPr>
              <w:jc w:val="right"/>
              <w:ind w:right="4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r>
      <w:tr>
        <w:trPr>
          <w:trHeight w:val="250"/>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18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r>
      <w:tr>
        <w:trPr>
          <w:trHeight w:val="197"/>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0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18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18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r>
      <w:tr>
        <w:trPr>
          <w:trHeight w:val="20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$3.9 million increase in net loss for the three months ended September 30, 2024, as compared to the three months ended September 30, 2023, was primarily due to an increase in research and development expenses, partially offset by an increase in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Revenue from product development and licensing agreements for the three months ended September 30, 2024 was relatively consistent with the three months ended September 30, 2023. The $1.7 million increase in contracts and grants revenue for the three months ended September 30, 2024, as compared to the three months ended September 30, 2023, was primarily due to an increase in revenue from our contract manufacturing and research and development agreements with Rockefeller University. We expect revenue to decrease over the next twelve months primarily due to a decrease in services expected to be performed under our contract manufacturing and research and development agreements with Rockefeller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940" w:type="dxa"/>
            <w:vAlign w:val="bottom"/>
            <w:gridSpan w:val="3"/>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3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940" w:type="dxa"/>
            <w:vAlign w:val="bottom"/>
            <w:gridSpan w:val="3"/>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28"/>
        </w:trPr>
        <w:tc>
          <w:tcPr>
            <w:tcW w:w="36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13,855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bl>
    <w:p>
      <w:pPr>
        <w:spacing w:after="0" w:line="17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$3.3 million increase in personnel expenses for the three months ended September 30, 2024, as compared to the three months ended September 30, 2023, was primarily due to higher stock-based compensation expense and an increase in employee headcount. We expect personnel expenses to increase over the next twelve months as a result of additional headcount to support the expanded development of barzolvolimab.</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Laboratory supply expenses for the three months ended September 30, 2024 were relatively consistent with the three months ended September 30, 2023. We expect laboratory supplies expenses to remain relatively consistent over the next twelve months, although there may be fluctuations on a quarterly basis.</w:t>
      </w:r>
    </w:p>
    <w:p>
      <w:pPr>
        <w:spacing w:after="0" w:line="180"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Facility expenses for the three months ended September 30, 2024 were relatively consistent with the three months ended September 30, 2023. We expect facility expenses to remain relatively consistent over the next twelve months, although there may be fluctuations on a quarterly basis.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$7.1 million increase in product development expenses for the three months ended September 30, 2024, as compared to the three months ended September 30, 2023, was primarily due to an increase in barzolvolimab clinical trial expenses, partially offset by a decrease in barzolvolimab contract manufacturing expenses. We expect product development expenses to increase over the next twelve months as a result of the expanded development of barzolvolimab, although there may be fluctuations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The $1.8 million increase in general and administrative expenses for the three months ended September 30, 2024, as compared to the three months ended September 30, 2023, was primarily due to higher stock-based compensation and barzolvolimab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$7.0 million increase in investment and other income, net for the three months ended September 30, 2024, as compared to the three months ended September 30, 2023, was primarily due to higher levels of cash as a result of our November 2023 and March 2024 underwritten public offerings. We expect investment and other income to remain relatively consistent over the next twelve months, although there may be fluctuations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Nine Months Ended September 30,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57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28"/>
        </w:trPr>
        <w:tc>
          <w:tcPr>
            <w:tcW w:w="5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5"/>
          </w:tcPr>
          <w:p>
            <w:pPr>
              <w:jc w:val="right"/>
              <w:ind w:right="5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5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r>
      <w:tr>
        <w:trPr>
          <w:trHeight w:val="197"/>
        </w:trPr>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09"/>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$12.6 million increase in net loss for the nine months ended September 30, 2024, as compared to the nine months ended September 30, 2023, was primarily due to increases in research and development and general and administrative expenses, partially offset by an increase in investment and other income, net.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from product development and licensing agreements for the nine months ended September 30, 2024 was relatively consistent with the nine months ended September 30, 2023. The $3.1 million increase in contracts and grants revenue for the nine months ended September 30, 2024, as compared to the nine months ended September 30, 2023, was primarily due to an increase in revenue from our contract manufacturing and research and development agreements with Rockefeller University.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1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000" w:type="dxa"/>
            <w:vAlign w:val="bottom"/>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3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5"/>
                <w:szCs w:val="15"/>
                <w:color w:val="auto"/>
              </w:rPr>
            </w:pPr>
          </w:p>
        </w:tc>
        <w:tc>
          <w:tcPr>
            <w:tcW w:w="1000" w:type="dxa"/>
            <w:vAlign w:val="bottom"/>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29"/>
        </w:trPr>
        <w:tc>
          <w:tcPr>
            <w:tcW w:w="36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37,176</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bl>
    <w:p>
      <w:pPr>
        <w:spacing w:after="0" w:line="1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$8.6 million increase in personnel expenses for the nine months ended September 30, 2024, as compared to the nine months ended September 30, 2023, was primarily due to higher stock-based compensation expense and an increase in employee headcount.</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Laboratory supply expenses for the nine months ended September 30, 2024 were relatively consistent with the nine months ended September 30, 2023.</w:t>
      </w:r>
    </w:p>
    <w:p>
      <w:pPr>
        <w:spacing w:after="0" w:line="1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Facility expenses for the nine months ended September 30, 2024 were relatively consistent with the nine months ended September 30, 2023.</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$19.4 million increase in product development expenses for the nine months ended September 30, 2024, as compared to the nine months ended September 30, 2023, was primarily due to an increase in barzolvolimab clinical trial expenses, partially offset by a decrease in barzolvolimab contract manufacturing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$6.2 million increase in general and administrative expenses for the nine months ended September 30, 2024, as compared to the nine months ended September 30, 2023, was primarily due to higher stock-based compensation and barzolvolimab commercial planning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$19.5 million increase in investment and other income, net for the nine months ended September 30, 2024, as compared to the nine months ended September 30, 2023, was primarily due to higher levels of cash as a result of our November 2023 and March 2024 underwritten public offerings.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2024, our principal sources of liquidity consisted of cash, cash equivalents and marketable securities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$756.0 million. We have had recurring losses and incurred a loss of $110.8 million for the nine months ended September 30, 2024.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operations for the nine months ended September 30, 2024 was $125.3 million. We believe that the cash,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marketable securities at September 30, 2024 are sufficient to meet estimated working capital requirements and fund current planned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through 2027. This could be impacted if we elect to pay the future milestone under the Settlement Agreement with SRS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the event that we achieve the milestone related to that payment.</w:t>
      </w:r>
    </w:p>
    <w:p>
      <w:pPr>
        <w:spacing w:after="0" w:line="207"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$125.3 million for the nine months ended September 30, 2024 as compared to $74.8 million for the nine months ended September 30, 2023. The increase in net cash used in operating activities was primarily due to increases in research and development and general and administrative expenses and an increase in advance payments to clinical research and contract manufacturing organizations, partially offset by an increase in investment income as a result of higher levels of cash. We expect that cash used in operating activities will increase over the next twelve months as a result of the expanded development of barzolvolimab.</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$314.2 million for the nine months ended September 30, 2024 compared to net cash provided by investing activities of $65.4 million for the nine months ended September 30, 2023. The increase in net cash used in investing activities was primarily due to net purchases of marketable securities of $313.0 million for the nine months ended September 30, 2024 as compared to net sales and maturities of marketable securities of $66.5 million for the nine months ended September 30,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 was $441.1 million for the nine months ended September 30, 2024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for the nine months ended September 30, 2023. The increase in net cash provided by financing activities was primarily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increase in net proceeds from stock issuances.</w:t>
      </w:r>
    </w:p>
    <w:p>
      <w:pPr>
        <w:spacing w:after="0" w:line="19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March 2024, we issued 9,798,000 shares of common stock in an underwritten public offering, resulting in net proceeds of $432.3 million, after deducting underwriting fees and offering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consolidated balance sheet of cash and cash equivalents, accounts receivables and accounts payable approximate fair value at September 30, 2024 due to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ectPr>
          <w:pgSz w:w="11900" w:h="16838" w:orient="portrait"/>
          <w:cols w:equalWidth="0" w:num="1">
            <w:col w:w="9820"/>
          </w:cols>
          <w:pgMar w:left="980" w:top="661" w:right="109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 on February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officer of the Company adopted or terminated a “Rule 10b5-1 trading arrangement” or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listed in the exhibit index included herewith and are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4"/>
                <w:szCs w:val="14"/>
                <w:color w:val="auto"/>
              </w:rPr>
            </w:pPr>
          </w:p>
        </w:tc>
        <w:tc>
          <w:tcPr>
            <w:tcW w:w="882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7"/>
                <w:szCs w:val="17"/>
                <w:color w:val="0000EE"/>
              </w:rPr>
              <w:t>Certification of President and Chief Executive Officer</w:t>
            </w:r>
            <w:r>
              <w:rPr>
                <w:rFonts w:ascii="Calibri" w:cs="Calibri" w:eastAsia="Calibri" w:hAnsi="Calibri"/>
                <w:sz w:val="18"/>
                <w:szCs w:val="18"/>
                <w:color w:val="0000EE"/>
              </w:rPr>
              <w:t>.</w:t>
            </w: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8820" w:type="dxa"/>
            <w:vAlign w:val="bottom"/>
            <w:gridSpan w:val="4"/>
          </w:tcPr>
          <w:p>
            <w:pPr>
              <w:spacing w:after="0" w:line="223" w:lineRule="exact"/>
              <w:rPr>
                <w:sz w:val="20"/>
                <w:szCs w:val="20"/>
                <w:color w:val="auto"/>
              </w:rPr>
            </w:pPr>
            <w:r>
              <w:rPr>
                <w:rFonts w:ascii="Times New Roman" w:cs="Times New Roman" w:eastAsia="Times New Roman" w:hAnsi="Times New Roman"/>
                <w:sz w:val="18"/>
                <w:szCs w:val="18"/>
                <w:color w:val="0000EE"/>
              </w:rPr>
              <w:t>Certification of Senior Vice President and Chief Financial Officer</w:t>
            </w:r>
            <w:r>
              <w:rPr>
                <w:rFonts w:ascii="Calibri" w:cs="Calibri" w:eastAsia="Calibri" w:hAnsi="Calibri"/>
                <w:sz w:val="19"/>
                <w:szCs w:val="19"/>
                <w:color w:val="0000EE"/>
              </w:rPr>
              <w:t>.</w:t>
            </w: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478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18"/>
                <w:szCs w:val="18"/>
                <w:color w:val="0000EE"/>
              </w:rPr>
              <w:t>Section 1350 Certifications</w:t>
            </w:r>
            <w:r>
              <w:rPr>
                <w:rFonts w:ascii="Calibri" w:cs="Calibri" w:eastAsia="Calibri" w:hAnsi="Calibri"/>
                <w:sz w:val="19"/>
                <w:szCs w:val="19"/>
                <w:color w:val="0000EE"/>
              </w:rPr>
              <w:t>.</w:t>
            </w:r>
          </w:p>
        </w:tc>
        <w:tc>
          <w:tcPr>
            <w:tcW w:w="4040" w:type="dxa"/>
            <w:vAlign w:val="bottom"/>
          </w:tcPr>
          <w:p>
            <w:pPr>
              <w:spacing w:after="0"/>
              <w:rPr>
                <w:sz w:val="19"/>
                <w:szCs w:val="19"/>
                <w:color w:val="auto"/>
              </w:rPr>
            </w:pPr>
          </w:p>
        </w:tc>
      </w:tr>
      <w:tr>
        <w:trPr>
          <w:trHeight w:val="20"/>
        </w:trPr>
        <w:tc>
          <w:tcPr>
            <w:tcW w:w="1100" w:type="dxa"/>
            <w:vAlign w:val="bottom"/>
            <w:gridSpan w:val="3"/>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245"/>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00" w:right="180" w:hanging="1091"/>
        <w:spacing w:after="0" w:line="260" w:lineRule="auto"/>
        <w:tabs>
          <w:tab w:leader="none" w:pos="11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7"/>
          <w:szCs w:val="17"/>
          <w:color w:val="auto"/>
        </w:rPr>
        <w:t>Anthony S. Marucci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Sam Martin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91"/>
        </w:trPr>
        <w:tc>
          <w:tcPr>
            <w:tcW w:w="3380" w:type="dxa"/>
            <w:vAlign w:val="bottom"/>
          </w:tcPr>
          <w:p>
            <w:pPr>
              <w:spacing w:after="0"/>
              <w:rPr>
                <w:sz w:val="16"/>
                <w:szCs w:val="16"/>
                <w:color w:val="auto"/>
              </w:rPr>
            </w:pPr>
          </w:p>
        </w:tc>
        <w:tc>
          <w:tcPr>
            <w:tcW w:w="6540" w:type="dxa"/>
            <w:vAlign w:val="bottom"/>
            <w:gridSpan w:val="2"/>
          </w:tcPr>
          <w:p>
            <w:pPr>
              <w:ind w:left="1600"/>
              <w:spacing w:after="0" w:line="191" w:lineRule="exact"/>
              <w:rPr>
                <w:sz w:val="20"/>
                <w:szCs w:val="20"/>
                <w:color w:val="auto"/>
              </w:rPr>
            </w:pPr>
            <w:r>
              <w:rPr>
                <w:rFonts w:ascii="Times New Roman" w:cs="Times New Roman" w:eastAsia="Times New Roman" w:hAnsi="Times New Roman"/>
                <w:sz w:val="18"/>
                <w:szCs w:val="18"/>
                <w:color w:val="auto"/>
              </w:rPr>
              <w:t>Name:Anthony S. Marucci</w:t>
            </w:r>
          </w:p>
        </w:tc>
      </w:tr>
      <w:tr>
        <w:trPr>
          <w:trHeight w:val="234"/>
        </w:trPr>
        <w:tc>
          <w:tcPr>
            <w:tcW w:w="3380" w:type="dxa"/>
            <w:vAlign w:val="bottom"/>
          </w:tcPr>
          <w:p>
            <w:pPr>
              <w:spacing w:after="0"/>
              <w:rPr>
                <w:sz w:val="20"/>
                <w:szCs w:val="20"/>
                <w:color w:val="auto"/>
              </w:rPr>
            </w:pP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Martin,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SAM MARTIN</w:t>
            </w:r>
          </w:p>
        </w:tc>
      </w:tr>
      <w:tr>
        <w:trPr>
          <w:trHeight w:val="20"/>
        </w:trPr>
        <w:tc>
          <w:tcPr>
            <w:tcW w:w="3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1"/>
        </w:trPr>
        <w:tc>
          <w:tcPr>
            <w:tcW w:w="3380" w:type="dxa"/>
            <w:vAlign w:val="bottom"/>
          </w:tcPr>
          <w:p>
            <w:pPr>
              <w:spacing w:after="0"/>
              <w:rPr>
                <w:sz w:val="16"/>
                <w:szCs w:val="16"/>
                <w:color w:val="auto"/>
              </w:rPr>
            </w:pPr>
          </w:p>
        </w:tc>
        <w:tc>
          <w:tcPr>
            <w:tcW w:w="6540" w:type="dxa"/>
            <w:vAlign w:val="bottom"/>
            <w:gridSpan w:val="2"/>
          </w:tcPr>
          <w:p>
            <w:pPr>
              <w:ind w:left="1600"/>
              <w:spacing w:after="0" w:line="191" w:lineRule="exact"/>
              <w:rPr>
                <w:sz w:val="20"/>
                <w:szCs w:val="20"/>
                <w:color w:val="auto"/>
              </w:rPr>
            </w:pPr>
            <w:r>
              <w:rPr>
                <w:rFonts w:ascii="Times New Roman" w:cs="Times New Roman" w:eastAsia="Times New Roman" w:hAnsi="Times New Roman"/>
                <w:sz w:val="18"/>
                <w:szCs w:val="18"/>
                <w:color w:val="auto"/>
              </w:rPr>
              <w:t>Name:Sam Martin</w:t>
            </w:r>
          </w:p>
        </w:tc>
      </w:tr>
      <w:tr>
        <w:trPr>
          <w:trHeight w:val="234"/>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776"/>
        </w:trPr>
        <w:tc>
          <w:tcPr>
            <w:tcW w:w="3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0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91"/>
        </w:trPr>
        <w:tc>
          <w:tcPr>
            <w:tcW w:w="3380" w:type="dxa"/>
            <w:vAlign w:val="bottom"/>
          </w:tcPr>
          <w:p>
            <w:pPr>
              <w:spacing w:after="0"/>
              <w:rPr>
                <w:sz w:val="16"/>
                <w:szCs w:val="16"/>
                <w:color w:val="auto"/>
              </w:rPr>
            </w:pPr>
          </w:p>
        </w:tc>
        <w:tc>
          <w:tcPr>
            <w:tcW w:w="2080" w:type="dxa"/>
            <w:vAlign w:val="bottom"/>
          </w:tcPr>
          <w:p>
            <w:pPr>
              <w:ind w:left="160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r>
      <w:tr>
        <w:trPr>
          <w:trHeight w:val="234"/>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64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0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MARTIN</w:t>
            </w:r>
          </w:p>
        </w:tc>
      </w:tr>
      <w:tr>
        <w:trPr>
          <w:trHeight w:val="191"/>
        </w:trPr>
        <w:tc>
          <w:tcPr>
            <w:tcW w:w="3380" w:type="dxa"/>
            <w:vAlign w:val="bottom"/>
          </w:tcPr>
          <w:p>
            <w:pPr>
              <w:spacing w:after="0"/>
              <w:rPr>
                <w:sz w:val="16"/>
                <w:szCs w:val="16"/>
                <w:color w:val="auto"/>
              </w:rPr>
            </w:pPr>
          </w:p>
        </w:tc>
        <w:tc>
          <w:tcPr>
            <w:tcW w:w="2080" w:type="dxa"/>
            <w:vAlign w:val="bottom"/>
          </w:tcPr>
          <w:p>
            <w:pPr>
              <w:ind w:left="160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Martin</w:t>
            </w:r>
          </w:p>
        </w:tc>
      </w:tr>
      <w:tr>
        <w:trPr>
          <w:trHeight w:val="234"/>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2"/>
      <w:numFmt w:val="decimal"/>
      <w:start w:val="104"/>
    </w:lvl>
  </w:abstractNum>
  <w:abstractNum w:abstractNumId="17">
    <w:nsid w:val="7C83E458"/>
    <w:multiLevelType w:val="hybridMultilevel"/>
    <w:lvl w:ilvl="0">
      <w:lvlJc w:val="left"/>
      <w:lvlText w:val="**"/>
      <w:numFmt w:val="bullet"/>
      <w:start w:val="1"/>
    </w:lvl>
    <w:lvl w:ilvl="1">
      <w:lvlJc w:val="left"/>
      <w:lvlText w:val="%2"/>
      <w:numFmt w:val="decimal"/>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2024-11-06T15:25:12Z</dcterms:created>
  <dcterms:modified xsi:type="dcterms:W3CDTF">2024-11-06T15:25:12Z</dcterms:modified>
</cp:coreProperties>
</file>