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3" w:right="319" w:bottom="0" w:gutter="0" w:footer="0" w:header="0"/>
          <w:type w:val="continuous"/>
        </w:sectPr>
      </w:pPr>
    </w:p>
    <w:p>
      <w:pPr>
        <w:spacing w:after="0" w:line="124"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22, 2014, 89,357,843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March 31, 2014</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4"/>
          <w:szCs w:val="24"/>
          <w:color w:val="auto"/>
        </w:rPr>
      </w:pPr>
    </w:p>
    <w:p>
      <w:pPr>
        <w:ind w:left="1090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6779895</wp:posOffset>
            </wp:positionH>
            <wp:positionV relativeFrom="paragraph">
              <wp:posOffset>20955</wp:posOffset>
            </wp:positionV>
            <wp:extent cx="471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6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I—Financial Information</w:t>
              </w:r>
            </w:hyperlink>
          </w:p>
        </w:tc>
        <w:tc>
          <w:tcPr>
            <w:tcW w:w="1000" w:type="dxa"/>
            <w:vAlign w:val="bottom"/>
          </w:tcPr>
          <w:p>
            <w:pPr>
              <w:spacing w:after="0"/>
              <w:rPr>
                <w:sz w:val="17"/>
                <w:szCs w:val="17"/>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28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60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March 31, 2014 and December 31, 2013</w:t>
              </w:r>
            </w:hyperlink>
          </w:p>
        </w:tc>
        <w:tc>
          <w:tcPr>
            <w:tcW w:w="4200" w:type="dxa"/>
            <w:vAlign w:val="bottom"/>
            <w:gridSpan w:val="4"/>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180" w:type="dxa"/>
            <w:vAlign w:val="bottom"/>
          </w:tcPr>
          <w:p>
            <w:pPr>
              <w:spacing w:after="0"/>
              <w:rPr>
                <w:sz w:val="24"/>
                <w:szCs w:val="24"/>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Loss for the Three Months Ended March 31, 2014 and 2013</w:t>
              </w:r>
            </w:hyperlink>
          </w:p>
        </w:tc>
        <w:tc>
          <w:tcPr>
            <w:tcW w:w="7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180" w:type="dxa"/>
            <w:vAlign w:val="bottom"/>
          </w:tcPr>
          <w:p>
            <w:pPr>
              <w:spacing w:after="0"/>
              <w:rPr>
                <w:sz w:val="24"/>
                <w:szCs w:val="24"/>
                <w:color w:val="auto"/>
              </w:rPr>
            </w:pPr>
          </w:p>
        </w:tc>
        <w:tc>
          <w:tcPr>
            <w:tcW w:w="102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Cash Flows for the Three Months Ended March 31, 2014 and 2013</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18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2900" w:type="dxa"/>
            <w:vAlign w:val="bottom"/>
            <w:tcBorders>
              <w:top w:val="single" w:sz="8" w:color="0000EE"/>
            </w:tcBorders>
            <w:gridSpan w:val="4"/>
          </w:tcPr>
          <w:p>
            <w:pPr>
              <w:spacing w:after="0"/>
              <w:rPr>
                <w:sz w:val="24"/>
                <w:szCs w:val="24"/>
                <w:color w:val="auto"/>
              </w:rPr>
            </w:pPr>
          </w:p>
        </w:tc>
        <w:tc>
          <w:tcPr>
            <w:tcW w:w="258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18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Item 2.</w:t>
              </w:r>
            </w:hyperlink>
          </w:p>
        </w:tc>
        <w:tc>
          <w:tcPr>
            <w:tcW w:w="9740" w:type="dxa"/>
            <w:vAlign w:val="bottom"/>
            <w:gridSpan w:val="15"/>
          </w:tcPr>
          <w:p>
            <w:pPr>
              <w:ind w:left="20"/>
              <w:spacing w:after="0"/>
              <w:rPr>
                <w:rFonts w:ascii="Arial" w:cs="Arial" w:eastAsia="Arial" w:hAnsi="Arial"/>
                <w:sz w:val="18"/>
                <w:szCs w:val="18"/>
                <w:color w:val="0000EE"/>
              </w:rPr>
            </w:pPr>
            <w:hyperlink w:anchor="page7">
              <w:r>
                <w:rPr>
                  <w:rFonts w:ascii="Arial" w:cs="Arial" w:eastAsia="Arial" w:hAnsi="Arial"/>
                  <w:sz w:val="18"/>
                  <w:szCs w:val="18"/>
                  <w:color w:val="0000EE"/>
                </w:rPr>
                <w:t>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Item 3.</w:t>
              </w:r>
            </w:hyperlink>
          </w:p>
        </w:tc>
        <w:tc>
          <w:tcPr>
            <w:tcW w:w="6480" w:type="dxa"/>
            <w:vAlign w:val="bottom"/>
            <w:tcBorders>
              <w:top w:val="single" w:sz="8" w:color="0000EE"/>
            </w:tcBorders>
            <w:gridSpan w:val="12"/>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Quantitative and Qualitative Disclosures About Market Risk</w:t>
              </w:r>
            </w:hyperlink>
          </w:p>
        </w:tc>
        <w:tc>
          <w:tcPr>
            <w:tcW w:w="3260" w:type="dxa"/>
            <w:vAlign w:val="bottom"/>
            <w:gridSpan w:val="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7"/>
          </w:tcPr>
          <w:p>
            <w:pPr>
              <w:ind w:left="20"/>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3"/>
          </w:tcPr>
          <w:p>
            <w:pPr>
              <w:spacing w:after="0"/>
              <w:rPr>
                <w:sz w:val="24"/>
                <w:szCs w:val="24"/>
                <w:color w:val="auto"/>
              </w:rPr>
            </w:pPr>
          </w:p>
        </w:tc>
        <w:tc>
          <w:tcPr>
            <w:tcW w:w="5360" w:type="dxa"/>
            <w:vAlign w:val="bottom"/>
            <w:gridSpan w:val="5"/>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10460" w:type="dxa"/>
            <w:vAlign w:val="bottom"/>
            <w:gridSpan w:val="17"/>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 — Other Information</w:t>
              </w:r>
            </w:hyperlink>
          </w:p>
        </w:tc>
        <w:tc>
          <w:tcPr>
            <w:tcW w:w="1000" w:type="dxa"/>
            <w:vAlign w:val="bottom"/>
          </w:tcPr>
          <w:p>
            <w:pPr>
              <w:spacing w:after="0"/>
              <w:rPr>
                <w:sz w:val="24"/>
                <w:szCs w:val="24"/>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1A. Risk Factors</w:t>
              </w:r>
            </w:hyperlink>
          </w:p>
        </w:tc>
        <w:tc>
          <w:tcPr>
            <w:tcW w:w="460" w:type="dxa"/>
            <w:vAlign w:val="bottom"/>
            <w:tcBorders>
              <w:top w:val="single" w:sz="8" w:color="0000EE"/>
            </w:tcBorders>
          </w:tcPr>
          <w:p>
            <w:pPr>
              <w:spacing w:after="0"/>
              <w:rPr>
                <w:sz w:val="24"/>
                <w:szCs w:val="24"/>
                <w:color w:val="auto"/>
              </w:rPr>
            </w:pPr>
          </w:p>
        </w:tc>
        <w:tc>
          <w:tcPr>
            <w:tcW w:w="8220" w:type="dxa"/>
            <w:vAlign w:val="bottom"/>
            <w:gridSpan w:val="10"/>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18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Item 6.</w:t>
              </w:r>
            </w:hyperlink>
          </w:p>
        </w:tc>
        <w:tc>
          <w:tcPr>
            <w:tcW w:w="9740" w:type="dxa"/>
            <w:vAlign w:val="bottom"/>
            <w:gridSpan w:val="15"/>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Exhibits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180" w:type="dxa"/>
            <w:vAlign w:val="bottom"/>
          </w:tcPr>
          <w:p>
            <w:pPr>
              <w:spacing w:after="0"/>
              <w:rPr>
                <w:sz w:val="24"/>
                <w:szCs w:val="24"/>
                <w:color w:val="auto"/>
              </w:rPr>
            </w:pPr>
          </w:p>
        </w:tc>
        <w:tc>
          <w:tcPr>
            <w:tcW w:w="1160" w:type="dxa"/>
            <w:vAlign w:val="bottom"/>
            <w:tcBorders>
              <w:top w:val="single" w:sz="8" w:color="0000EE"/>
            </w:tcBorders>
            <w:gridSpan w:val="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Signatures</w:t>
              </w:r>
            </w:hyperlink>
          </w:p>
        </w:tc>
        <w:tc>
          <w:tcPr>
            <w:tcW w:w="9120" w:type="dxa"/>
            <w:vAlign w:val="bottom"/>
            <w:gridSpan w:val="1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8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0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Exhibit Index</w:t>
              </w:r>
            </w:hyperlink>
          </w:p>
        </w:tc>
        <w:tc>
          <w:tcPr>
            <w:tcW w:w="9280" w:type="dxa"/>
            <w:vAlign w:val="bottom"/>
            <w:gridSpan w:val="1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53"/>
        </w:trPr>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40" w:type="dxa"/>
            <w:vAlign w:val="bottom"/>
            <w:gridSpan w:val="11"/>
          </w:tcPr>
          <w:p>
            <w:pPr>
              <w:ind w:left="494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2"/>
        </w:trPr>
        <w:tc>
          <w:tcPr>
            <w:tcW w:w="1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217,324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133,581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and Other Receivables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318,699</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347,095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3,414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Current Portion of Long-Term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tcPr>
          <w:p>
            <w:pPr>
              <w:ind w:left="160"/>
              <w:spacing w:after="0" w:line="201" w:lineRule="exact"/>
              <w:rPr>
                <w:sz w:val="20"/>
                <w:szCs w:val="20"/>
                <w:color w:val="auto"/>
              </w:rPr>
            </w:pPr>
            <w:r>
              <w:rPr>
                <w:rFonts w:ascii="Arial" w:cs="Arial" w:eastAsia="Arial" w:hAnsi="Arial"/>
                <w:sz w:val="18"/>
                <w:szCs w:val="18"/>
                <w:color w:val="auto"/>
                <w:w w:val="95"/>
              </w:rPr>
              <w:t>Convertible Preferred Stock, $.01 Par Value; 3,000,000 Shares Authorized; No Shares Issued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Outstanding at March 31, 2014 and December 31, 2013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$.001 Par Value; 297,000,000 Shares Authorized; 89,357,843 and 89,246,832 Shares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at March 31, 2014 and December 31, 2013, respectively</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664,669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662,717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(375,582)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(345,679)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60"/>
          </w:cols>
          <w:pgMar w:left="240" w:top="108"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5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291,846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319,795</w:t>
            </w:r>
          </w:p>
        </w:tc>
        <w:tc>
          <w:tcPr>
            <w:tcW w:w="80" w:type="dxa"/>
            <w:vAlign w:val="bottom"/>
            <w:shd w:val="clear" w:color="auto" w:fill="CCEEFF"/>
          </w:tcPr>
          <w:p>
            <w:pPr>
              <w:spacing w:after="0"/>
              <w:rPr>
                <w:sz w:val="18"/>
                <w:szCs w:val="18"/>
                <w:color w:val="auto"/>
              </w:rPr>
            </w:pPr>
          </w:p>
        </w:tc>
      </w:tr>
      <w:tr>
        <w:trPr>
          <w:trHeight w:val="210"/>
        </w:trPr>
        <w:tc>
          <w:tcPr>
            <w:tcW w:w="78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6"/>
              </w:rPr>
              <w:t>318,699</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347,095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March 31, 2014</w:t>
            </w: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March 31, 2013</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1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Product Royalties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27,070</w:t>
            </w: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14,090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Royalty</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4,582</w:t>
            </w: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13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31,905</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Operating Loss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(31,489)</w:t>
            </w:r>
          </w:p>
        </w:tc>
        <w:tc>
          <w:tcPr>
            <w:tcW w:w="16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1,586</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(17,332)</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 (Note 3)</w:t>
            </w:r>
          </w:p>
        </w:tc>
        <w:tc>
          <w:tcPr>
            <w:tcW w:w="1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Calculating Basic and Diluted Net Loss per Share (Note 3)</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89,270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(29,903)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(17,332)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Gain on Marketable Securities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36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(29,901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(17,388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7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8"/>
              </w:rPr>
              <w:t>March 31, 2014</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2"/>
                <w:szCs w:val="12"/>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(29,903)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(17,332)</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Amortization and Premium of Marketable Securities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(2,129)</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(969)</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Accounts and Other Receivables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and Other Current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(1,234)</w:t>
            </w: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 and Accrued Expenses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r>
    </w:tbl>
    <w:p>
      <w:pPr>
        <w:spacing w:after="0" w:line="20" w:lineRule="exact"/>
        <w:rPr>
          <w:sz w:val="20"/>
          <w:szCs w:val="20"/>
          <w:color w:val="auto"/>
        </w:rPr>
      </w:pPr>
    </w:p>
    <w:p>
      <w:pPr>
        <w:sectPr>
          <w:pgSz w:w="11900" w:h="16838" w:orient="portrait"/>
          <w:cols w:equalWidth="0" w:num="1">
            <w:col w:w="11420"/>
          </w:cols>
          <w:pgMar w:left="240" w:top="140"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50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1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595</w:t>
            </w:r>
          </w:p>
        </w:tc>
        <w:tc>
          <w:tcPr>
            <w:tcW w:w="4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(31,875)</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31,283</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(112,416)</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(81,328)</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Net Proceeds from Stock Issuances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114,187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Stock from Employee Benefit Plans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702</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Payments of Term Loan</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Other Liabilities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7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114,509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(112,500)</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169,402</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7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56,902</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transactions have been eliminated in consolidation.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2013, which are included in the Company’s Annual Report on Form 10-K filed with the Securities and Exchange Commission (“SEC”) on March 3, 2014. In the opinion of management, the interim financial statements reflect all normal recurring adjustments necessary to fairly state the Company’s financial position and results of operations for the interim periods presented. The year-end consolidated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March 31, 2014, the Company had cash, cash equivalents and marketable securities of $274.2 million. The Company incurred a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$29.9 million for the three months ended March 31, 2014. Net cash used in operations for the three months ended March 31, 2014 was $31.9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believes that the cash, cash equivalents and marketable securities at March 31, 2014 will be sufficient to meet estimated working capital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requirements and fund planned operations for at least the next twelve months.</w:t>
      </w:r>
    </w:p>
    <w:p>
      <w:pPr>
        <w:spacing w:after="0" w:line="21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continues to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220" w:firstLine="630"/>
        <w:spacing w:after="0" w:line="28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three months ended March 31, 2014 are consistent with those discussed in Note 2 to the consolidated financial statements in our Annual Report on Form 10-K for the year ended December 31, 2013, except for the adoption of new accounting standards during the first three months of 2014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ectPr>
          <w:pgSz w:w="11900" w:h="16838"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10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As of March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5,667,953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3,000</w:t>
            </w: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5,670,953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5,088,309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2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changes in Accumulated Other Comprehensive Income by component for the three months ended March 31, 2014 and 2013 are summarized below. No amounts were reclassified out of accumulated other comprehensive income during the three months ended March 31, 2014 and 2013.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jc w:val="center"/>
              <w:ind w:left="202"/>
              <w:spacing w:after="0"/>
              <w:rPr>
                <w:sz w:val="20"/>
                <w:szCs w:val="20"/>
                <w:color w:val="auto"/>
              </w:rPr>
            </w:pPr>
            <w:r>
              <w:rPr>
                <w:rFonts w:ascii="Arial" w:cs="Arial" w:eastAsia="Arial" w:hAnsi="Arial"/>
                <w:sz w:val="14"/>
                <w:szCs w:val="14"/>
                <w:b w:val="1"/>
                <w:bCs w:val="1"/>
                <w:color w:val="auto"/>
                <w:w w:val="94"/>
              </w:rPr>
              <w:t>Unrealized Gain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6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w w:val="88"/>
              </w:rPr>
              <w:t>(Loss) on</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6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w w:val="98"/>
              </w:rPr>
              <w:t>Marketable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jc w:val="center"/>
              <w:ind w:left="202"/>
              <w:spacing w:after="0"/>
              <w:rPr>
                <w:sz w:val="20"/>
                <w:szCs w:val="20"/>
                <w:color w:val="auto"/>
              </w:rPr>
            </w:pPr>
            <w:r>
              <w:rPr>
                <w:rFonts w:ascii="Arial" w:cs="Arial" w:eastAsia="Arial" w:hAnsi="Arial"/>
                <w:sz w:val="14"/>
                <w:szCs w:val="14"/>
                <w:b w:val="1"/>
                <w:bCs w:val="1"/>
                <w:color w:val="auto"/>
                <w:w w:val="90"/>
              </w:rPr>
              <w:t>Securities, net of tax</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Currency Items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400" w:type="dxa"/>
            <w:vAlign w:val="bottom"/>
            <w:gridSpan w:val="2"/>
            <w:shd w:val="clear" w:color="auto" w:fill="CCEEFF"/>
          </w:tcPr>
          <w:p>
            <w:pPr>
              <w:jc w:val="right"/>
              <w:ind w:right="138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8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current-period other comprehensive income</w:t>
            </w:r>
          </w:p>
        </w:tc>
        <w:tc>
          <w:tcPr>
            <w:tcW w:w="84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8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382"/>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400" w:type="dxa"/>
            <w:vAlign w:val="bottom"/>
            <w:gridSpan w:val="2"/>
            <w:shd w:val="clear" w:color="auto" w:fill="CCEEFF"/>
          </w:tcPr>
          <w:p>
            <w:pPr>
              <w:jc w:val="right"/>
              <w:ind w:right="138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156</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8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spacing w:after="0"/>
              <w:rPr>
                <w:sz w:val="20"/>
                <w:szCs w:val="20"/>
                <w:color w:val="auto"/>
              </w:rPr>
            </w:pPr>
            <w:r>
              <w:rPr>
                <w:rFonts w:ascii="Arial" w:cs="Arial" w:eastAsia="Arial" w:hAnsi="Arial"/>
                <w:sz w:val="18"/>
                <w:szCs w:val="18"/>
                <w:color w:val="auto"/>
              </w:rPr>
              <w:t>Net current-period other comprehensive income</w:t>
            </w:r>
          </w:p>
        </w:tc>
        <w:tc>
          <w:tcPr>
            <w:tcW w:w="8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1"/>
              </w:rPr>
              <w:t>(54)</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2013</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ind w:right="138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March 31, 2014</w:t>
            </w:r>
          </w:p>
        </w:tc>
        <w:tc>
          <w:tcPr>
            <w:tcW w:w="9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53,361</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53,361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217,324</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217,324</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270,685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December 31, 2013</w:t>
            </w:r>
          </w:p>
        </w:tc>
        <w:tc>
          <w:tcPr>
            <w:tcW w:w="9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148,549</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148,549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133,581</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133,581</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There have been no transfers of assets or liabilities between the fair value measurement classifications. The Company’s financial instruments consist mainly of cash and cash equivalents, marketable securities, short-term accounts receivable and accounts payable.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ectPr>
          <w:pgSz w:w="11900" w:h="16838" w:orient="portrait"/>
          <w:cols w:equalWidth="0" w:num="1">
            <w:col w:w="11420"/>
          </w:cols>
          <w:pgMar w:left="240" w:top="337"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Amortized</w:t>
            </w:r>
          </w:p>
        </w:tc>
        <w:tc>
          <w:tcPr>
            <w:tcW w:w="1040" w:type="dxa"/>
            <w:vAlign w:val="bottom"/>
          </w:tcPr>
          <w:p>
            <w:pPr>
              <w:jc w:val="center"/>
              <w:ind w:left="274"/>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6"/>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Cost</w:t>
            </w:r>
          </w:p>
        </w:tc>
        <w:tc>
          <w:tcPr>
            <w:tcW w:w="1040" w:type="dxa"/>
            <w:vAlign w:val="bottom"/>
          </w:tcPr>
          <w:p>
            <w:pPr>
              <w:jc w:val="center"/>
              <w:ind w:left="2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left="216"/>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left="274"/>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216"/>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80" w:type="dxa"/>
            <w:vAlign w:val="bottom"/>
            <w:gridSpan w:val="4"/>
          </w:tcPr>
          <w:p>
            <w:pPr>
              <w:jc w:val="right"/>
              <w:ind w:right="69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2014</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40,967</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200" w:type="dxa"/>
            <w:vAlign w:val="bottom"/>
            <w:gridSpan w:val="2"/>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43,248</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84,215</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96,375</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200" w:type="dxa"/>
            <w:vAlign w:val="bottom"/>
            <w:gridSpan w:val="2"/>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36,651</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6"/>
              </w:rPr>
              <w:t>133,026</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(60)</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217,241</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55,531</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200" w:type="dxa"/>
            <w:vAlign w:val="bottom"/>
            <w:gridSpan w:val="2"/>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18,234</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ind w:left="660"/>
              <w:spacing w:after="0"/>
              <w:rPr>
                <w:sz w:val="20"/>
                <w:szCs w:val="20"/>
                <w:color w:val="auto"/>
              </w:rPr>
            </w:pPr>
            <w:r>
              <w:rPr>
                <w:rFonts w:ascii="Arial" w:cs="Arial" w:eastAsia="Arial" w:hAnsi="Arial"/>
                <w:sz w:val="18"/>
                <w:szCs w:val="18"/>
                <w:color w:val="auto"/>
                <w:w w:val="83"/>
              </w:rPr>
              <w:t>73,765</w:t>
            </w:r>
          </w:p>
        </w:tc>
        <w:tc>
          <w:tcPr>
            <w:tcW w:w="300" w:type="dxa"/>
            <w:vAlign w:val="bottom"/>
            <w:vMerge w:val="continue"/>
          </w:tcPr>
          <w:p>
            <w:pPr>
              <w:spacing w:after="0"/>
              <w:rPr>
                <w:sz w:val="18"/>
                <w:szCs w:val="18"/>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73,840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38,973</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00" w:type="dxa"/>
            <w:vAlign w:val="bottom"/>
            <w:gridSpan w:val="2"/>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20,761</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59,734</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133,499</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March 31, 2014. Marketable securities include $1.3 million and $0.9 million in accrued interest at March 31, 2014 and December 31, 2013,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1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Estimated</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2"/>
              </w:rPr>
              <w:t>March 31, 2014</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6"/>
              </w:rPr>
              <w:t>December 31, 2013</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0"/>
                <w:szCs w:val="10"/>
                <w:color w:val="auto"/>
              </w:rPr>
            </w:pPr>
          </w:p>
        </w:tc>
        <w:tc>
          <w:tcPr>
            <w:tcW w:w="128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0"/>
                <w:szCs w:val="10"/>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6"/>
              </w:rPr>
              <w:t>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360" w:type="dxa"/>
            <w:vAlign w:val="bottom"/>
            <w:gridSpan w:val="2"/>
          </w:tcPr>
          <w:p>
            <w:pPr>
              <w:ind w:left="440"/>
              <w:spacing w:after="0"/>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IPR&amp;D</w:t>
            </w:r>
          </w:p>
        </w:tc>
        <w:tc>
          <w:tcPr>
            <w:tcW w:w="1360" w:type="dxa"/>
            <w:vAlign w:val="bottom"/>
            <w:gridSpan w:val="2"/>
          </w:tcPr>
          <w:p>
            <w:pPr>
              <w:spacing w:after="0"/>
              <w:rPr>
                <w:sz w:val="20"/>
                <w:szCs w:val="20"/>
                <w:color w:val="auto"/>
              </w:rPr>
            </w:pPr>
            <w:r>
              <w:rPr>
                <w:rFonts w:ascii="Arial" w:cs="Arial" w:eastAsia="Arial" w:hAnsi="Arial"/>
                <w:sz w:val="18"/>
                <w:szCs w:val="18"/>
                <w:color w:val="auto"/>
              </w:rPr>
              <w:t>Indefinite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18"/>
                <w:szCs w:val="18"/>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 years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Core Technology</w:t>
            </w:r>
          </w:p>
        </w:tc>
        <w:tc>
          <w:tcPr>
            <w:tcW w:w="1360" w:type="dxa"/>
            <w:vAlign w:val="bottom"/>
            <w:gridSpan w:val="2"/>
          </w:tcPr>
          <w:p>
            <w:pPr>
              <w:spacing w:after="0"/>
              <w:rPr>
                <w:sz w:val="20"/>
                <w:szCs w:val="20"/>
                <w:color w:val="auto"/>
              </w:rPr>
            </w:pPr>
            <w:r>
              <w:rPr>
                <w:rFonts w:ascii="Arial" w:cs="Arial" w:eastAsia="Arial" w:hAnsi="Arial"/>
                <w:sz w:val="18"/>
                <w:szCs w:val="18"/>
                <w:color w:val="auto"/>
              </w:rPr>
              <w:t>11 years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(993)</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360" w:type="dxa"/>
            <w:vAlign w:val="bottom"/>
            <w:gridSpan w:val="2"/>
            <w:vMerge w:val="restart"/>
          </w:tcPr>
          <w:p>
            <w:pPr>
              <w:spacing w:after="0"/>
              <w:rPr>
                <w:sz w:val="20"/>
                <w:szCs w:val="20"/>
                <w:color w:val="auto"/>
              </w:rPr>
            </w:pPr>
            <w:r>
              <w:rPr>
                <w:rFonts w:ascii="Arial" w:cs="Arial" w:eastAsia="Arial" w:hAnsi="Arial"/>
                <w:sz w:val="18"/>
                <w:szCs w:val="18"/>
                <w:color w:val="auto"/>
              </w:rPr>
              <w:t>Indefinite</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2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IPR&amp;D intangible asset was recorded in connection with the acquisition of CuraGen and relates to the development of glembatumumab vedotin. At the date of acquisition and at March 31, 2014, glembatumumab vedotin had not yet reached technological feasibility nor did it have any alternative future use. Glembatumumab vedotin is in a randomized study for the treatment of triple negative breast cancer designed to obtain accelerated approval.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2013</w:t>
            </w:r>
          </w:p>
        </w:tc>
      </w:tr>
      <w:tr>
        <w:trPr>
          <w:trHeight w:val="142"/>
        </w:trPr>
        <w:tc>
          <w:tcPr>
            <w:tcW w:w="55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5"/>
          </w:tcPr>
          <w:p>
            <w:pPr>
              <w:jc w:val="right"/>
              <w:ind w:right="121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Deferred Tax Liability related to IPR&amp;D</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4,661</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Deferred Revenue</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r>
      <w:tr>
        <w:trPr>
          <w:trHeight w:val="210"/>
        </w:trPr>
        <w:tc>
          <w:tcPr>
            <w:tcW w:w="5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Less Current Portion</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(928)</w:t>
            </w:r>
          </w:p>
        </w:tc>
      </w:tr>
      <w:tr>
        <w:trPr>
          <w:trHeight w:val="210"/>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January 2014, 2013, 2012 and 2011, the Company received approval from the New Jersey Economic Development Authority and agreed to sell New Jersey tax benefits worth $1.1 million, $0.8 million, $0.8 million and $0.6 million to an independent third party for $1.0 million, $0.8 million, $0.7 million and $0.5 million, respectively. Under the agreement, the Company must maintain a base of operations in New Jersey for five years or the tax benefits must be paid back on a pro-rata basis based on the number of years completed. During the three months ended March 31, 2014 and 2013, the Company recorded $0.4 million and $0.2 million to other income related to the sale of these tax benefits, respectively.</w:t>
      </w:r>
    </w:p>
    <w:p>
      <w:pPr>
        <w:sectPr>
          <w:pgSz w:w="11900" w:h="16838" w:orient="portrait"/>
          <w:cols w:equalWidth="0" w:num="1">
            <w:col w:w="11420"/>
          </w:cols>
          <w:pgMar w:left="240" w:top="104" w:right="239" w:bottom="114" w:gutter="0" w:footer="0" w:header="0"/>
        </w:sectPr>
      </w:pPr>
    </w:p>
    <w:bookmarkStart w:id="6" w:name="page7"/>
    <w:bookmarkEnd w:id="6"/>
    <w:p>
      <w:pPr>
        <w:spacing w:after="0" w:line="46"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September 2013, the Company entered into an agreement with Rockefeller University pursuant to which the Company will perform research and development services for Rockefeller. The agreement includes an approved project plan for the development services of $4.8 million and a term of three years. The agreement included an upfront payment of $1.3 million which is being recognized as revenue over the term of the agreement. The Company will bill Rockefeller quarterly for actual time and direct costs incurred and record those amounts to revenue in the quarter the services are performed. The Company recorded $0.4 million in revenue related to the Rockefeller agreement during the three months ended March 31,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the three months ended March 31, 2013, the Company issued 2,433,608 shares of its common stock under its controlled equity offering sales agreement with Cantor Fitzgerald &amp; Co., as amended, resulting in net proceeds to the Company of $17.1 million, after deducting commission and offering expenses.</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During the three months ended March 31, 2013, the Company issued 13,800,000 shares of its common stock in an underwritten public offering resulting in net proceeds to the Company of $97.0 million, after deducting underwriting fees and offering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three months ended March 31, 2014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ind w:left="306"/>
              <w:spacing w:after="0" w:line="149" w:lineRule="exact"/>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Per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2013</w:t>
            </w:r>
          </w:p>
        </w:tc>
        <w:tc>
          <w:tcPr>
            <w:tcW w:w="18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5,770,544</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Granted</w:t>
            </w:r>
          </w:p>
        </w:tc>
        <w:tc>
          <w:tcPr>
            <w:tcW w:w="3480" w:type="dxa"/>
            <w:vAlign w:val="bottom"/>
            <w:gridSpan w:val="3"/>
          </w:tcPr>
          <w:p>
            <w:pPr>
              <w:jc w:val="right"/>
              <w:ind w:right="300"/>
              <w:spacing w:after="0"/>
              <w:rPr>
                <w:sz w:val="20"/>
                <w:szCs w:val="20"/>
                <w:color w:val="auto"/>
              </w:rPr>
            </w:pPr>
            <w:r>
              <w:rPr>
                <w:rFonts w:ascii="Arial" w:cs="Arial" w:eastAsia="Arial" w:hAnsi="Arial"/>
                <w:sz w:val="18"/>
                <w:szCs w:val="18"/>
                <w:color w:val="auto"/>
              </w:rPr>
              <w:t>12,750</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26.37</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(107,814)</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Canceled</w:t>
            </w:r>
          </w:p>
        </w:tc>
        <w:tc>
          <w:tcPr>
            <w:tcW w:w="3480" w:type="dxa"/>
            <w:vAlign w:val="bottom"/>
            <w:gridSpan w:val="3"/>
          </w:tcPr>
          <w:p>
            <w:pPr>
              <w:jc w:val="right"/>
              <w:ind w:right="240"/>
              <w:spacing w:after="0"/>
              <w:rPr>
                <w:sz w:val="20"/>
                <w:szCs w:val="20"/>
                <w:color w:val="auto"/>
              </w:rPr>
            </w:pPr>
            <w:r>
              <w:rPr>
                <w:rFonts w:ascii="Arial" w:cs="Arial" w:eastAsia="Arial" w:hAnsi="Arial"/>
                <w:sz w:val="18"/>
                <w:szCs w:val="18"/>
                <w:color w:val="auto"/>
              </w:rPr>
              <w:t>(7,527)</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10.46</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2014</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5,667,953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March 31, 2014</w:t>
            </w:r>
          </w:p>
        </w:tc>
        <w:tc>
          <w:tcPr>
            <w:tcW w:w="180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vMerge w:val="restart"/>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8.21</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5,627,995</w:t>
            </w: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2014</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3,371,583</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2,097,719</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840" w:type="dxa"/>
            <w:vAlign w:val="bottom"/>
          </w:tcPr>
          <w:p>
            <w:pPr>
              <w:spacing w:after="0"/>
              <w:rPr>
                <w:sz w:val="24"/>
                <w:szCs w:val="24"/>
                <w:color w:val="auto"/>
              </w:rPr>
            </w:pPr>
          </w:p>
        </w:tc>
        <w:tc>
          <w:tcPr>
            <w:tcW w:w="1800" w:type="dxa"/>
            <w:vAlign w:val="bottom"/>
          </w:tcPr>
          <w:p>
            <w:pPr>
              <w:jc w:val="right"/>
              <w:ind w:right="790"/>
              <w:spacing w:after="0"/>
              <w:rPr>
                <w:sz w:val="20"/>
                <w:szCs w:val="20"/>
                <w:color w:val="auto"/>
              </w:rPr>
            </w:pPr>
            <w:r>
              <w:rPr>
                <w:rFonts w:ascii="Arial" w:cs="Arial" w:eastAsia="Arial" w:hAnsi="Arial"/>
                <w:sz w:val="18"/>
                <w:szCs w:val="18"/>
                <w:color w:val="auto"/>
              </w:rPr>
              <w:t>9</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4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three months ended March 31, 2014 was $16.91. Stock-based compensation expense for the three months ended March 31, 2014 and 2013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9"/>
              </w:rPr>
              <w:t>Three months ended March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gridSpan w:val="3"/>
          </w:tcPr>
          <w:p>
            <w:pPr>
              <w:jc w:val="right"/>
              <w:ind w:right="576"/>
              <w:spacing w:after="0" w:line="142" w:lineRule="exact"/>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580" w:type="dxa"/>
            <w:vAlign w:val="bottom"/>
            <w:gridSpan w:val="2"/>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659</w:t>
            </w:r>
          </w:p>
        </w:tc>
        <w:tc>
          <w:tcPr>
            <w:tcW w:w="9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r>
      <w:tr>
        <w:trPr>
          <w:trHeight w:val="210"/>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6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fair values of employee stock options granted during the three months ended March 31, 2014 and 2013 were valued using the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31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24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Expected option term</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Massachusetts, New Jersey and Connecticut are the three states in which the Company primarily operates or has operated and has income tax nexus.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under examination by any jurisdictions for any tax year.</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March 31, 2014 and December 31, 2013 against the Company’s net deferred tax assets.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w:t>
      </w:r>
    </w:p>
    <w:p>
      <w:pPr>
        <w:sectPr>
          <w:pgSz w:w="11900" w:h="16885" w:orient="portrait"/>
          <w:cols w:equalWidth="0" w:num="1">
            <w:col w:w="11460"/>
          </w:cols>
          <w:pgMar w:left="240" w:top="125" w:right="199" w:bottom="0" w:gutter="0" w:footer="0" w:header="0"/>
        </w:sectPr>
      </w:pPr>
    </w:p>
    <w:bookmarkStart w:id="7" w:name="page8"/>
    <w:bookmarkEnd w:id="7"/>
    <w:p>
      <w:pPr>
        <w:spacing w:after="0" w:line="3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6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animal, preclinical and clinical studies, and, if we obtain regulatory approval, commercialization of rindopepimut (also referred to as CDX-110), glembatumumab vedotin (also referred to as CDX-011), and other drug candidates and the growth of the markets for those drug candidates;</w:t>
      </w:r>
    </w:p>
    <w:p>
      <w:pPr>
        <w:spacing w:after="0" w:line="181" w:lineRule="exact"/>
        <w:rPr>
          <w:rFonts w:ascii="Arial" w:cs="Arial" w:eastAsia="Arial" w:hAnsi="Arial"/>
          <w:sz w:val="18"/>
          <w:szCs w:val="18"/>
          <w:color w:val="auto"/>
        </w:rPr>
      </w:pPr>
    </w:p>
    <w:p>
      <w:pPr>
        <w:ind w:left="980" w:right="20" w:hanging="324"/>
        <w:spacing w:after="0" w:line="259"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6"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 including ACT IV and ReACT for rindopepimut and METRIC for glembatumumab vedotin;</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rindopepimut, glembatumumab vedotin, and other preclinical and clinical testing;</w:t>
      </w:r>
    </w:p>
    <w:p>
      <w:pPr>
        <w:spacing w:after="0" w:line="170" w:lineRule="exact"/>
        <w:rPr>
          <w:rFonts w:ascii="Arial" w:cs="Arial" w:eastAsia="Arial" w:hAnsi="Arial"/>
          <w:sz w:val="18"/>
          <w:szCs w:val="18"/>
          <w:color w:val="auto"/>
        </w:rPr>
      </w:pPr>
    </w:p>
    <w:p>
      <w:pPr>
        <w:ind w:left="980" w:right="5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if we obtain regulatory approval, to commercialize rindopepimut in North America ourselves;</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programs, which may include rindopepimut outside of North America, glembatumumab vedotin and varlilumab (also referred to as CDX-1127);</w:t>
      </w:r>
    </w:p>
    <w:p>
      <w:pPr>
        <w:spacing w:after="0" w:line="170" w:lineRule="exact"/>
        <w:rPr>
          <w:rFonts w:ascii="Arial" w:cs="Arial" w:eastAsia="Arial" w:hAnsi="Arial"/>
          <w:sz w:val="18"/>
          <w:szCs w:val="18"/>
          <w:color w:val="auto"/>
        </w:rPr>
      </w:pPr>
    </w:p>
    <w:p>
      <w:pPr>
        <w:ind w:left="980" w:right="40" w:hanging="324"/>
        <w:spacing w:after="0" w:line="342" w:lineRule="auto"/>
        <w:tabs>
          <w:tab w:leader="none" w:pos="944"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product candidates and expand our focus to broader markets for our existing targeted immunotherapeutics;</w:t>
      </w:r>
    </w:p>
    <w:p>
      <w:pPr>
        <w:spacing w:after="0" w:line="123" w:lineRule="exact"/>
        <w:rPr>
          <w:rFonts w:ascii="Arial" w:cs="Arial" w:eastAsia="Arial" w:hAnsi="Arial"/>
          <w:sz w:val="16"/>
          <w:szCs w:val="16"/>
          <w:color w:val="auto"/>
        </w:rPr>
      </w:pPr>
    </w:p>
    <w:p>
      <w:pPr>
        <w:ind w:left="980" w:right="8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our proprietary antibody-targeted technology, or APC Targeting Technology™, to develop new, safe and effective therapeutics for oncology and infectious disease indications;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suppliers and partners, who may be the sole source of supply;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5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our ability to avoid intellectual property litigation, which can be costly and divert management time and attention; and</w:t>
      </w:r>
    </w:p>
    <w:p>
      <w:pPr>
        <w:spacing w:after="0" w:line="170" w:lineRule="exact"/>
        <w:rPr>
          <w:rFonts w:ascii="Arial" w:cs="Arial" w:eastAsia="Arial" w:hAnsi="Arial"/>
          <w:sz w:val="18"/>
          <w:szCs w:val="18"/>
          <w:color w:val="auto"/>
        </w:rPr>
      </w:pPr>
    </w:p>
    <w:p>
      <w:pPr>
        <w:ind w:left="980" w:right="10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2013 and other reports that we file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are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w:t>
      </w:r>
    </w:p>
    <w:p>
      <w:pPr>
        <w:spacing w:after="0" w:line="18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lead drug candidates include rindopepimut (also referred to as CDX-110) and glembatumumab vedotin (also referred to as CDX-011). Rindopepimut is a targeted immunotherapeutic in a pivotal Phase 3 study for the treatment of front-line glioblastoma and a Phase 2 study for the treatment of recurrent glioblastoma. Glembatumumab vedotin is a targeted antibody-drug conjugate in a randomized study for the treatment of triple negative breast cancer designed to obtain accelerated approval. We also have a number of earlier stage drug candidates in clinical development, including varlilumab (also</w:t>
      </w:r>
    </w:p>
    <w:p>
      <w:pPr>
        <w:sectPr>
          <w:pgSz w:w="11900" w:h="16877" w:orient="portrait"/>
          <w:cols w:equalWidth="0" w:num="1">
            <w:col w:w="11420"/>
          </w:cols>
          <w:pgMar w:left="240" w:top="125" w:right="239" w:bottom="0" w:gutter="0" w:footer="0" w:header="0"/>
        </w:sectPr>
      </w:pPr>
    </w:p>
    <w:bookmarkStart w:id="8" w:name="page9"/>
    <w:bookmarkEnd w:id="8"/>
    <w:p>
      <w:pPr>
        <w:spacing w:after="0" w:line="1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referred to as CDX-1127), a fully human therapeutic monoclonal antibody for cancer indications, CDX-301, an immune cell mobilizing agent and dendritic cell growth factor and CDX-1401, a targeted immunotherapeutic aimed at antigen presenting cells, or APC, for cancer indications. Our drug candidates address market opportunities for which we believe current therapies are inadequate or non-existent.</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the programs that we currently believe are significant to our business: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20"/>
                <w:szCs w:val="20"/>
                <w:color w:val="auto"/>
              </w:rPr>
            </w:pPr>
            <w:r>
              <w:rPr>
                <w:rFonts w:ascii="Arial" w:cs="Arial" w:eastAsia="Arial" w:hAnsi="Arial"/>
                <w:sz w:val="14"/>
                <w:szCs w:val="14"/>
                <w:b w:val="1"/>
                <w:bCs w:val="1"/>
                <w:color w:val="auto"/>
              </w:rPr>
              <w:t>Product (generic)</w:t>
            </w:r>
          </w:p>
        </w:tc>
        <w:tc>
          <w:tcPr>
            <w:tcW w:w="300" w:type="dxa"/>
            <w:vAlign w:val="bottom"/>
          </w:tcPr>
          <w:p>
            <w:pPr>
              <w:spacing w:after="0"/>
              <w:rPr>
                <w:sz w:val="14"/>
                <w:szCs w:val="14"/>
                <w:color w:val="auto"/>
              </w:rPr>
            </w:pPr>
          </w:p>
        </w:tc>
        <w:tc>
          <w:tcPr>
            <w:tcW w:w="4840" w:type="dxa"/>
            <w:vAlign w:val="bottom"/>
            <w:gridSpan w:val="2"/>
          </w:tcPr>
          <w:p>
            <w:pPr>
              <w:ind w:left="1780"/>
              <w:spacing w:after="0"/>
              <w:rPr>
                <w:sz w:val="20"/>
                <w:szCs w:val="20"/>
                <w:color w:val="auto"/>
              </w:rPr>
            </w:pPr>
            <w:r>
              <w:rPr>
                <w:rFonts w:ascii="Arial" w:cs="Arial" w:eastAsia="Arial" w:hAnsi="Arial"/>
                <w:sz w:val="14"/>
                <w:szCs w:val="14"/>
                <w:b w:val="1"/>
                <w:bCs w:val="1"/>
                <w:color w:val="auto"/>
              </w:rPr>
              <w:t>Indication/Field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Partner</w:t>
            </w:r>
          </w:p>
        </w:tc>
        <w:tc>
          <w:tcPr>
            <w:tcW w:w="280" w:type="dxa"/>
            <w:vAlign w:val="bottom"/>
          </w:tcPr>
          <w:p>
            <w:pPr>
              <w:spacing w:after="0"/>
              <w:rPr>
                <w:sz w:val="14"/>
                <w:szCs w:val="1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Status</w:t>
            </w: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30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Rindopepimut</w:t>
            </w:r>
          </w:p>
        </w:tc>
        <w:tc>
          <w:tcPr>
            <w:tcW w:w="5140" w:type="dxa"/>
            <w:vAlign w:val="bottom"/>
            <w:gridSpan w:val="3"/>
          </w:tcPr>
          <w:p>
            <w:pPr>
              <w:ind w:left="300"/>
              <w:spacing w:after="0"/>
              <w:rPr>
                <w:sz w:val="20"/>
                <w:szCs w:val="20"/>
                <w:color w:val="auto"/>
              </w:rPr>
            </w:pPr>
            <w:r>
              <w:rPr>
                <w:rFonts w:ascii="Arial" w:cs="Arial" w:eastAsia="Arial" w:hAnsi="Arial"/>
                <w:sz w:val="18"/>
                <w:szCs w:val="18"/>
                <w:color w:val="auto"/>
              </w:rPr>
              <w:t>Front-line glioblastoma</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Phase 3</w:t>
            </w: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Glembatumumab vedotin</w:t>
            </w:r>
          </w:p>
        </w:tc>
        <w:tc>
          <w:tcPr>
            <w:tcW w:w="5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Metastatic breast cancer and melanoma</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Phase 2b</w:t>
            </w: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Rindopepimut</w:t>
            </w:r>
          </w:p>
        </w:tc>
        <w:tc>
          <w:tcPr>
            <w:tcW w:w="5140" w:type="dxa"/>
            <w:vAlign w:val="bottom"/>
            <w:gridSpan w:val="3"/>
          </w:tcPr>
          <w:p>
            <w:pPr>
              <w:ind w:left="300"/>
              <w:spacing w:after="0"/>
              <w:rPr>
                <w:sz w:val="20"/>
                <w:szCs w:val="20"/>
                <w:color w:val="auto"/>
              </w:rPr>
            </w:pPr>
            <w:r>
              <w:rPr>
                <w:rFonts w:ascii="Arial" w:cs="Arial" w:eastAsia="Arial" w:hAnsi="Arial"/>
                <w:sz w:val="18"/>
                <w:szCs w:val="18"/>
                <w:color w:val="auto"/>
              </w:rPr>
              <w:t>Recurrent glioblastoma</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Phase 2</w:t>
            </w: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Varlilumab</w:t>
            </w:r>
          </w:p>
        </w:tc>
        <w:tc>
          <w:tcPr>
            <w:tcW w:w="5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Lymphoma/leukemia and solid tumors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CDX-1401</w:t>
            </w:r>
          </w:p>
        </w:tc>
        <w:tc>
          <w:tcPr>
            <w:tcW w:w="5140" w:type="dxa"/>
            <w:vAlign w:val="bottom"/>
            <w:gridSpan w:val="3"/>
          </w:tcPr>
          <w:p>
            <w:pPr>
              <w:ind w:left="300"/>
              <w:spacing w:after="0"/>
              <w:rPr>
                <w:sz w:val="20"/>
                <w:szCs w:val="20"/>
                <w:color w:val="auto"/>
              </w:rPr>
            </w:pPr>
            <w:r>
              <w:rPr>
                <w:rFonts w:ascii="Arial" w:cs="Arial" w:eastAsia="Arial" w:hAnsi="Arial"/>
                <w:sz w:val="18"/>
                <w:szCs w:val="18"/>
                <w:color w:val="auto"/>
              </w:rPr>
              <w:t>Multiple solid tumors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5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Cancer, autoimmune disease and transplant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PRECLINICAL</w:t>
            </w:r>
          </w:p>
        </w:tc>
        <w:tc>
          <w:tcPr>
            <w:tcW w:w="3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5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Ovarian and renal cancer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Preclinical</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several years or more, and the length of time generally varies substantially according to the type, complexity, novelty and intended use of a product candidate.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is not unusual for the clinical development of these types of product candidates to each take five years or more, and for total development costs to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each product candidate. We estimate that clinical trials of the type we generally conduct are typically completed over the following timelines: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200" w:type="dxa"/>
            <w:vAlign w:val="bottom"/>
          </w:tcPr>
          <w:p>
            <w:pPr>
              <w:jc w:val="right"/>
              <w:ind w:right="377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6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4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6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Completion</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Phase 1</w:t>
            </w:r>
          </w:p>
        </w:tc>
        <w:tc>
          <w:tcPr>
            <w:tcW w:w="6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1 - 5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6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1 - 5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-1227455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-1227455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w:t>
      </w:r>
    </w:p>
    <w:p>
      <w:pPr>
        <w:sectPr>
          <w:pgSz w:w="11900" w:h="16858" w:orient="portrait"/>
          <w:cols w:equalWidth="0" w:num="1">
            <w:col w:w="11460"/>
          </w:cols>
          <w:pgMar w:left="240" w:top="125" w:right="199" w:bottom="0" w:gutter="0" w:footer="0" w:header="0"/>
        </w:sectPr>
      </w:pPr>
    </w:p>
    <w:bookmarkStart w:id="9" w:name="page10"/>
    <w:bookmarkEnd w:id="9"/>
    <w:p>
      <w:pPr>
        <w:spacing w:after="0" w:line="2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During the past five years through December 31, 2013, we incurred an aggregate of $201.1 million in research and development expenses. The following table indicates the amount incurred for each of our significant research programs and for other identified research and development activities during the three months ended March 31, 2014 and 2013. The amounts disclosed in the following table reflect direct research and development costs, license fees associated with the underlying technology and an allocation of indirect research and development costs to each program.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3"/>
          </w:tcPr>
          <w:p>
            <w:pPr>
              <w:jc w:val="right"/>
              <w:ind w:right="456"/>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Rindopepimut</w:t>
            </w:r>
          </w:p>
        </w:tc>
        <w:tc>
          <w:tcPr>
            <w:tcW w:w="4000" w:type="dxa"/>
            <w:vAlign w:val="bottom"/>
            <w:gridSpan w:val="2"/>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14,884</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8,911</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Glembatumumab vedotin</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7,824</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Varlilumab</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1,966</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2,245</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CDX-1401</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541</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CDX-014</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650</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Programs</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889</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w:t>
            </w:r>
          </w:p>
        </w:tc>
        <w:tc>
          <w:tcPr>
            <w:tcW w:w="80" w:type="dxa"/>
            <w:vAlign w:val="bottom"/>
            <w:shd w:val="clear" w:color="auto" w:fill="CCEEFF"/>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Total R&amp;D Expense</w:t>
            </w:r>
          </w:p>
        </w:tc>
        <w:tc>
          <w:tcPr>
            <w:tcW w:w="3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27,070</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14,090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Rindopepimut is an immunotherapeutic that targets the tumor-specific molecule epidermal growth factor receptor variant III, or EGFRvIII. EGFRvIII is a mutated form of the epidermal growth factor receptor, or EGFR, that is only expressed in cancer cells and not in normal tissue and can directly contribute to cancer cell growth. EGFRvIII is expressed in approximately 30% of glioblastoma multiforme, or GBM, tumors, the most common and aggressive form of brain cancer. Rindopepimut is composed of the EGFRvIII peptide linked to a carrier protein called Keyhole Limpet Hemocyanin, or KLH, and administered together with the adjuvant GM-CSF. The Food and Drug Administration, or FDA, and the European Medicines Agency, or EMA, have both granted orphan drug designation for rindopepimut for the treatment of EGFRvIII expressing GBM. The FDA has also granted Fast Track designation.</w:t>
      </w:r>
    </w:p>
    <w:p>
      <w:pPr>
        <w:spacing w:after="0" w:line="16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Phase 2a study of rindopepimut referred to as ACTIVATE was led by collaborating investigators at the Brain Center at Duke Comprehensive Cancer Center in Durham, North Carolina and at M.D. Anderson Cancer Center in Houston, Texas and enrolled 18 evaluable GBM patients. An extension of the Phase 2a study referred to as ACT II evaluated 22 additional GBM patients treated in combination with the current standard of care, maintenance temozolomide, or TMZ, at the same two institutions.</w:t>
      </w:r>
    </w:p>
    <w:p>
      <w:pPr>
        <w:spacing w:after="0" w:line="18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Phase 2b study of rindopepimut referred to as ACT III combined rindopepimut with standard of care, TMZ, in patients with newly diagnosed GBM. The ACT III study provided for a multi-center, non-randomized dataset for rindopepimut in 65 patients at over 30 sites throughout the United States.</w:t>
      </w:r>
    </w:p>
    <w:p>
      <w:pPr>
        <w:spacing w:after="0" w:line="12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November 2013, we announced the four- and five-year survival data from the 105 patients enrolled in the three Phase 2 rindopepimut clinical studies (ACTIVATE, ACT II and ACT III) in EGFRvIII-positive GBM. Across these three Phase 2 studies of rindopepimut, survival data remains consistent and suggests a continuing survival benefit in comparison to independent control datasets (see chart below) at the median and at all other time points evaluated.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Phase 2 Frontline Long-term Overall Survival Assessments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Median, Years</w:t>
            </w:r>
          </w:p>
        </w:tc>
        <w:tc>
          <w:tcPr>
            <w:tcW w:w="860" w:type="dxa"/>
            <w:vAlign w:val="bottom"/>
          </w:tcPr>
          <w:p>
            <w:pPr>
              <w:jc w:val="center"/>
              <w:ind w:left="228"/>
              <w:spacing w:after="0"/>
              <w:rPr>
                <w:sz w:val="20"/>
                <w:szCs w:val="20"/>
                <w:color w:val="auto"/>
              </w:rPr>
            </w:pPr>
            <w:r>
              <w:rPr>
                <w:rFonts w:ascii="Arial" w:cs="Arial" w:eastAsia="Arial" w:hAnsi="Arial"/>
                <w:sz w:val="14"/>
                <w:szCs w:val="14"/>
                <w:b w:val="1"/>
                <w:bCs w:val="1"/>
                <w:color w:val="auto"/>
                <w:w w:val="96"/>
              </w:rPr>
              <w:t>2-year</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ind w:left="228"/>
              <w:spacing w:after="0"/>
              <w:rPr>
                <w:sz w:val="20"/>
                <w:szCs w:val="20"/>
                <w:color w:val="auto"/>
              </w:rPr>
            </w:pPr>
            <w:r>
              <w:rPr>
                <w:rFonts w:ascii="Arial" w:cs="Arial" w:eastAsia="Arial" w:hAnsi="Arial"/>
                <w:sz w:val="14"/>
                <w:szCs w:val="14"/>
                <w:b w:val="1"/>
                <w:bCs w:val="1"/>
                <w:color w:val="auto"/>
                <w:w w:val="96"/>
              </w:rPr>
              <w:t>3-year</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4-year</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5-year</w:t>
            </w:r>
          </w:p>
        </w:tc>
      </w:tr>
      <w:tr>
        <w:trPr>
          <w:trHeight w:val="171"/>
        </w:trPr>
        <w:tc>
          <w:tcPr>
            <w:tcW w:w="42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(95% CI)</w:t>
            </w:r>
          </w:p>
        </w:tc>
        <w:tc>
          <w:tcPr>
            <w:tcW w:w="2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3"/>
              </w:rPr>
              <w:t>rate</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3"/>
              </w:rPr>
              <w:t>rate</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160" w:type="dxa"/>
            <w:vAlign w:val="bottom"/>
            <w:tcBorders>
              <w:bottom w:val="single" w:sz="8" w:color="CCEEFF"/>
            </w:tcBorders>
          </w:tcPr>
          <w:p>
            <w:pPr>
              <w:spacing w:after="0"/>
              <w:rPr>
                <w:sz w:val="14"/>
                <w:szCs w:val="14"/>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Phase 2 rindopepimut studies (n=105)</w:t>
            </w:r>
          </w:p>
        </w:tc>
        <w:tc>
          <w:tcPr>
            <w:tcW w:w="13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2"/>
              </w:rPr>
              <w:t>2.1 (1.8, 2.4)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Matched historical control (n=17)(1)</w:t>
            </w:r>
          </w:p>
        </w:tc>
        <w:tc>
          <w:tcPr>
            <w:tcW w:w="1640" w:type="dxa"/>
            <w:vAlign w:val="bottom"/>
            <w:gridSpan w:val="2"/>
          </w:tcPr>
          <w:p>
            <w:pPr>
              <w:ind w:left="500"/>
              <w:spacing w:after="0"/>
              <w:rPr>
                <w:sz w:val="20"/>
                <w:szCs w:val="20"/>
                <w:color w:val="auto"/>
              </w:rPr>
            </w:pPr>
            <w:r>
              <w:rPr>
                <w:rFonts w:ascii="Arial" w:cs="Arial" w:eastAsia="Arial" w:hAnsi="Arial"/>
                <w:sz w:val="18"/>
                <w:szCs w:val="18"/>
                <w:color w:val="auto"/>
              </w:rPr>
              <w:t>1.3 (0.9, 1.7)</w:t>
            </w:r>
          </w:p>
        </w:tc>
        <w:tc>
          <w:tcPr>
            <w:tcW w:w="8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20" w:hanging="652"/>
        <w:spacing w:after="0" w:line="277" w:lineRule="auto"/>
        <w:tabs>
          <w:tab w:leader="none" w:pos="667"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Patients treated at M.D. Anderson contemporaneously to ACTIVATE, matched for major eligibility requirements, including EGFRvIII-positive GBM, gross total resection and no disease progression through chemoradiation treatment.</w:t>
      </w:r>
    </w:p>
    <w:p>
      <w:pPr>
        <w:spacing w:after="0" w:line="170"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7"/>
          <w:szCs w:val="17"/>
          <w:color w:val="auto"/>
        </w:rPr>
        <w:t>The pooled overall long-term survival results continue to be consistent with the ACT III Phase 2 study (18% for 4-years and 14% for 5-years).</w:t>
      </w:r>
    </w:p>
    <w:p>
      <w:pPr>
        <w:spacing w:after="0" w:line="23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December 2011, we initiated ACT IV, a pivotal, randomized, double-blind, controlled Phase 3 study of rindopepimut in patients with surgically resected, EGFRvIII-positive GBM. Patients are randomized after the completion of surgery and standard chemoradiation treatment. The treatment regimen includes a rindopepimut priming phase post-radiation followed by an adjuvant TMZ phase and a rindopepimut maintenance therapy phase. Patients are treated until disease progression or intolerance to therapy. The primary objective of the study is to determine whether rindopepimut plus adjuvant GM-CSF improves the overall survival of patients with newly diagnosed EGFRvIII-positive GBM after Gross Total Resection, or GTR, when compared to treatment with TMZ and a control injection of KLH. KLH is a component of rindopepimut and was selected due to its ability to generate a similar injection site reaction to that observed with rindopepimut. ACT IV is enrolling patients at over 200 centers worldwide to recruit approximately 374</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patients with GTR to be included in the primary analysis. Based on current projections, we anticipate completion of enrollment in mid-2014.</w:t>
      </w:r>
    </w:p>
    <w:p>
      <w:pPr>
        <w:sectPr>
          <w:pgSz w:w="11900" w:h="16860" w:orient="portrait"/>
          <w:cols w:equalWidth="0" w:num="1">
            <w:col w:w="11420"/>
          </w:cols>
          <w:pgMar w:left="240" w:top="125" w:right="239" w:bottom="0" w:gutter="0" w:footer="0" w:header="0"/>
        </w:sectPr>
      </w:pPr>
    </w:p>
    <w:bookmarkStart w:id="10" w:name="page11"/>
    <w:bookmarkEnd w:id="10"/>
    <w:p>
      <w:pPr>
        <w:ind w:right="20" w:firstLine="648"/>
        <w:spacing w:after="0" w:line="245" w:lineRule="auto"/>
        <w:rPr>
          <w:sz w:val="20"/>
          <w:szCs w:val="20"/>
          <w:color w:val="auto"/>
        </w:rPr>
      </w:pPr>
      <w:r>
        <w:rPr>
          <w:rFonts w:ascii="Arial" w:cs="Arial" w:eastAsia="Arial" w:hAnsi="Arial"/>
          <w:sz w:val="18"/>
          <w:szCs w:val="18"/>
          <w:color w:val="auto"/>
        </w:rPr>
        <w:t>In December 2011, we also initiated ReACT, a Phase 2 study of rindopepimut in combination with Avastin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patients with recurrent EGFRvIII-positive GBM. ReACT was initially planned to enroll approximately 95 patients in a first or second relapse of GBM following receipt of standard therapy at approximately 25 sites across the United States. In August 2013, we announced the addition of an expansion cohort of approximately 75 patients (Group 2C) to better characterize the potential activity of rindopepimut in this refractory patient population. This decision was based on early evidence of anti-tumor activity, including stable disease, tumor shrinkage and investigator-reported response. As amended, the ReACT study will now enroll approximately 170 patients across three groups. Approximately 70 patients (Group 1) who have yet to receive Avastin will be randomized to receive either rindopepimut and Avastin or a control injection of KLH and Avastin in a blinded fashion. Another 100 patients, including the expansion cohort of 75 patients, who are refractory to Avastin having received Avastin in either the frontline or recurrent setting with subsequent progression will receive rindopepimut plus Avastin in a single treatment arm. Study endpoints include 6 month progression free survival rate, objective response rate, or ORR, overall survival and safety and tolerability.</w:t>
      </w:r>
    </w:p>
    <w:p>
      <w:pPr>
        <w:spacing w:after="0" w:line="20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November 2013, we reported interim data from our ongoing Phase 2 ReACT study. Rindopepimut plus Avastin was very well tolerated (dosing up to 13+ months) and the results demonstrated promising signs of clinical activity in advanced patient populations, including evidence of anti-tumor activity (tumor shrinkage, objective response and stable disease). Strong immune response correlated with improved outcome. In Avastin-naïve patients treated with both rindopepimut and Avastin, a strong survival trend has also been seen to date versus the control group (see chart below).</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ReACT Overall Survival and Progression-free Survival in Avastin-Naïve Recurrent GBM</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Rindopepimut &amp;</w:t>
            </w:r>
          </w:p>
        </w:tc>
        <w:tc>
          <w:tcPr>
            <w:tcW w:w="8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Control &amp; Avastin</w:t>
            </w:r>
          </w:p>
        </w:tc>
        <w:tc>
          <w:tcPr>
            <w:tcW w:w="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Hazard Ratio</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Avastin (n=20)</w:t>
            </w:r>
          </w:p>
        </w:tc>
        <w:tc>
          <w:tcPr>
            <w:tcW w:w="8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(n=20)</w:t>
            </w:r>
          </w:p>
        </w:tc>
        <w:tc>
          <w:tcPr>
            <w:tcW w:w="6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vMerge w:val="restart"/>
          </w:tcPr>
          <w:p>
            <w:pPr>
              <w:spacing w:after="0"/>
              <w:rPr>
                <w:sz w:val="20"/>
                <w:szCs w:val="20"/>
                <w:color w:val="auto"/>
              </w:rPr>
            </w:pPr>
            <w:r>
              <w:rPr>
                <w:rFonts w:ascii="Arial" w:cs="Arial" w:eastAsia="Arial" w:hAnsi="Arial"/>
                <w:sz w:val="18"/>
                <w:szCs w:val="18"/>
                <w:color w:val="auto"/>
              </w:rPr>
              <w:t>Overall survival</w:t>
            </w:r>
          </w:p>
        </w:tc>
        <w:tc>
          <w:tcPr>
            <w:tcW w:w="16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700" w:type="dxa"/>
            <w:vAlign w:val="bottom"/>
            <w:tcBorders>
              <w:left w:val="single" w:sz="8" w:color="auto"/>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0"/>
              </w:rPr>
              <w:t>12.0 months</w:t>
            </w: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right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9"/>
              </w:rPr>
              <w:t>7.9 months</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0.43 (0.13, 1.44)</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160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9"/>
              </w:rPr>
              <w:t>p=0.16</w:t>
            </w:r>
          </w:p>
        </w:tc>
        <w:tc>
          <w:tcPr>
            <w:tcW w:w="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vMerge w:val="restart"/>
          </w:tcPr>
          <w:p>
            <w:pPr>
              <w:spacing w:after="0"/>
              <w:rPr>
                <w:sz w:val="20"/>
                <w:szCs w:val="20"/>
                <w:color w:val="auto"/>
              </w:rPr>
            </w:pPr>
            <w:r>
              <w:rPr>
                <w:rFonts w:ascii="Arial" w:cs="Arial" w:eastAsia="Arial" w:hAnsi="Arial"/>
                <w:sz w:val="18"/>
                <w:szCs w:val="18"/>
                <w:color w:val="auto"/>
              </w:rPr>
              <w:t>Progression-free survival</w:t>
            </w: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700" w:type="dxa"/>
            <w:vAlign w:val="bottom"/>
            <w:tcBorders>
              <w:left w:val="single" w:sz="8" w:color="auto"/>
              <w:bottom w:val="single" w:sz="8" w:color="auto"/>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89"/>
              </w:rPr>
              <w:t>3.7 months</w:t>
            </w: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right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9"/>
              </w:rPr>
              <w:t>2.0 months</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0.74 (0.34, 1.61)</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160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0"/>
              </w:rPr>
              <w:t>P=0.47</w:t>
            </w:r>
          </w:p>
        </w:tc>
        <w:tc>
          <w:tcPr>
            <w:tcW w:w="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Avastin-refractory patients treated with both rindopepimut and Avastin, a median progression-free survival, or PFS, of 1.9 months and an overall survival, or OS, of 5.6 months was observed. The median overall survival of 5.6 months is noteworthy in these heavily pre-treated, refractory EGFRvIII-positive patients. A review of the literature assessing survival in recurrent patients who are Avastin-experienced across eight independent studies suggests a weighted-average survival of 3.6 months (range of 2.6 to 5.8 months) in all-comers. It is important to note that these eight studies do not necessarily meet the strict definition of refractory applied in the ReACT study and that these studies included EGFRvIII-negative patients who tend to perform better. Progression-free survival results in this refractory population may be more consistent with the profile of an immunotherapy candidate where progression-free survival does not always correlate directly with an overall survival benefit.</w:t>
      </w:r>
    </w:p>
    <w:p>
      <w:pPr>
        <w:spacing w:after="0" w:line="17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Enrollment to Group 1 (Avastin-naïve patients) and enrollment of at least the first 23 patients in Group 2C (Avastin-refractory patients) is expected to be completed by year-end 2014. Group 2C is designed as a two-stage cohort; evidence of anti-tumor activity in the first 23 patients will trigger full completion of enrollment to this arm of the study. Updated data from the study will be presented by year-end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7"/>
          <w:szCs w:val="17"/>
          <w:color w:val="auto"/>
        </w:rPr>
        <w:t>Glembatumumab vedotin is an antibody-drug conjugate, or ADC, that consists of a fully-human monoclonal antibody, CR011, linked to a potent cell-killing drug, monomethyl-auristatin E, or MMAE. The CR011 antibody specifically targets glycoprotein NMB, referred to as gpNMB, that is over-expressed in a variety of cancers including breast cancer and melanoma. The ADC technology, comprised of MMAE and a stable linker system for attaching it to CR011, was licensed from Seattle Genetics, Inc. and is the same as that used in the marketed product Adcetris</w:t>
      </w:r>
      <w:r>
        <w:rPr>
          <w:rFonts w:ascii="Arial" w:cs="Arial" w:eastAsia="Arial" w:hAnsi="Arial"/>
          <w:sz w:val="22"/>
          <w:szCs w:val="22"/>
          <w:color w:val="auto"/>
          <w:vertAlign w:val="superscript"/>
        </w:rPr>
        <w:t>®</w:t>
      </w:r>
      <w:r>
        <w:rPr>
          <w:rFonts w:ascii="Arial" w:cs="Arial" w:eastAsia="Arial" w:hAnsi="Arial"/>
          <w:sz w:val="17"/>
          <w:szCs w:val="17"/>
          <w:color w:val="auto"/>
        </w:rPr>
        <w:t>.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The FDA has granted Fast Track designation to glembatumumab vedotin for the treatment of advanced, refractory/resistant gpNMB-expressing breast cancer.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60" w:firstLine="648"/>
        <w:spacing w:after="0" w:line="292"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The Phase 1/2 study of glembatumumab vedotin administered intravenously once every three weeks evaluated</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with locally advanced or metastatic breast cancer who had received prior therapy (median of seven prior regimens). The study began with a bridging phase to confirm the maximum tolerated dose, or MTD, and then expanded into a Phase 2 open-label, multi-center study. The study confirmed the safety of glembatumumab vedotin at the pre-defined maximum dose level (1.88 mg/kg) in 6 patients. An additional 28 patients were enrolled in an expanded Phase 2 cohort (for a total of 34 treated patients at 1.88 mg/kg, the Phase 2 dose) to evaluate the PFS rate at 12 weeks.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w:t>
      </w:r>
    </w:p>
    <w:p>
      <w:pPr>
        <w:spacing w:after="0" w:line="15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December 2012, we announced final results from the EMERGE study, a randomized, multi-center Phase 2b study of glembatumumab vedotin in 122 patients with heavily pre-treated, advanced, gpNMB positive breast cancer. Patients were randomized (2:1) to receive either glembatumumab vedotin or single-agent Investigator’s Choice, or IC, chemotherapy. Patients randomized to receive IC were allowed to cross over to receive glembatumumab vedotin following disease progression. Activity endpoints included response rate, PFS and OS. The final results, as shown below, suggested that glembatumumab vedotin induces significant response rates compared to currently available therapies in patient subsets with advanced, refractory breast cancers with gpNMB over-expression (expression in greater than 25% of tumor cells) and in patients with triple negative breast cancer. The OS and PFS of patients treated with</w:t>
      </w:r>
    </w:p>
    <w:p>
      <w:pPr>
        <w:sectPr>
          <w:pgSz w:w="11900" w:h="16838" w:orient="portrait"/>
          <w:cols w:equalWidth="0" w:num="1">
            <w:col w:w="11400"/>
          </w:cols>
          <w:pgMar w:left="240" w:top="341" w:right="259" w:bottom="0" w:gutter="0" w:footer="0" w:header="0"/>
        </w:sectPr>
      </w:pPr>
    </w:p>
    <w:bookmarkStart w:id="11" w:name="page12"/>
    <w:bookmarkEnd w:id="11"/>
    <w:p>
      <w:pPr>
        <w:ind w:right="240"/>
        <w:spacing w:after="0" w:line="277" w:lineRule="auto"/>
        <w:rPr>
          <w:sz w:val="20"/>
          <w:szCs w:val="20"/>
          <w:color w:val="auto"/>
        </w:rPr>
      </w:pPr>
      <w:r>
        <w:rPr>
          <w:rFonts w:ascii="Arial" w:cs="Arial" w:eastAsia="Arial" w:hAnsi="Arial"/>
          <w:sz w:val="18"/>
          <w:szCs w:val="18"/>
          <w:color w:val="auto"/>
        </w:rPr>
        <w:t>glembatumumab vedotin was also observed to be greatest in patients with triple negative breast cancer who also over-express gpNMB and all patients with gpNMB over-expression.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Overall Response Rate and Disease Control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160" w:type="dxa"/>
            <w:vAlign w:val="bottom"/>
            <w:gridSpan w:val="4"/>
            <w:vMerge w:val="restart"/>
          </w:tcPr>
          <w:p>
            <w:pPr>
              <w:ind w:left="960"/>
              <w:spacing w:after="0"/>
              <w:rPr>
                <w:sz w:val="20"/>
                <w:szCs w:val="20"/>
                <w:color w:val="auto"/>
              </w:rPr>
            </w:pPr>
            <w:r>
              <w:rPr>
                <w:rFonts w:ascii="Arial" w:cs="Arial" w:eastAsia="Arial" w:hAnsi="Arial"/>
                <w:sz w:val="14"/>
                <w:szCs w:val="14"/>
                <w:b w:val="1"/>
                <w:bCs w:val="1"/>
                <w:color w:val="auto"/>
              </w:rPr>
              <w:t>gpNMB Over-Expression</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40" w:type="dxa"/>
            <w:vAlign w:val="bottom"/>
            <w:gridSpan w:val="4"/>
          </w:tcPr>
          <w:p>
            <w:pPr>
              <w:jc w:val="right"/>
              <w:ind w:right="1300"/>
              <w:spacing w:after="0"/>
              <w:rPr>
                <w:sz w:val="20"/>
                <w:szCs w:val="20"/>
                <w:color w:val="auto"/>
              </w:rPr>
            </w:pPr>
            <w:r>
              <w:rPr>
                <w:rFonts w:ascii="Arial" w:cs="Arial" w:eastAsia="Arial" w:hAnsi="Arial"/>
                <w:sz w:val="14"/>
                <w:szCs w:val="14"/>
                <w:b w:val="1"/>
                <w:bCs w:val="1"/>
                <w:color w:val="auto"/>
              </w:rPr>
              <w:t>Triple Negative and</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4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gpNMB Over-Expression</w:t>
            </w: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360" w:type="dxa"/>
            <w:vAlign w:val="bottom"/>
            <w:tcBorders>
              <w:top w:val="single" w:sz="8" w:color="auto"/>
            </w:tcBorders>
          </w:tcPr>
          <w:p>
            <w:pPr>
              <w:jc w:val="center"/>
              <w:ind w:left="149"/>
              <w:spacing w:after="0" w:line="119" w:lineRule="exact"/>
              <w:rPr>
                <w:sz w:val="20"/>
                <w:szCs w:val="20"/>
                <w:color w:val="auto"/>
              </w:rPr>
            </w:pPr>
            <w:r>
              <w:rPr>
                <w:rFonts w:ascii="Arial" w:cs="Arial" w:eastAsia="Arial" w:hAnsi="Arial"/>
                <w:sz w:val="13"/>
                <w:szCs w:val="13"/>
                <w:b w:val="1"/>
                <w:bCs w:val="1"/>
                <w:color w:val="auto"/>
              </w:rPr>
              <w:t>glembatumumab</w:t>
            </w: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left="250"/>
              <w:spacing w:after="0" w:line="119" w:lineRule="exact"/>
              <w:rPr>
                <w:sz w:val="20"/>
                <w:szCs w:val="20"/>
                <w:color w:val="auto"/>
              </w:rPr>
            </w:pPr>
            <w:r>
              <w:rPr>
                <w:rFonts w:ascii="Arial" w:cs="Arial" w:eastAsia="Arial" w:hAnsi="Arial"/>
                <w:sz w:val="13"/>
                <w:szCs w:val="13"/>
                <w:b w:val="1"/>
                <w:bCs w:val="1"/>
                <w:color w:val="auto"/>
              </w:rPr>
              <w:t>Investigator</w:t>
            </w:r>
          </w:p>
        </w:tc>
        <w:tc>
          <w:tcPr>
            <w:tcW w:w="3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glembatumumab</w:t>
            </w:r>
          </w:p>
        </w:tc>
        <w:tc>
          <w:tcPr>
            <w:tcW w:w="1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Investigator</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360" w:type="dxa"/>
            <w:vAlign w:val="bottom"/>
          </w:tcPr>
          <w:p>
            <w:pPr>
              <w:jc w:val="center"/>
              <w:ind w:left="149"/>
              <w:spacing w:after="0"/>
              <w:rPr>
                <w:sz w:val="20"/>
                <w:szCs w:val="20"/>
                <w:color w:val="auto"/>
              </w:rPr>
            </w:pPr>
            <w:r>
              <w:rPr>
                <w:rFonts w:ascii="Arial" w:cs="Arial" w:eastAsia="Arial" w:hAnsi="Arial"/>
                <w:sz w:val="14"/>
                <w:szCs w:val="14"/>
                <w:b w:val="1"/>
                <w:bCs w:val="1"/>
                <w:color w:val="auto"/>
                <w:w w:val="92"/>
              </w:rPr>
              <w:t>vedotin</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left="250"/>
              <w:spacing w:after="0"/>
              <w:rPr>
                <w:sz w:val="20"/>
                <w:szCs w:val="20"/>
                <w:color w:val="auto"/>
              </w:rPr>
            </w:pPr>
            <w:r>
              <w:rPr>
                <w:rFonts w:ascii="Arial" w:cs="Arial" w:eastAsia="Arial" w:hAnsi="Arial"/>
                <w:sz w:val="14"/>
                <w:szCs w:val="14"/>
                <w:b w:val="1"/>
                <w:bCs w:val="1"/>
                <w:color w:val="auto"/>
                <w:w w:val="89"/>
              </w:rPr>
              <w:t>Choice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vedotin</w:t>
            </w: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Choice</w:t>
            </w:r>
          </w:p>
        </w:tc>
        <w:tc>
          <w:tcPr>
            <w:tcW w:w="0" w:type="dxa"/>
            <w:vAlign w:val="bottom"/>
          </w:tcPr>
          <w:p>
            <w:pPr>
              <w:spacing w:after="0"/>
              <w:rPr>
                <w:sz w:val="1"/>
                <w:szCs w:val="1"/>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ind w:left="149"/>
              <w:spacing w:after="0" w:line="142" w:lineRule="exact"/>
              <w:rPr>
                <w:sz w:val="20"/>
                <w:szCs w:val="20"/>
                <w:color w:val="auto"/>
              </w:rPr>
            </w:pPr>
            <w:r>
              <w:rPr>
                <w:rFonts w:ascii="Arial" w:cs="Arial" w:eastAsia="Arial" w:hAnsi="Arial"/>
                <w:sz w:val="14"/>
                <w:szCs w:val="14"/>
                <w:b w:val="1"/>
                <w:bCs w:val="1"/>
                <w:color w:val="auto"/>
              </w:rPr>
              <w:t>(n=25)</w:t>
            </w:r>
          </w:p>
        </w:tc>
        <w:tc>
          <w:tcPr>
            <w:tcW w:w="22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center"/>
              <w:ind w:left="250"/>
              <w:spacing w:after="0" w:line="142" w:lineRule="exact"/>
              <w:rPr>
                <w:sz w:val="20"/>
                <w:szCs w:val="20"/>
                <w:color w:val="auto"/>
              </w:rPr>
            </w:pPr>
            <w:r>
              <w:rPr>
                <w:rFonts w:ascii="Arial" w:cs="Arial" w:eastAsia="Arial" w:hAnsi="Arial"/>
                <w:sz w:val="14"/>
                <w:szCs w:val="14"/>
                <w:b w:val="1"/>
                <w:bCs w:val="1"/>
                <w:color w:val="auto"/>
              </w:rPr>
              <w:t>(n=8)</w:t>
            </w:r>
          </w:p>
        </w:tc>
        <w:tc>
          <w:tcPr>
            <w:tcW w:w="30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(n=12)</w:t>
            </w:r>
          </w:p>
        </w:tc>
        <w:tc>
          <w:tcPr>
            <w:tcW w:w="280" w:type="dxa"/>
            <w:vAlign w:val="bottom"/>
            <w:tcBorders>
              <w:bottom w:val="single" w:sz="8" w:color="CCEEFF"/>
            </w:tcBorders>
          </w:tcPr>
          <w:p>
            <w:pPr>
              <w:spacing w:after="0"/>
              <w:rPr>
                <w:sz w:val="12"/>
                <w:szCs w:val="12"/>
                <w:color w:val="auto"/>
              </w:rPr>
            </w:pPr>
          </w:p>
        </w:tc>
        <w:tc>
          <w:tcPr>
            <w:tcW w:w="1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Response</w:t>
            </w:r>
          </w:p>
        </w:tc>
        <w:tc>
          <w:tcPr>
            <w:tcW w:w="1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32%</w:t>
            </w:r>
          </w:p>
        </w:tc>
        <w:tc>
          <w:tcPr>
            <w:tcW w:w="1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Disease Control Rate</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64%</w:t>
            </w:r>
          </w:p>
        </w:tc>
        <w:tc>
          <w:tcPr>
            <w:tcW w:w="130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i w:val="1"/>
          <w:iCs w:val="1"/>
          <w:color w:val="auto"/>
        </w:rPr>
        <w:t>Responses per RECIST 1.1; IC = Investigator’s Choice; glembatumumab vedotin arm includes 15 patients who crossed over to receive glembatumumab vedotin treatment after progression on IC. Analysis of best response excludes patients who discontinued from study without evaluable post-baseline radiographic imaging (n=15 for glembatumumab vedotin arm; n=5 for IC arm).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Progression Free Survival (PFS) and Overall Survival (OS) Data</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240" w:type="dxa"/>
            <w:vAlign w:val="bottom"/>
            <w:gridSpan w:val="4"/>
            <w:vMerge w:val="restart"/>
          </w:tcPr>
          <w:p>
            <w:pPr>
              <w:jc w:val="center"/>
              <w:ind w:left="1100"/>
              <w:spacing w:after="0"/>
              <w:rPr>
                <w:sz w:val="20"/>
                <w:szCs w:val="20"/>
                <w:color w:val="auto"/>
              </w:rPr>
            </w:pPr>
            <w:r>
              <w:rPr>
                <w:rFonts w:ascii="Arial" w:cs="Arial" w:eastAsia="Arial" w:hAnsi="Arial"/>
                <w:sz w:val="14"/>
                <w:szCs w:val="14"/>
                <w:b w:val="1"/>
                <w:bCs w:val="1"/>
                <w:color w:val="auto"/>
              </w:rPr>
              <w:t>gpNMB</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center"/>
              <w:ind w:left="1104"/>
              <w:spacing w:after="0"/>
              <w:rPr>
                <w:sz w:val="20"/>
                <w:szCs w:val="20"/>
                <w:color w:val="auto"/>
              </w:rPr>
            </w:pPr>
            <w:r>
              <w:rPr>
                <w:rFonts w:ascii="Arial" w:cs="Arial" w:eastAsia="Arial" w:hAnsi="Arial"/>
                <w:sz w:val="14"/>
                <w:szCs w:val="14"/>
                <w:b w:val="1"/>
                <w:bCs w:val="1"/>
                <w:color w:val="auto"/>
                <w:w w:val="95"/>
              </w:rPr>
              <w:t>Triple Negative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4"/>
          </w:tcPr>
          <w:p>
            <w:pPr>
              <w:jc w:val="center"/>
              <w:ind w:left="1104"/>
              <w:spacing w:after="0" w:line="149" w:lineRule="exact"/>
              <w:rPr>
                <w:sz w:val="20"/>
                <w:szCs w:val="20"/>
                <w:color w:val="auto"/>
              </w:rPr>
            </w:pPr>
            <w:r>
              <w:rPr>
                <w:rFonts w:ascii="Arial" w:cs="Arial" w:eastAsia="Arial" w:hAnsi="Arial"/>
                <w:sz w:val="14"/>
                <w:szCs w:val="14"/>
                <w:b w:val="1"/>
                <w:bCs w:val="1"/>
                <w:color w:val="auto"/>
                <w:w w:val="97"/>
              </w:rPr>
              <w:t>and gpNMB</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2240" w:type="dxa"/>
            <w:vAlign w:val="bottom"/>
            <w:tcBorders>
              <w:bottom w:val="single" w:sz="8" w:color="auto"/>
            </w:tcBorders>
            <w:gridSpan w:val="4"/>
          </w:tcPr>
          <w:p>
            <w:pPr>
              <w:jc w:val="center"/>
              <w:ind w:left="1100"/>
              <w:spacing w:after="0"/>
              <w:rPr>
                <w:sz w:val="20"/>
                <w:szCs w:val="20"/>
                <w:color w:val="auto"/>
              </w:rPr>
            </w:pPr>
            <w:r>
              <w:rPr>
                <w:rFonts w:ascii="Arial" w:cs="Arial" w:eastAsia="Arial" w:hAnsi="Arial"/>
                <w:sz w:val="14"/>
                <w:szCs w:val="14"/>
                <w:b w:val="1"/>
                <w:bCs w:val="1"/>
                <w:color w:val="auto"/>
                <w:w w:val="90"/>
              </w:rPr>
              <w:t>Over-Expression</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Borders>
              <w:bottom w:val="single" w:sz="8" w:color="auto"/>
            </w:tcBorders>
            <w:gridSpan w:val="4"/>
          </w:tcPr>
          <w:p>
            <w:pPr>
              <w:jc w:val="center"/>
              <w:ind w:left="1104"/>
              <w:spacing w:after="0"/>
              <w:rPr>
                <w:sz w:val="20"/>
                <w:szCs w:val="20"/>
                <w:color w:val="auto"/>
              </w:rPr>
            </w:pPr>
            <w:r>
              <w:rPr>
                <w:rFonts w:ascii="Arial" w:cs="Arial" w:eastAsia="Arial" w:hAnsi="Arial"/>
                <w:sz w:val="14"/>
                <w:szCs w:val="14"/>
                <w:b w:val="1"/>
                <w:bCs w:val="1"/>
                <w:color w:val="auto"/>
                <w:w w:val="92"/>
              </w:rPr>
              <w:t>Over-Expression</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60" w:type="dxa"/>
            <w:vAlign w:val="bottom"/>
          </w:tcPr>
          <w:p>
            <w:pPr>
              <w:spacing w:after="0"/>
              <w:rPr>
                <w:sz w:val="10"/>
                <w:szCs w:val="10"/>
                <w:color w:val="auto"/>
              </w:rPr>
            </w:pPr>
          </w:p>
        </w:tc>
        <w:tc>
          <w:tcPr>
            <w:tcW w:w="2240" w:type="dxa"/>
            <w:vAlign w:val="bottom"/>
            <w:gridSpan w:val="4"/>
          </w:tcPr>
          <w:p>
            <w:pPr>
              <w:jc w:val="center"/>
              <w:ind w:right="620"/>
              <w:spacing w:after="0" w:line="119" w:lineRule="exact"/>
              <w:rPr>
                <w:sz w:val="20"/>
                <w:szCs w:val="20"/>
                <w:color w:val="auto"/>
              </w:rPr>
            </w:pPr>
            <w:r>
              <w:rPr>
                <w:rFonts w:ascii="Arial" w:cs="Arial" w:eastAsia="Arial" w:hAnsi="Arial"/>
                <w:sz w:val="13"/>
                <w:szCs w:val="13"/>
                <w:b w:val="1"/>
                <w:bCs w:val="1"/>
                <w:color w:val="auto"/>
              </w:rPr>
              <w:t>glembatumumab</w:t>
            </w:r>
          </w:p>
        </w:tc>
        <w:tc>
          <w:tcPr>
            <w:tcW w:w="1180" w:type="dxa"/>
            <w:vAlign w:val="bottom"/>
          </w:tcPr>
          <w:p>
            <w:pPr>
              <w:jc w:val="center"/>
              <w:ind w:right="320"/>
              <w:spacing w:after="0" w:line="119" w:lineRule="exact"/>
              <w:rPr>
                <w:sz w:val="20"/>
                <w:szCs w:val="20"/>
                <w:color w:val="auto"/>
              </w:rPr>
            </w:pPr>
            <w:r>
              <w:rPr>
                <w:rFonts w:ascii="Arial" w:cs="Arial" w:eastAsia="Arial" w:hAnsi="Arial"/>
                <w:sz w:val="13"/>
                <w:szCs w:val="13"/>
                <w:b w:val="1"/>
                <w:bCs w:val="1"/>
                <w:color w:val="auto"/>
              </w:rPr>
              <w:t>Investigator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4"/>
          </w:tcPr>
          <w:p>
            <w:pPr>
              <w:jc w:val="center"/>
              <w:ind w:right="620"/>
              <w:spacing w:after="0" w:line="119" w:lineRule="exact"/>
              <w:rPr>
                <w:sz w:val="20"/>
                <w:szCs w:val="20"/>
                <w:color w:val="auto"/>
              </w:rPr>
            </w:pPr>
            <w:r>
              <w:rPr>
                <w:rFonts w:ascii="Arial" w:cs="Arial" w:eastAsia="Arial" w:hAnsi="Arial"/>
                <w:sz w:val="13"/>
                <w:szCs w:val="13"/>
                <w:b w:val="1"/>
                <w:bCs w:val="1"/>
                <w:color w:val="auto"/>
                <w:w w:val="99"/>
              </w:rPr>
              <w:t>glembatumumab</w:t>
            </w:r>
          </w:p>
        </w:tc>
        <w:tc>
          <w:tcPr>
            <w:tcW w:w="1220" w:type="dxa"/>
            <w:vAlign w:val="bottom"/>
          </w:tcPr>
          <w:p>
            <w:pPr>
              <w:jc w:val="center"/>
              <w:ind w:right="360"/>
              <w:spacing w:after="0" w:line="119" w:lineRule="exact"/>
              <w:rPr>
                <w:sz w:val="20"/>
                <w:szCs w:val="20"/>
                <w:color w:val="auto"/>
              </w:rPr>
            </w:pPr>
            <w:r>
              <w:rPr>
                <w:rFonts w:ascii="Arial" w:cs="Arial" w:eastAsia="Arial" w:hAnsi="Arial"/>
                <w:sz w:val="13"/>
                <w:szCs w:val="13"/>
                <w:b w:val="1"/>
                <w:bCs w:val="1"/>
                <w:color w:val="auto"/>
              </w:rPr>
              <w:t>Investigator</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22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2"/>
              </w:rPr>
              <w:t>vedotin</w:t>
            </w: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Choice</w:t>
            </w:r>
          </w:p>
        </w:tc>
        <w:tc>
          <w:tcPr>
            <w:tcW w:w="100" w:type="dxa"/>
            <w:vAlign w:val="bottom"/>
          </w:tcPr>
          <w:p>
            <w:pPr>
              <w:spacing w:after="0"/>
              <w:rPr>
                <w:sz w:val="14"/>
                <w:szCs w:val="14"/>
                <w:color w:val="auto"/>
              </w:rPr>
            </w:pPr>
          </w:p>
        </w:tc>
        <w:tc>
          <w:tcPr>
            <w:tcW w:w="22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2"/>
              </w:rPr>
              <w:t>vedotin</w:t>
            </w:r>
          </w:p>
        </w:tc>
        <w:tc>
          <w:tcPr>
            <w:tcW w:w="1220" w:type="dxa"/>
            <w:vAlign w:val="bottom"/>
          </w:tcPr>
          <w:p>
            <w:pPr>
              <w:jc w:val="center"/>
              <w:ind w:right="360"/>
              <w:spacing w:after="0"/>
              <w:rPr>
                <w:sz w:val="20"/>
                <w:szCs w:val="20"/>
                <w:color w:val="auto"/>
              </w:rPr>
            </w:pPr>
            <w:r>
              <w:rPr>
                <w:rFonts w:ascii="Arial" w:cs="Arial" w:eastAsia="Arial" w:hAnsi="Arial"/>
                <w:sz w:val="14"/>
                <w:szCs w:val="14"/>
                <w:b w:val="1"/>
                <w:bCs w:val="1"/>
                <w:color w:val="auto"/>
                <w:w w:val="89"/>
              </w:rPr>
              <w:t>Choice</w:t>
            </w:r>
          </w:p>
        </w:tc>
        <w:tc>
          <w:tcPr>
            <w:tcW w:w="0" w:type="dxa"/>
            <w:vAlign w:val="bottom"/>
          </w:tcPr>
          <w:p>
            <w:pPr>
              <w:spacing w:after="0"/>
              <w:rPr>
                <w:sz w:val="1"/>
                <w:szCs w:val="1"/>
                <w:color w:val="auto"/>
              </w:rPr>
            </w:pPr>
          </w:p>
        </w:tc>
      </w:tr>
      <w:tr>
        <w:trPr>
          <w:trHeight w:val="210"/>
        </w:trPr>
        <w:tc>
          <w:tcPr>
            <w:tcW w:w="3960" w:type="dxa"/>
            <w:vAlign w:val="bottom"/>
            <w:vMerge w:val="restart"/>
          </w:tcPr>
          <w:p>
            <w:pPr>
              <w:spacing w:after="0"/>
              <w:rPr>
                <w:sz w:val="20"/>
                <w:szCs w:val="20"/>
                <w:color w:val="auto"/>
              </w:rPr>
            </w:pPr>
            <w:r>
              <w:rPr>
                <w:rFonts w:ascii="Arial" w:cs="Arial" w:eastAsia="Arial" w:hAnsi="Arial"/>
                <w:sz w:val="18"/>
                <w:szCs w:val="18"/>
                <w:color w:val="auto"/>
              </w:rPr>
              <w:t>Median PFS (months)</w:t>
            </w:r>
          </w:p>
        </w:tc>
        <w:tc>
          <w:tcPr>
            <w:tcW w:w="160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1600" w:type="dxa"/>
            <w:vAlign w:val="bottom"/>
            <w:tcBorders>
              <w:left w:val="single" w:sz="8" w:color="auto"/>
              <w:bottom w:val="single" w:sz="8" w:color="auto"/>
            </w:tcBorders>
          </w:tcPr>
          <w:p>
            <w:pPr>
              <w:jc w:val="right"/>
              <w:ind w:right="600"/>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20"/>
              <w:spacing w:after="0"/>
              <w:rPr>
                <w:sz w:val="20"/>
                <w:szCs w:val="20"/>
                <w:color w:val="auto"/>
              </w:rPr>
            </w:pPr>
            <w:r>
              <w:rPr>
                <w:rFonts w:ascii="Arial" w:cs="Arial" w:eastAsia="Arial" w:hAnsi="Arial"/>
                <w:sz w:val="18"/>
                <w:szCs w:val="18"/>
                <w:color w:val="auto"/>
                <w:w w:val="87"/>
              </w:rPr>
              <w:t>1.5</w:t>
            </w:r>
          </w:p>
        </w:tc>
        <w:tc>
          <w:tcPr>
            <w:tcW w:w="1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ind w:right="360"/>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2240" w:type="dxa"/>
            <w:vAlign w:val="bottom"/>
            <w:tcBorders>
              <w:left w:val="single" w:sz="8" w:color="auto"/>
              <w:bottom w:val="single" w:sz="8" w:color="auto"/>
            </w:tcBorders>
            <w:gridSpan w:val="4"/>
          </w:tcPr>
          <w:p>
            <w:pPr>
              <w:jc w:val="center"/>
              <w:ind w:left="1120"/>
              <w:spacing w:after="0"/>
              <w:rPr>
                <w:sz w:val="20"/>
                <w:szCs w:val="20"/>
                <w:color w:val="auto"/>
              </w:rPr>
            </w:pPr>
            <w:r>
              <w:rPr>
                <w:rFonts w:ascii="Arial" w:cs="Arial" w:eastAsia="Arial" w:hAnsi="Arial"/>
                <w:sz w:val="18"/>
                <w:szCs w:val="18"/>
                <w:color w:val="auto"/>
                <w:w w:val="93"/>
              </w:rPr>
              <w:t>p=0.14</w:t>
            </w: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center"/>
              <w:ind w:left="1104"/>
              <w:spacing w:after="0"/>
              <w:rPr>
                <w:sz w:val="20"/>
                <w:szCs w:val="20"/>
                <w:color w:val="auto"/>
              </w:rPr>
            </w:pPr>
            <w:r>
              <w:rPr>
                <w:rFonts w:ascii="Arial" w:cs="Arial" w:eastAsia="Arial" w:hAnsi="Arial"/>
                <w:sz w:val="18"/>
                <w:szCs w:val="18"/>
                <w:color w:val="auto"/>
                <w:w w:val="91"/>
              </w:rPr>
              <w:t>p=0.008</w:t>
            </w: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vMerge w:val="restart"/>
          </w:tcPr>
          <w:p>
            <w:pPr>
              <w:spacing w:after="0"/>
              <w:rPr>
                <w:sz w:val="20"/>
                <w:szCs w:val="20"/>
                <w:color w:val="auto"/>
              </w:rPr>
            </w:pPr>
            <w:r>
              <w:rPr>
                <w:rFonts w:ascii="Arial" w:cs="Arial" w:eastAsia="Arial" w:hAnsi="Arial"/>
                <w:sz w:val="18"/>
                <w:szCs w:val="18"/>
                <w:color w:val="auto"/>
              </w:rPr>
              <w:t>Median OS (months)</w:t>
            </w:r>
          </w:p>
        </w:tc>
        <w:tc>
          <w:tcPr>
            <w:tcW w:w="1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1600" w:type="dxa"/>
            <w:vAlign w:val="bottom"/>
            <w:tcBorders>
              <w:left w:val="single" w:sz="8" w:color="auto"/>
              <w:bottom w:val="single" w:sz="8" w:color="auto"/>
            </w:tcBorders>
          </w:tcPr>
          <w:p>
            <w:pPr>
              <w:jc w:val="right"/>
              <w:ind w:right="540"/>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20"/>
              <w:spacing w:after="0"/>
              <w:rPr>
                <w:sz w:val="20"/>
                <w:szCs w:val="20"/>
                <w:color w:val="auto"/>
              </w:rPr>
            </w:pPr>
            <w:r>
              <w:rPr>
                <w:rFonts w:ascii="Arial" w:cs="Arial" w:eastAsia="Arial" w:hAnsi="Arial"/>
                <w:sz w:val="18"/>
                <w:szCs w:val="18"/>
                <w:color w:val="auto"/>
                <w:w w:val="87"/>
              </w:rPr>
              <w:t>5.7</w:t>
            </w:r>
          </w:p>
        </w:tc>
        <w:tc>
          <w:tcPr>
            <w:tcW w:w="1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544"/>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ind w:right="360"/>
              <w:spacing w:after="0"/>
              <w:rPr>
                <w:sz w:val="20"/>
                <w:szCs w:val="20"/>
                <w:color w:val="auto"/>
              </w:rPr>
            </w:pPr>
            <w:r>
              <w:rPr>
                <w:rFonts w:ascii="Arial" w:cs="Arial" w:eastAsia="Arial" w:hAnsi="Arial"/>
                <w:sz w:val="18"/>
                <w:szCs w:val="18"/>
                <w:color w:val="auto"/>
                <w:w w:val="87"/>
              </w:rPr>
              <w:t>5.5</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2240" w:type="dxa"/>
            <w:vAlign w:val="bottom"/>
            <w:tcBorders>
              <w:left w:val="single" w:sz="8" w:color="auto"/>
              <w:bottom w:val="single" w:sz="8" w:color="auto"/>
            </w:tcBorders>
            <w:gridSpan w:val="4"/>
          </w:tcPr>
          <w:p>
            <w:pPr>
              <w:jc w:val="center"/>
              <w:ind w:left="1120"/>
              <w:spacing w:after="0"/>
              <w:rPr>
                <w:sz w:val="20"/>
                <w:szCs w:val="20"/>
                <w:color w:val="auto"/>
              </w:rPr>
            </w:pPr>
            <w:r>
              <w:rPr>
                <w:rFonts w:ascii="Arial" w:cs="Arial" w:eastAsia="Arial" w:hAnsi="Arial"/>
                <w:sz w:val="18"/>
                <w:szCs w:val="18"/>
                <w:color w:val="auto"/>
                <w:w w:val="93"/>
              </w:rPr>
              <w:t>p=0.18</w:t>
            </w: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center"/>
              <w:ind w:left="1104"/>
              <w:spacing w:after="0"/>
              <w:rPr>
                <w:sz w:val="20"/>
                <w:szCs w:val="20"/>
                <w:color w:val="auto"/>
              </w:rPr>
            </w:pPr>
            <w:r>
              <w:rPr>
                <w:rFonts w:ascii="Arial" w:cs="Arial" w:eastAsia="Arial" w:hAnsi="Arial"/>
                <w:sz w:val="18"/>
                <w:szCs w:val="18"/>
                <w:color w:val="auto"/>
                <w:w w:val="91"/>
              </w:rPr>
              <w:t>p=0.003</w:t>
            </w: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When cross over patients are removed, median OS in patients with gpNMB over-expression is 10.0 months for glembatumumab vedotin vs 5.2 months for IC (p=0.05) and median OS in triple negative patients with gpNMB over- expression is 10.0 months for glembatumumab vedotin vs 5.2 months for IC (p=0.009).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December 2013, we initiated METRIC, a randomized, controlled study of glembatumumab vedotin in patients with triple negative breast cancer that over-express gpNMB designed to obtain accelerated approval. METRIC will be conducted in approximately 100 sites, primarily across the United States with additional sites in Canada and Australia and will enroll approximately 300 patients.</w:t>
      </w:r>
    </w:p>
    <w:p>
      <w:pPr>
        <w:spacing w:after="0" w:line="17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b w:val="1"/>
          <w:bCs w:val="1"/>
          <w:color w:val="auto"/>
        </w:rPr>
        <w:t xml:space="preserve">Treatment of Metastatic Melanoma: </w:t>
      </w:r>
      <w:r>
        <w:rPr>
          <w:rFonts w:ascii="Arial" w:cs="Arial" w:eastAsia="Arial" w:hAnsi="Arial"/>
          <w:sz w:val="16"/>
          <w:szCs w:val="16"/>
          <w:color w:val="auto"/>
        </w:rPr>
        <w:t>The Phase 1/2 open-label, multi-center, dose escalation study evaluated the safety, tolerability and</w:t>
      </w:r>
      <w:r>
        <w:rPr>
          <w:rFonts w:ascii="Arial" w:cs="Arial" w:eastAsia="Arial" w:hAnsi="Arial"/>
          <w:sz w:val="16"/>
          <w:szCs w:val="16"/>
          <w:b w:val="1"/>
          <w:bCs w:val="1"/>
          <w:color w:val="auto"/>
        </w:rPr>
        <w:t xml:space="preserve"> </w:t>
      </w:r>
      <w:r>
        <w:rPr>
          <w:rFonts w:ascii="Arial" w:cs="Arial" w:eastAsia="Arial" w:hAnsi="Arial"/>
          <w:sz w:val="16"/>
          <w:szCs w:val="16"/>
          <w:color w:val="auto"/>
        </w:rPr>
        <w:t>pharmacokinetics of glembatumumab vedotin in 117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Glembatumumab vedotin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6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is currently exploring conducting additional clinical studies in indications known to express gpNMB. Phase 2 studies in melanoma and squamous cell lung cancer are expected to initiate in the second half of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Varlilumab is a human monoclonal antibody that targets CD27, a potentially important target for immunotherapy of various cancers. We have entered into license agreements with the University of Southampton, UK for intellectual property related to uses of anti-CD27 antibodies and with Medarex (now a subsidiary of the Bristol-Myers Squibb Company) for access to the UltiMab technology to develop and commercialize human antibodies to CD27. In July 2013, the United States Patent and Trademark Office issued a patent to the University of Southampton, that we have exclusive license to under our license agreement, which broadly supports varlilumab. The patent includes 18 claims covering various methods of treating cancer using agonistic anti-human CD27 antibodies and relates, among other things, directly to our CD27 antibody program and therapeutic uses of varlilumab.</w:t>
      </w:r>
    </w:p>
    <w:p>
      <w:pPr>
        <w:spacing w:after="0" w:line="16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CD27 acts downstream from CD40 and may provide a novel way to regulate the immune responses. CD27 is a co-stimulatory molecule on T cells and is over-expressed in certain lymphomas and leukemias. Varlilumab is an agonist antibody designed to have two potential therapeutic mechanisms. Varlilumab has been shown to activate immune cells that can target and eliminate cancerous cells in tumor-bearing mice and to directly kill or inhibit the growth of CD27 expressing lymphomas and leukemias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Both mechanisms have been seen even at low doses in appropriate preclinical models.</w:t>
      </w:r>
    </w:p>
    <w:p>
      <w:pPr>
        <w:spacing w:after="0" w:line="18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November 2013, we announced data from our ongoing open label, dose-escalating Phase 1 study of varlilumab in patients with selected malignant solid tumors or hematologic cancers at multiple clinical sites in the United States. The Phase 1 study is designed to test five escalating doses of varlilumab to determine a Phase 2 dose for further development based on safety, tolerability, potential activity and immunogenicity. The results suggest a favorable safety profile with no evidence of immune related toxicities. Clear biologic activity and promising signs of clinical activity were demonstrated in an advanced, refractory patient population including a complete response in Hodgkin disease, two additional patients with significant tumor shrinkage and eight patients with stable disease or better (PFS range of 3.0 to 14+ months). No maximum tolerated dose was reached to date and immune monitoring data in patients</w:t>
      </w:r>
    </w:p>
    <w:p>
      <w:pPr>
        <w:sectPr>
          <w:pgSz w:w="11900" w:h="16838" w:orient="portrait"/>
          <w:cols w:equalWidth="0" w:num="1">
            <w:col w:w="11420"/>
          </w:cols>
          <w:pgMar w:left="240" w:top="125" w:right="239" w:bottom="0" w:gutter="0" w:footer="0" w:header="0"/>
        </w:sectPr>
      </w:pPr>
    </w:p>
    <w:bookmarkStart w:id="12" w:name="page13"/>
    <w:bookmarkEnd w:id="12"/>
    <w:p>
      <w:pPr>
        <w:ind w:right="240"/>
        <w:spacing w:after="0" w:line="264" w:lineRule="auto"/>
        <w:rPr>
          <w:sz w:val="20"/>
          <w:szCs w:val="20"/>
          <w:color w:val="auto"/>
        </w:rPr>
      </w:pPr>
      <w:r>
        <w:rPr>
          <w:rFonts w:ascii="Arial" w:cs="Arial" w:eastAsia="Arial" w:hAnsi="Arial"/>
          <w:sz w:val="18"/>
          <w:szCs w:val="18"/>
          <w:color w:val="auto"/>
        </w:rPr>
        <w:t>confirmed varlilumab’s mechanism of action. Expansion cohorts have been enrolling in metastatic melanoma and renal cell carcinoma and are planned in hematologic indications with initial data anticipated in mid-2014. We intend to initiate new studies of varlilumab in combination with various agents in the second half of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 generating robust immune responses against cancer cells expressing NY- 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6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Phase 1 study assessed the safety, immunogenicity and clinical activity of escalating doses of CDX-1401 with TLR agonists (resiquimod and/or Poly ICLC in 45 patients with advanced malignancies refractory to all available therapies. 60% of patients had confirmed NY-ESO expression in archived tumor sample. Thirteen patients maintained stable disease for up to 13.4 months with 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median of 6.7 months. Treatment was well-tolerated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Long-term patient follow up suggested that treatment with CDX-1401 may predispose patients to better outcomes on subsequent therapy with checkpoint inhibitors. Of the 45 patients in the Phase 1 study, eight went on to receive subsequent therapy of either ipilimumab or an investigational checkpoint inhibitor and six of these patients had objective tumor regression. Six patients with melanoma received ipilimumab within three months of treatment with CDX-1401 and four (67%) had objective tumor responses, including one complete response, which compares favorably to the overall response rate of 11% previously reported in metastatic melanoma patients treated with single-agent ipilimumab. In addition, two patients with non-small cell lung cancer received an investigational checkpoint blockade within two months of completing treatment with CDX-1401 and both achieved partial responses.</w:t>
      </w:r>
    </w:p>
    <w:p>
      <w:pPr>
        <w:spacing w:after="0" w:line="16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Phase 1 study has identified a well-tolerated and immunogenic regimen to take forward into the future studies. We are planning to initiate a Phase 1/2 study of varlilumab and ipilimumab (and potentially other checkpoint inhibitors) plus CDX-1401 in NY-ESO+ patients with metastatic melanoma in the second half of 2014. In addition, Celldex will provide support for a collaborative Phase 2 study of CDX-1401 in combination with CDX-301 in metastatic melanoma. This study will be conducted by the Cancer Immunotherapy Trials Network under a cooperative research and development agreement, or CRADA, with the Cancer Therapy Evaluation Program of the National Cancer Institute.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CDX-301 is a FMS-like tyrosine kinase 3 ligand, or Flt3L, stem cell mobilizer and dendritic cell growth factor. We licensed CDX-301 from Amgen Inc.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73"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well-tolerated and can effectively mobilize hematopoietic stem cell populations in healthy volunteers. In December 2013, we announced data from a preclinical combination study of CDX-301and Mozobil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(Plerixafor injection, formerly AMD3100) demonstrating that the combination of these agents significantly increases hematopoietic stem cell mobilization in mice. The data demonstrate a novel potent cell mobilization regimen combining CDX-301 and Mozobil</w:t>
      </w:r>
      <w:r>
        <w:rPr>
          <w:rFonts w:ascii="Arial" w:cs="Arial" w:eastAsia="Arial" w:hAnsi="Arial"/>
          <w:sz w:val="22"/>
          <w:szCs w:val="22"/>
          <w:color w:val="auto"/>
          <w:vertAlign w:val="superscript"/>
        </w:rPr>
        <w:t>®</w:t>
      </w:r>
      <w:r>
        <w:rPr>
          <w:rFonts w:ascii="Arial" w:cs="Arial" w:eastAsia="Arial" w:hAnsi="Arial"/>
          <w:sz w:val="17"/>
          <w:szCs w:val="17"/>
          <w:color w:val="auto"/>
        </w:rPr>
        <w:t>, which may have significant potential for use in autologous and allogeneic hematopoietic stem cell transplantation. Based on the safety profile and the clinical and preclinical data to date, we plan to initiate a pilot clinical study of CDX-301 as a single-agent and in combination with Mozobil in the transplant setting in the third quarter of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CDX-014 is a fully-human monoclonal ADC that targets TIM-1, a molecule that is upregulated in several cancers, including renal cell and ovarian carcinomas. It is associated with kidney injury and the shedding of its ectodomain is a predictive biomarker for tumor progression. TIM-1 has very restricted expression in healthy tissues, making it a promising target for antibody mediated therapy. The antibody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have established preclinical proof-of-concept and are completing manufacturing and IND-enabling studies to support the initiation of Phase 1 clinical studies in renal cell carcinoma and potentially other TIM-1 expressing tumors in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critical accounting policies are more fully described in Note 2 to our consolidated financial statements included in our Annual Report on Form 10-K for the year ended December 31, 2013 and there have been no material changes to such critical accounting policies. We believe our most critical accounting policies include accounting for business combinations, revenue recognition, impairment of long-lived assets, research and development expenses and stock-based compensation expense.</w:t>
      </w:r>
    </w:p>
    <w:p>
      <w:pPr>
        <w:sectPr>
          <w:pgSz w:w="11900" w:h="16838" w:orient="portrait"/>
          <w:cols w:equalWidth="0" w:num="1">
            <w:col w:w="11400"/>
          </w:cols>
          <w:pgMar w:left="240" w:top="125" w:right="259" w:bottom="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25" w:right="259" w:bottom="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compared with Three Months Ended March 31,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3"/>
              </w:rPr>
              <w:t>2013</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53"/>
              <w:spacing w:after="0" w:line="142"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331</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(2,334)</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27,070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12,980</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Royalty</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(2,334)</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1,444</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Operating Loss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14,088</w:t>
            </w:r>
          </w:p>
        </w:tc>
        <w:tc>
          <w:tcPr>
            <w:tcW w:w="3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1,207</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(310)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(29,903</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(17,332</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$12.6 million increase in net loss for the three months ended March 31, 2014 compared to the three months ended March 31, 2013 was primarily the result of an increase in research and development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The $0.3 million increase in contracts and grants revenue for the three months ended March 31, 2014 compared to the three months ended March 31, 2013 was primarily related to our Rockefeller University agreement pursuant to which we perform research and development services for Rockefeller. The agreement includes an approved project plan for the development services of $4.8 million and a term of three years. The $2.3 million decrease in product royalty revenue for the three months ended March 31, 2014 compared to the three months ended March 31, 2013 was due to the termination of our agreement with GlaxoSmithKline plc upon the expiration of the last relevant patent right covered by the agreement. The terminated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Paul Royalty Fund II, L.P. had been equal to the amount payable to Cincinnati Children’s Hospital Medical Center and recognized as royalty expense by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product candidates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jc w:val="center"/>
              <w:ind w:right="577"/>
              <w:spacing w:after="0"/>
              <w:rPr>
                <w:sz w:val="20"/>
                <w:szCs w:val="20"/>
                <w:color w:val="auto"/>
              </w:rPr>
            </w:pPr>
            <w:r>
              <w:rPr>
                <w:rFonts w:ascii="Arial" w:cs="Arial" w:eastAsia="Arial" w:hAnsi="Arial"/>
                <w:sz w:val="14"/>
                <w:szCs w:val="14"/>
                <w:b w:val="1"/>
                <w:bCs w:val="1"/>
                <w:color w:val="auto"/>
                <w:w w:val="92"/>
              </w:rPr>
              <w:t>Increase/</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Increase/</w:t>
            </w:r>
          </w:p>
        </w:tc>
        <w:tc>
          <w:tcPr>
            <w:tcW w:w="48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279"/>
              <w:spacing w:after="0"/>
              <w:rPr>
                <w:sz w:val="20"/>
                <w:szCs w:val="20"/>
                <w:color w:val="auto"/>
              </w:rPr>
            </w:pPr>
            <w:r>
              <w:rPr>
                <w:rFonts w:ascii="Arial" w:cs="Arial" w:eastAsia="Arial" w:hAnsi="Arial"/>
                <w:sz w:val="14"/>
                <w:szCs w:val="14"/>
                <w:b w:val="1"/>
                <w:bCs w:val="1"/>
                <w:color w:val="auto"/>
                <w:w w:val="95"/>
              </w:rPr>
              <w:t>March 31,</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jc w:val="center"/>
              <w:ind w:right="577"/>
              <w:spacing w:after="0"/>
              <w:rPr>
                <w:sz w:val="20"/>
                <w:szCs w:val="20"/>
                <w:color w:val="auto"/>
              </w:rPr>
            </w:pPr>
            <w:r>
              <w:rPr>
                <w:rFonts w:ascii="Arial" w:cs="Arial" w:eastAsia="Arial" w:hAnsi="Arial"/>
                <w:sz w:val="14"/>
                <w:szCs w:val="14"/>
                <w:b w:val="1"/>
                <w:bCs w:val="1"/>
                <w:color w:val="auto"/>
                <w:w w:val="89"/>
              </w:rPr>
              <w:t>(Decrease)</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(Decrease)</w:t>
            </w:r>
          </w:p>
        </w:tc>
        <w:tc>
          <w:tcPr>
            <w:tcW w:w="48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577"/>
              <w:spacing w:after="0" w:line="142" w:lineRule="exact"/>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14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4,460</w:t>
            </w:r>
          </w:p>
        </w:tc>
        <w:tc>
          <w:tcPr>
            <w:tcW w:w="10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3,783</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677</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Laboratory Supplies</w:t>
            </w: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824</w:t>
            </w:r>
          </w:p>
        </w:tc>
        <w:tc>
          <w:tcPr>
            <w:tcW w:w="10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711</w:t>
            </w:r>
          </w:p>
        </w:tc>
        <w:tc>
          <w:tcPr>
            <w:tcW w:w="480" w:type="dxa"/>
            <w:vAlign w:val="bottom"/>
          </w:tcPr>
          <w:p>
            <w:pPr>
              <w:spacing w:after="0"/>
              <w:rPr>
                <w:sz w:val="18"/>
                <w:szCs w:val="18"/>
                <w:color w:val="auto"/>
              </w:rPr>
            </w:pPr>
          </w:p>
        </w:tc>
        <w:tc>
          <w:tcPr>
            <w:tcW w:w="1340" w:type="dxa"/>
            <w:vAlign w:val="bottom"/>
          </w:tcPr>
          <w:p>
            <w:pPr>
              <w:jc w:val="right"/>
              <w:ind w:right="237"/>
              <w:spacing w:after="0"/>
              <w:rPr>
                <w:sz w:val="20"/>
                <w:szCs w:val="20"/>
                <w:color w:val="auto"/>
              </w:rPr>
            </w:pPr>
            <w:r>
              <w:rPr>
                <w:rFonts w:ascii="Arial" w:cs="Arial" w:eastAsia="Arial" w:hAnsi="Arial"/>
                <w:sz w:val="18"/>
                <w:szCs w:val="18"/>
                <w:color w:val="auto"/>
              </w:rPr>
              <w:t>113</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1,200</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1,118</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82</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License Fees</w:t>
            </w: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2,610</w:t>
            </w:r>
          </w:p>
        </w:tc>
        <w:tc>
          <w:tcPr>
            <w:tcW w:w="10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480" w:type="dxa"/>
            <w:vAlign w:val="bottom"/>
          </w:tcPr>
          <w:p>
            <w:pPr>
              <w:spacing w:after="0"/>
              <w:rPr>
                <w:sz w:val="18"/>
                <w:szCs w:val="18"/>
                <w:color w:val="auto"/>
              </w:rPr>
            </w:pPr>
          </w:p>
        </w:tc>
        <w:tc>
          <w:tcPr>
            <w:tcW w:w="1340" w:type="dxa"/>
            <w:vAlign w:val="bottom"/>
          </w:tcPr>
          <w:p>
            <w:pPr>
              <w:jc w:val="right"/>
              <w:ind w:right="237"/>
              <w:spacing w:after="0"/>
              <w:rPr>
                <w:sz w:val="20"/>
                <w:szCs w:val="20"/>
                <w:color w:val="auto"/>
              </w:rPr>
            </w:pPr>
            <w:r>
              <w:rPr>
                <w:rFonts w:ascii="Arial" w:cs="Arial" w:eastAsia="Arial" w:hAnsi="Arial"/>
                <w:sz w:val="18"/>
                <w:szCs w:val="18"/>
                <w:color w:val="auto"/>
              </w:rPr>
              <w:t>2,541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3,683%</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0"/>
              </w:rPr>
              <w:t>17,153</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7,815</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9,338</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w:t>
            </w:r>
          </w:p>
        </w:tc>
        <w:tc>
          <w:tcPr>
            <w:tcW w:w="48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19</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Personnel expenses primarily include salary, benefits, stock-based compensation, payroll taxes and recruiting costs. The $0.7 million increase in personnel expenses for the three months ended March 31, 2014 compared to the three months ended March 31, 2013 was primarily due to higher stock-based compensation of $0.2 million and increased headcount. We expect personnel expenses to increase over the next twelve months as we plan to continue to increase our headcount, primarily to support our rindopepimut and glembatumumab vedotin programs.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Laboratory supply expenses include laboratory materials and supplies, services, and other related expenses incurred in the development of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technology. The $0.1 million increase in laboratory supply expense for the three months ended March 31, 2014 compared to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2013 was primarily due to higher manufacturing supply purchases. We expect supply expenses to remain relatively consistent over the next twelve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although there may be fluctuations on a quarterly basis.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Facility expenses include depreciation, amortization, utilities, rent, maintenance, and other related expenses incurred at our facilities. The</w:t>
      </w:r>
    </w:p>
    <w:p>
      <w:pPr>
        <w:spacing w:after="0" w:line="3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$0.1 million increase in facility expenses for the three months ended March 31, 2014 compared to the three months ended March 31, 2013 was primarily due to an increase in amortization expense related to the leasehold improvements made at our headquarters facility in Hampton, New Jersey. We expect facility expenses to remain relatively consistent over the next twelve months, although there may be fluctuations on a quarterly basis.</w:t>
      </w:r>
    </w:p>
    <w:p>
      <w:pPr>
        <w:sectPr>
          <w:pgSz w:w="11900" w:h="16838" w:orient="portrait"/>
          <w:cols w:equalWidth="0" w:num="1">
            <w:col w:w="11460"/>
          </w:cols>
          <w:pgMar w:left="240" w:top="517" w:right="199" w:bottom="0" w:gutter="0" w:footer="0" w:header="0"/>
        </w:sectPr>
      </w:pPr>
    </w:p>
    <w:bookmarkStart w:id="14" w:name="page15"/>
    <w:bookmarkEnd w:id="14"/>
    <w:p>
      <w:pPr>
        <w:ind w:right="60" w:firstLine="648"/>
        <w:spacing w:after="0" w:line="312" w:lineRule="auto"/>
        <w:rPr>
          <w:sz w:val="20"/>
          <w:szCs w:val="20"/>
          <w:color w:val="auto"/>
        </w:rPr>
      </w:pPr>
      <w:r>
        <w:rPr>
          <w:rFonts w:ascii="Arial" w:cs="Arial" w:eastAsia="Arial" w:hAnsi="Arial"/>
          <w:sz w:val="16"/>
          <w:szCs w:val="16"/>
          <w:color w:val="auto"/>
        </w:rPr>
        <w:t>License fee expenses include annual license maintenance fees and milestone payments due upon the achievement of certain development, regulatory and/or commercial milestones. The $2.5 million increase in license fee expenses for the three months ended March 31, 2014 compared to the three months ended March 31, 2013 was due to the one-time $2.5 million milestone incurred and paid to Seattle Genetics as a result of the METRIC initiation.</w:t>
      </w:r>
    </w:p>
    <w:p>
      <w:pPr>
        <w:spacing w:after="0" w:line="14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Product development expenses include clinical investigator site fees, external trial monitoring costs, data accumulation costs, contracted research and outside clinical drug product manufacturing. The $9.3 million increase in product development expenses for the three months ended March 31, 2014 compared to the three months ended March 31, 2013 was primarily the result of an increase in clinical trial costs and contract manufacturing of $6.3 million and $2.9 million, respectively, primarily related to our rindopepimut and glembatumumab vedotin programs. We expect product development expenses to increase over the next twelve months primarily due to the increase in clinical trial and contract manufacturing expenses related to our rindopepimut and glembatumumab vedotin programs, although there may be fluctuations on a quarterly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$2.3 million decrease in royalty expense for the three months ended March 31, 2014 compared to the three months ended March 31, 2013 was due to the termination of our agreement with GlaxoSmithKline plc upon the expiration of the last relevant patent right covered by the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$1.4 million increase in general and administrative expenses for the three months ended March 31, 2014 compared to the three months ended March 31, 2013 was primarily due to higher stock-based compensation of $0.4 million, increased headcount and rindopepimut and glembatumumab vedotin commercial planning costs. We expect general and administrative expense to increase over the next twelve months primarily due to increased commercial planning efforts for rindopepimut and glembatumumab vedotin, although there may be fluctuations on a quarterly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expenses for the three months ended March 31, 2014 were relatively consistent compared to the three months ended March 31,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amortization expense of acquired intangible assets to remain relatively consistent over the next twelve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$1.2 million increase in investment and other income, net for the three months ended March 31, 2014 compared to the three months ended March 31, 2013 was primarily due to $1.0 million received in February 2014 in connection with our TopoTarget agreement and us recognizing $0.4 million and $0.2 million in other income related to the sale of New Jersey tax benefits during the three months ended March 31, 2014 and 2013, respectively. Under our agreement with TopoTarget, we could receive commercial milestone payments related to future net sales of Belinostat or 10% of any sublicense income received by TopoTarget. We have no financial and operational responsibility for the clinical development of Belinostat under our agreement with TopoTarget. There are $2.0 million in potential payments remaining that we could receive under our agreement with TopoTarget. We anticipate investment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0"/>
        <w:spacing w:after="0" w:line="277" w:lineRule="auto"/>
        <w:rPr>
          <w:sz w:val="20"/>
          <w:szCs w:val="20"/>
          <w:color w:val="auto"/>
        </w:rPr>
      </w:pPr>
      <w:r>
        <w:rPr>
          <w:rFonts w:ascii="Arial" w:cs="Arial" w:eastAsia="Arial" w:hAnsi="Arial"/>
          <w:sz w:val="18"/>
          <w:szCs w:val="18"/>
          <w:color w:val="auto"/>
        </w:rPr>
        <w:t>income to increase over the next twelve months due to higher cash and investment balances resulting from our underwritten public offering in December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$0.3 million decrease in interest expense for the three months ended March 31, 2014 compared to the three months ended March 31, 2013 was primarily due to our election in May 2013 to prepay our term loan in full, pursuant to the terms of our loan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jc w:val="both"/>
        <w:ind w:right="80" w:firstLine="648"/>
        <w:spacing w:after="0" w:line="297"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5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At March 31, 2014, our principal sources of liquidity consisted of cash, cash equivalents and marketable securities of $274.2 million. We incurred a loss of $29.9 million for the three months ended March 31, 2014. Net cash used in operations for the three months ended March 31, 2014 was $31.9 million. We believe that the cash, cash equivalents and marketable securities at March 31, 2014 are sufficient to meet estimated working capital requirements and fund planned operations for more than the next two years.</w:t>
      </w:r>
    </w:p>
    <w:p>
      <w:pPr>
        <w:spacing w:after="0" w:line="18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During the next twelve months, we may take further steps to raise additional capital to meet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w:t>
      </w:r>
    </w:p>
    <w:p>
      <w:pPr>
        <w:sectPr>
          <w:pgSz w:w="11900" w:h="16838" w:orient="portrait"/>
          <w:cols w:equalWidth="0" w:num="1">
            <w:col w:w="11420"/>
          </w:cols>
          <w:pgMar w:left="240" w:top="125" w:right="239" w:bottom="0" w:gutter="0" w:footer="0" w:header="0"/>
        </w:sectPr>
      </w:pPr>
    </w:p>
    <w:bookmarkStart w:id="15" w:name="page16"/>
    <w:bookmarkEnd w:id="15"/>
    <w:p>
      <w:pPr>
        <w:ind w:right="320"/>
        <w:spacing w:after="0" w:line="277" w:lineRule="auto"/>
        <w:rPr>
          <w:sz w:val="20"/>
          <w:szCs w:val="20"/>
          <w:color w:val="auto"/>
        </w:rPr>
      </w:pPr>
      <w:r>
        <w:rPr>
          <w:rFonts w:ascii="Arial" w:cs="Arial" w:eastAsia="Arial" w:hAnsi="Arial"/>
          <w:sz w:val="18"/>
          <w:szCs w:val="18"/>
          <w:color w:val="auto"/>
        </w:rPr>
        <w:t>cash payment obligations and covenants that restrict our ability to operate as a business; and licensing or strategic collaborations may result in royalties or other terms which reduce our economic potential from products under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Net cash used in operating activities was $31.9 million for the three months ended March 31, 2014 compared to $17.2 million for the three months ended March 31, 2013. The increase in net cash used in operating activities was primarily due to an increase in net loss of $12.6 million. We expect that cash used in operating activities will increase over the next twelve months primarily related to costs incurred on our rindopepimut and glembatumumab vedotin programs.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studies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Net cash used in investing activities was $81.3 million for the three months ended March 31, 2014 compared to $46.6 million for the three months ended March 31, 2013. The increase in net cash used in investing activities was primarily due to $81.1 million of net purchases of marketable securities for the three months ended March 31, 2014 compared to $46.4 million for the three months ended March 31, 2013.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Net cash provided by financing activities was $0.7 million for the three months ended March 31, 2014 compared to $114.5 million for the three months ended March 31, 2013. Net proceeds from stock issuances, including stock issued pursuant to employee benefit plans, were $0.7 million during the three months ended March 31, 2014 compared to $115.8 million for the three months ended March 31, 2013. We paid $1.3 million in principal payments on our term loan during the three months ended March 31, 2013. In May 2013, we elected to prepay our term loan in full, pursuant to the terms of our loan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During the three months ended March 31, 2013, we issued 2,433,608 shares of our common stock under our controlled equity offering sales agreement with Cantor Fitzgerald &amp; Co., as amended, resulting in net proceeds to us of $17.1 million, after deducting commission and offering expenses.</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three months ended March 31, 2013, we issued 13,800,000 shares of our common stock in an underwritten public offering resulting in net proceeds to us of $97.0 million, after deducting underwriting fees and offering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 for the year ended December 31, 2013 which was filed with the SEC on March 3, 2014 have not materially changed since we filed that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Refer to Note 2, “Significant Accounting Policies,” in the accompanying notes to the condensed consolidated financial statements for a discussion of recent accounting pronouncements.</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March 31, 2014 due to the short-term maturities of these instruments.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ectPr>
          <w:pgSz w:w="11900" w:h="16838" w:orient="portrait"/>
          <w:cols w:equalWidth="0" w:num="1">
            <w:col w:w="11420"/>
          </w:cols>
          <w:pgMar w:left="240" w:top="125" w:right="239" w:bottom="32" w:gutter="0" w:footer="0" w:header="0"/>
        </w:sectPr>
      </w:pPr>
    </w:p>
    <w:bookmarkStart w:id="16" w:name="page17"/>
    <w:bookmarkEnd w:id="16"/>
    <w:p>
      <w:pPr>
        <w:spacing w:after="0" w:line="10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March 31, 2014,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2014.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2014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2013,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3,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10520" w:type="dxa"/>
            <w:vAlign w:val="bottom"/>
            <w:gridSpan w:val="2"/>
          </w:tcPr>
          <w:p>
            <w:pPr>
              <w:ind w:left="4680"/>
              <w:spacing w:after="0"/>
              <w:rPr>
                <w:sz w:val="20"/>
                <w:szCs w:val="20"/>
                <w:color w:val="auto"/>
              </w:rPr>
            </w:pPr>
            <w:r>
              <w:rPr>
                <w:rFonts w:ascii="Arial" w:cs="Arial" w:eastAsia="Arial" w:hAnsi="Arial"/>
                <w:sz w:val="18"/>
                <w:szCs w:val="18"/>
                <w:color w:val="auto"/>
              </w:rPr>
              <w:t>23</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r>
      <w:tr>
        <w:trPr>
          <w:trHeight w:val="523"/>
        </w:trPr>
        <w:tc>
          <w:tcPr>
            <w:tcW w:w="114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r>
      <w:tr>
        <w:trPr>
          <w:trHeight w:val="20"/>
        </w:trPr>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453"/>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2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940" w:type="dxa"/>
            <w:vAlign w:val="bottom"/>
          </w:tcPr>
          <w:p>
            <w:pPr>
              <w:ind w:left="180"/>
              <w:spacing w:after="0"/>
              <w:rPr>
                <w:sz w:val="20"/>
                <w:szCs w:val="20"/>
                <w:color w:val="auto"/>
              </w:rPr>
            </w:pPr>
            <w:r>
              <w:rPr>
                <w:rFonts w:ascii="Arial" w:cs="Arial" w:eastAsia="Arial" w:hAnsi="Arial"/>
                <w:sz w:val="18"/>
                <w:szCs w:val="18"/>
                <w:color w:val="auto"/>
              </w:rPr>
              <w:t>3.1</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w w:val="98"/>
              </w:rPr>
              <w:t>Third Restated Certificate of Incorporation of the Company, incorporated by reference to Exhibit 3.1 of the Company’s Registration</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3.2</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w w:val="96"/>
              </w:rPr>
              <w:t>Certificate of Amendment of Third Restated Certificate of Incorporation of the Company, incorporated by reference to Exhibit 3.1 of the</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w w:val="93"/>
              </w:rPr>
              <w:t>Company’s Registration Statement on Form S-4 (Reg. No. 333-59215), filed July 16, 1998 with the Securities and Exchange Commission.</w:t>
            </w: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3.3</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 of</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the Company’s Registration Statement on Form S-4 (Reg. No. 333-59215), filed July 16, 1998 with the Securities and Exchange</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Commission.</w:t>
            </w: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3.4</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w w:val="94"/>
              </w:rPr>
              <w:t>Third Certificate of Amendment of Third Restated Certificate of Incorporation of the Company, incorporated by reference to Exhibit 3.1 of</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3.5</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 of</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3.6</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w w:val="92"/>
              </w:rPr>
              <w:t>Fifth Certificate of Amendment of Third Restated Certificate of Incorporation of the Company, incorporated by reference to Exhibit 3.2 of the</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Company’s Current Report on Form 8-K, filed on March 11, 2008 with the Securities and Exchange Commission.</w:t>
            </w: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3.7</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w w:val="94"/>
              </w:rPr>
              <w:t>Sixth Certificate of Amendment of Third Restated Certificate of Incorporation of the Company, incorporated by reference to Exhibit 3.7 of</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4.3</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w w:val="92"/>
              </w:rPr>
              <w:t>Amendment No. 2 to Shareholder Rights Agreement dated November 5, 2004, between the Company and Computershare Trust Company,</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w w:val="93"/>
              </w:rPr>
              <w:t>N.A. (formerly EquiServe Trust Company, N.A.), as Rights Agent, incorporated by reference to Exhibit 10.1 of the Company’s Registration</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Statement on Form 8-A1G/A, filed on March 7, 2008 with the Securities and Exchange Commission.</w:t>
            </w: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*31.1</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*31.2</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**32.1</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Section 1350 Certifications</w:t>
            </w: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101.1+</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XBRL Instance Document.</w:t>
            </w: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101.2+</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101.3+</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101.4+</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101.5+</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40" w:type="dxa"/>
            <w:vAlign w:val="bottom"/>
          </w:tcPr>
          <w:p>
            <w:pPr>
              <w:ind w:left="180"/>
              <w:spacing w:after="0"/>
              <w:rPr>
                <w:sz w:val="20"/>
                <w:szCs w:val="20"/>
                <w:color w:val="auto"/>
              </w:rPr>
            </w:pPr>
            <w:r>
              <w:rPr>
                <w:rFonts w:ascii="Arial" w:cs="Arial" w:eastAsia="Arial" w:hAnsi="Arial"/>
                <w:sz w:val="18"/>
                <w:szCs w:val="18"/>
                <w:color w:val="auto"/>
              </w:rPr>
              <w:t>101.6+</w:t>
            </w:r>
          </w:p>
        </w:tc>
        <w:tc>
          <w:tcPr>
            <w:tcW w:w="1052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-4503420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-4503420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180" w:hanging="992"/>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180" w:hanging="992"/>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1180" w:right="180" w:hanging="992"/>
        <w:spacing w:after="0" w:line="261"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942" w:orient="portrait"/>
          <w:cols w:equalWidth="0" w:num="1">
            <w:col w:w="11460"/>
          </w:cols>
          <w:pgMar w:left="240" w:top="125" w:right="199" w:bottom="0" w:gutter="0" w:footer="0" w:header="0"/>
        </w:sectPr>
      </w:pPr>
    </w:p>
    <w:bookmarkStart w:id="17" w:name="page18"/>
    <w:bookmarkEnd w:id="17"/>
    <w:p>
      <w:pPr>
        <w:ind w:left="57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1, 2014</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1, 2014</w:t>
      </w:r>
      <w:r>
        <w:rPr>
          <w:sz w:val="20"/>
          <w:szCs w:val="20"/>
          <w:color w:val="auto"/>
        </w:rPr>
        <w:tab/>
      </w:r>
      <w:r>
        <w:rPr>
          <w:rFonts w:ascii="Arial" w:cs="Arial" w:eastAsia="Arial" w:hAnsi="Arial"/>
          <w:sz w:val="16"/>
          <w:szCs w:val="16"/>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Treasurer and Chief Financial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80" w:type="dxa"/>
            <w:vAlign w:val="bottom"/>
          </w:tcPr>
          <w:p>
            <w:pPr>
              <w:ind w:left="428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40" w:type="dxa"/>
            <w:vAlign w:val="bottom"/>
            <w:gridSpan w:val="4"/>
          </w:tcPr>
          <w:p>
            <w:pPr>
              <w:spacing w:after="0"/>
              <w:rPr>
                <w:rFonts w:ascii="Arial" w:cs="Arial" w:eastAsia="Arial" w:hAnsi="Arial"/>
                <w:sz w:val="18"/>
                <w:szCs w:val="18"/>
                <w:color w:val="0000EE"/>
                <w:w w:val="92"/>
              </w:rPr>
            </w:pPr>
            <w:hyperlink w:anchor="page1">
              <w:r>
                <w:rPr>
                  <w:rFonts w:ascii="Arial" w:cs="Arial" w:eastAsia="Arial" w:hAnsi="Arial"/>
                  <w:sz w:val="18"/>
                  <w:szCs w:val="18"/>
                  <w:color w:val="0000EE"/>
                  <w:w w:val="92"/>
                </w:rPr>
                <w:t>Table of Contents</w:t>
              </w:r>
            </w:hyperlink>
          </w:p>
        </w:tc>
        <w:tc>
          <w:tcPr>
            <w:tcW w:w="10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120" w:type="dxa"/>
            <w:vAlign w:val="bottom"/>
            <w:gridSpan w:val="2"/>
          </w:tcPr>
          <w:p>
            <w:pPr>
              <w:ind w:left="3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10120" w:type="dxa"/>
            <w:vAlign w:val="bottom"/>
            <w:gridSpan w:val="2"/>
            <w:vMerge w:val="restart"/>
          </w:tcPr>
          <w:p>
            <w:pPr>
              <w:ind w:left="4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10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Third Restated Certificate of Incorporation of the Company, incorporated by reference to Exhibit 3.1 of the Company’s Registration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4"/>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Company’s Registration 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7"/>
              </w:rPr>
              <w:t>3.3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3"/>
              </w:rPr>
              <w:t>Second Certificate of Amendment of Third Restated Certificate of Incorporation of the Company, incorporated by reference to Exhibit 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7"/>
              </w:rPr>
              <w:t>of the Company’s Registration Statement on Form S-4 (Reg. No. 333-59215), filed July 16, 1998 with the Securities and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7"/>
              </w:rPr>
              <w:t>3.4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3"/>
              </w:rPr>
              <w:t>Third Certificate of Amendment of Third Restated Certificate of Incorporation of the Company, incorporated by reference to Exhibit 3.1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7"/>
              </w:rPr>
              <w:t>3.6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3"/>
              </w:rPr>
              <w:t>Fifth Certificate of Amendment of Third Restated Certificate of Incorporation of the Company, incorporated by reference to Exhibit 3.2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7"/>
              </w:rPr>
              <w:t>3.7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3"/>
              </w:rPr>
              <w:t>Sixth Certificate of Amendment of Third Restated Certificate of Incorporation of the Company, incorporated by reference to Exhibit 3.7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1"/>
              </w:rPr>
              <w:t>Amendment No. 2 to Shareholder Rights Agreement dated November 5, 2004, between the Company and Computershare Trust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N.A. (formerly EquiServe Trust Company, N.A.) as Rights Agent, incorporated by reference to Exhibit 10.1 of the Company’s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Statement on Form 8-A1G/A, filed on March 7, 2008 with the Securities and Exchange Commission.</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9"/>
              </w:rPr>
              <w:t>*31.1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Certification of President and Chief Executive Officer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9"/>
              </w:rPr>
              <w:t>*31.2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Section 1350 Certifications</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9"/>
              </w:rPr>
              <w:t>101.1+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9"/>
              </w:rPr>
              <w:t>101.2+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9"/>
              </w:rPr>
              <w:t>101.3+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9"/>
              </w:rPr>
              <w:t>101.4+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9"/>
              </w:rPr>
              <w:t>101.5+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9"/>
              </w:rPr>
              <w:t>101.6+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-4700905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-4700905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40" w:hanging="1152"/>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340" w:hanging="1152"/>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1340" w:right="340" w:hanging="1152"/>
        <w:spacing w:after="0" w:line="290" w:lineRule="auto"/>
        <w:tabs>
          <w:tab w:leader="none" w:pos="1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8" w:name="page19"/>
    <w:bookmarkEnd w:id="18"/>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1, 2014</w:t>
            </w:r>
          </w:p>
        </w:tc>
        <w:tc>
          <w:tcPr>
            <w:tcW w:w="2920" w:type="dxa"/>
            <w:vAlign w:val="bottom"/>
          </w:tcPr>
          <w:p>
            <w:pPr>
              <w:ind w:left="21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540" w:type="dxa"/>
            <w:vAlign w:val="bottom"/>
          </w:tcPr>
          <w:p>
            <w:pPr>
              <w:spacing w:after="0"/>
              <w:rPr>
                <w:sz w:val="16"/>
                <w:szCs w:val="16"/>
                <w:color w:val="auto"/>
              </w:rPr>
            </w:pPr>
          </w:p>
        </w:tc>
        <w:tc>
          <w:tcPr>
            <w:tcW w:w="292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920" w:type="dxa"/>
            <w:vAlign w:val="bottom"/>
          </w:tcPr>
          <w:p>
            <w:pPr>
              <w:ind w:left="21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010101"/>
            </w:tcBorders>
          </w:tcPr>
          <w:p>
            <w:pPr>
              <w:spacing w:after="0"/>
              <w:rPr>
                <w:sz w:val="24"/>
                <w:szCs w:val="24"/>
                <w:color w:val="auto"/>
              </w:rPr>
            </w:pPr>
          </w:p>
        </w:tc>
        <w:tc>
          <w:tcPr>
            <w:tcW w:w="292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38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1, 2014</w:t>
            </w:r>
          </w:p>
        </w:tc>
        <w:tc>
          <w:tcPr>
            <w:tcW w:w="2960" w:type="dxa"/>
            <w:vAlign w:val="bottom"/>
          </w:tcPr>
          <w:p>
            <w:pPr>
              <w:ind w:left="218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540" w:type="dxa"/>
            <w:vAlign w:val="bottom"/>
          </w:tcPr>
          <w:p>
            <w:pPr>
              <w:spacing w:after="0"/>
              <w:rPr>
                <w:sz w:val="16"/>
                <w:szCs w:val="16"/>
                <w:color w:val="auto"/>
              </w:rPr>
            </w:pPr>
          </w:p>
        </w:tc>
        <w:tc>
          <w:tcPr>
            <w:tcW w:w="296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960" w:type="dxa"/>
            <w:vAlign w:val="bottom"/>
          </w:tcPr>
          <w:p>
            <w:pPr>
              <w:ind w:left="218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010101"/>
            </w:tcBorders>
          </w:tcPr>
          <w:p>
            <w:pPr>
              <w:spacing w:after="0"/>
              <w:rPr>
                <w:sz w:val="24"/>
                <w:szCs w:val="24"/>
                <w:color w:val="auto"/>
              </w:rPr>
            </w:pPr>
          </w:p>
        </w:tc>
        <w:tc>
          <w:tcPr>
            <w:tcW w:w="296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1, 2014</w:t>
            </w:r>
          </w:p>
        </w:tc>
        <w:tc>
          <w:tcPr>
            <w:tcW w:w="2960" w:type="dxa"/>
            <w:vAlign w:val="bottom"/>
          </w:tcPr>
          <w:p>
            <w:pPr>
              <w:ind w:left="218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540" w:type="dxa"/>
            <w:vAlign w:val="bottom"/>
          </w:tcPr>
          <w:p>
            <w:pPr>
              <w:spacing w:after="0"/>
              <w:rPr>
                <w:sz w:val="16"/>
                <w:szCs w:val="16"/>
                <w:color w:val="auto"/>
              </w:rPr>
            </w:pPr>
          </w:p>
        </w:tc>
        <w:tc>
          <w:tcPr>
            <w:tcW w:w="296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540" w:type="dxa"/>
            <w:vAlign w:val="bottom"/>
          </w:tcPr>
          <w:p>
            <w:pPr>
              <w:spacing w:after="0"/>
              <w:rPr>
                <w:sz w:val="20"/>
                <w:szCs w:val="20"/>
                <w:color w:val="auto"/>
              </w:rPr>
            </w:pPr>
          </w:p>
        </w:tc>
        <w:tc>
          <w:tcPr>
            <w:tcW w:w="2960" w:type="dxa"/>
            <w:vAlign w:val="bottom"/>
          </w:tcPr>
          <w:p>
            <w:pPr>
              <w:ind w:left="218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1, 2014</w:t>
            </w:r>
          </w:p>
        </w:tc>
        <w:tc>
          <w:tcPr>
            <w:tcW w:w="2960" w:type="dxa"/>
            <w:vAlign w:val="bottom"/>
          </w:tcPr>
          <w:p>
            <w:pPr>
              <w:ind w:left="218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540" w:type="dxa"/>
            <w:vAlign w:val="bottom"/>
          </w:tcPr>
          <w:p>
            <w:pPr>
              <w:spacing w:after="0"/>
              <w:rPr>
                <w:sz w:val="16"/>
                <w:szCs w:val="16"/>
                <w:color w:val="auto"/>
              </w:rPr>
            </w:pPr>
          </w:p>
        </w:tc>
        <w:tc>
          <w:tcPr>
            <w:tcW w:w="296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16"/>
        </w:trPr>
        <w:tc>
          <w:tcPr>
            <w:tcW w:w="3540" w:type="dxa"/>
            <w:vAlign w:val="bottom"/>
          </w:tcPr>
          <w:p>
            <w:pPr>
              <w:spacing w:after="0"/>
              <w:rPr>
                <w:sz w:val="18"/>
                <w:szCs w:val="18"/>
                <w:color w:val="auto"/>
              </w:rPr>
            </w:pPr>
          </w:p>
        </w:tc>
        <w:tc>
          <w:tcPr>
            <w:tcW w:w="2960" w:type="dxa"/>
            <w:vAlign w:val="bottom"/>
          </w:tcPr>
          <w:p>
            <w:pPr>
              <w:ind w:left="218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5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2019-12-05T19:51:34Z</dcterms:created>
  <dcterms:modified xsi:type="dcterms:W3CDTF">2019-12-05T19:51:34Z</dcterms:modified>
</cp:coreProperties>
</file>