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51231x10k.htm"/>
        <w:bookmarkStart w:id="1" w:name="kscldx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6cb4b318_1a53_476f_8d51_81d3b88da444"/>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72" w:right="0" w:hanging="0"/>
        <w:jc w:val="center"/>
        <w:rPr/>
      </w:pPr>
      <w:r>
        <w:rPr/>
        <w:t>​</w:t>
      </w:r>
    </w:p>
    <w:tbl>
      <w:tblPr>
        <w:tblW w:w="10056" w:type="dxa"/>
        <w:jc w:val="left"/>
        <w:tblInd w:w="0" w:type="dxa"/>
        <w:tblLayout w:type="fixed"/>
        <w:tblCellMar>
          <w:top w:w="0" w:type="dxa"/>
          <w:left w:w="0" w:type="dxa"/>
          <w:bottom w:w="0" w:type="dxa"/>
          <w:right w:w="0" w:type="dxa"/>
        </w:tblCellMar>
      </w:tblPr>
      <w:tblGrid>
        <w:gridCol w:w="124"/>
        <w:gridCol w:w="31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61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pBdr/>
        <w:bidi w:val="0"/>
        <w:spacing w:before="0" w:after="0"/>
        <w:ind w:left="360" w:right="0" w:hanging="72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CELLDEX THERAPEUTICS,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B_KPeEvQ1Eq09J4-uW1LmQ_2_1"/>
      <w:bookmarkStart w:id="4" w:name="Tc_Athq4Un0HkqqTxn3BqS5dQ_2_0"/>
      <w:bookmarkStart w:id="5" w:name="_4a9b9fd9_75b2_44e4_83ab_16a90155ab4d"/>
      <w:bookmarkStart w:id="6" w:name="Tc_B_KPeEvQ1Eq09J4-uW1LmQ_2_1"/>
      <w:bookmarkStart w:id="7" w:name="Tc_Athq4Un0HkqqTxn3BqS5dQ_2_0"/>
      <w:bookmarkStart w:id="8" w:name="_4a9b9fd9_75b2_44e4_83ab_16a90155ab4d"/>
      <w:bookmarkEnd w:id="6"/>
      <w:bookmarkEnd w:id="7"/>
      <w:bookmarkEnd w:id="8"/>
    </w:p>
    <w:tbl>
      <w:tblPr>
        <w:tblW w:w="3617" w:type="dxa"/>
        <w:jc w:val="left"/>
        <w:tblInd w:w="0" w:type="dxa"/>
        <w:tblLayout w:type="fixed"/>
        <w:tblCellMar>
          <w:top w:w="0" w:type="dxa"/>
          <w:left w:w="0" w:type="dxa"/>
          <w:bottom w:w="0" w:type="dxa"/>
          <w:right w:w="0" w:type="dxa"/>
        </w:tblCellMar>
      </w:tblPr>
      <w:tblGrid>
        <w:gridCol w:w="2176"/>
        <w:gridCol w:w="144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81760" cy="175260"/>
                      <wp:effectExtent l="0" t="0" r="0" b="0"/>
                      <wp:wrapNone/>
                      <wp:docPr id="1" name="Frame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15035" cy="175260"/>
                      <wp:effectExtent l="0" t="0" r="0" b="0"/>
                      <wp:wrapNone/>
                      <wp:docPr id="2" name="Frame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13-3191702</w:t>
            </w:r>
          </w:p>
        </w:tc>
      </w:tr>
      <w:tr>
        <w:trPr/>
        <w:tc>
          <w:tcPr>
            <w:tcW w:w="21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16"/>
        </w:rPr>
        <w:t>08827</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(908) 200-7500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 w:name="Tc_HIlFDhvNHkSDxKG6yUGKdA_1_4"/>
      <w:bookmarkStart w:id="10" w:name="Tc_CH_PKNIol0STYbB6vBz0vg_0_4"/>
      <w:bookmarkStart w:id="11" w:name="Tc_WZ5LqchLOkWeQFSbequseA_0_2"/>
      <w:bookmarkStart w:id="12" w:name="Tc_2yHX6-ywd0iMUZekHqOljQ_0_0"/>
      <w:bookmarkStart w:id="13" w:name="_a95f6697_2ff8_441a_a189_9dba469cb006"/>
      <w:bookmarkStart w:id="14" w:name="Tc_HIlFDhvNHkSDxKG6yUGKdA_1_4"/>
      <w:bookmarkStart w:id="15" w:name="Tc_CH_PKNIol0STYbB6vBz0vg_0_4"/>
      <w:bookmarkStart w:id="16" w:name="Tc_WZ5LqchLOkWeQFSbequseA_0_2"/>
      <w:bookmarkStart w:id="17" w:name="Tc_2yHX6-ywd0iMUZekHqOljQ_0_0"/>
      <w:bookmarkStart w:id="18" w:name="_a95f6697_2ff8_441a_a189_9dba469cb006"/>
      <w:bookmarkEnd w:id="14"/>
      <w:bookmarkEnd w:id="15"/>
      <w:bookmarkEnd w:id="16"/>
      <w:bookmarkEnd w:id="17"/>
      <w:bookmarkEnd w:id="18"/>
    </w:p>
    <w:tbl>
      <w:tblPr>
        <w:tblW w:w="5870" w:type="dxa"/>
        <w:jc w:val="left"/>
        <w:tblInd w:w="0" w:type="dxa"/>
        <w:tblLayout w:type="fixed"/>
        <w:tblCellMar>
          <w:top w:w="0" w:type="dxa"/>
          <w:left w:w="0" w:type="dxa"/>
          <w:bottom w:w="28" w:type="dxa"/>
          <w:right w:w="0" w:type="dxa"/>
        </w:tblCellMar>
      </w:tblPr>
      <w:tblGrid>
        <w:gridCol w:w="1681"/>
        <w:gridCol w:w="346"/>
        <w:gridCol w:w="1051"/>
        <w:gridCol w:w="346"/>
        <w:gridCol w:w="2446"/>
      </w:tblGrid>
      <w:tr>
        <w:trPr/>
        <w:tc>
          <w:tcPr>
            <w:tcW w:w="16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10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24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Where Registered:</w:t>
            </w:r>
          </w:p>
        </w:tc>
      </w:tr>
      <w:tr>
        <w:trPr/>
        <w:tc>
          <w:tcPr>
            <w:tcW w:w="1681"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Common Stock, par value $.001</w:t>
            </w:r>
          </w:p>
        </w:tc>
        <w:tc>
          <w:tcPr>
            <w:tcW w:w="346" w:type="dxa"/>
            <w:tcBorders/>
            <w:tcMar>
              <w:bottom w:w="0" w:type="dxa"/>
            </w:tcMar>
            <w:vAlign w:val="center"/>
          </w:tcPr>
          <w:p>
            <w:pPr>
              <w:pStyle w:val="TableContents"/>
              <w:bidi w:val="0"/>
              <w:spacing w:before="0" w:after="0"/>
              <w:ind w:left="0" w:right="0" w:hanging="0"/>
              <w:jc w:val="both"/>
              <w:rPr/>
            </w:pPr>
            <w:r>
              <w:rPr/>
              <w:t>​</w:t>
            </w:r>
          </w:p>
        </w:tc>
        <w:tc>
          <w:tcPr>
            <w:tcW w:w="105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CLDX</w:t>
            </w:r>
          </w:p>
        </w:tc>
        <w:tc>
          <w:tcPr>
            <w:tcW w:w="346" w:type="dxa"/>
            <w:tcBorders/>
            <w:tcMar>
              <w:bottom w:w="0" w:type="dxa"/>
            </w:tcMar>
            <w:vAlign w:val="center"/>
          </w:tcPr>
          <w:p>
            <w:pPr>
              <w:pStyle w:val="TableContents"/>
              <w:bidi w:val="0"/>
              <w:spacing w:before="0" w:after="0"/>
              <w:ind w:left="0" w:right="0" w:hanging="0"/>
              <w:jc w:val="both"/>
              <w:rPr/>
            </w:pPr>
            <w:r>
              <w:rPr/>
              <w:t>​</w:t>
            </w:r>
          </w:p>
        </w:tc>
        <w:tc>
          <w:tcPr>
            <w:tcW w:w="244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NASDAQ 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Securities registered pursuant to Section 12(g) of the Act: </w:t>
      </w:r>
      <w:r>
        <w:rPr>
          <w:rFonts w:ascii="Times New Roman;Times;serif" w:hAnsi="Times New Roman;Times;serif"/>
          <w:b/>
          <w:sz w:val="16"/>
        </w:rPr>
        <w:t>None</w:t>
      </w:r>
    </w:p>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firstLine="360"/>
        <w:jc w:val="left"/>
        <w:rPr/>
      </w:pPr>
      <w:r>
        <w:rPr/>
        <w:t>​</w:t>
      </w:r>
    </w:p>
    <w:tbl>
      <w:tblPr>
        <w:tblW w:w="6139" w:type="dxa"/>
        <w:jc w:val="left"/>
        <w:tblInd w:w="0" w:type="dxa"/>
        <w:tblLayout w:type="fixed"/>
        <w:tblCellMar>
          <w:top w:w="0" w:type="dxa"/>
          <w:left w:w="0" w:type="dxa"/>
          <w:bottom w:w="0" w:type="dxa"/>
          <w:right w:w="0" w:type="dxa"/>
        </w:tblCellMar>
      </w:tblPr>
      <w:tblGrid>
        <w:gridCol w:w="1591"/>
        <w:gridCol w:w="1186"/>
        <w:gridCol w:w="1441"/>
        <w:gridCol w:w="1921"/>
      </w:tblGrid>
      <w:tr>
        <w:trPr/>
        <w:tc>
          <w:tcPr>
            <w:tcW w:w="159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w:t>
            </w:r>
          </w:p>
        </w:tc>
        <w:tc>
          <w:tcPr>
            <w:tcW w:w="1186"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c>
          <w:tcPr>
            <w:tcW w:w="1441" w:type="dxa"/>
            <w:tcBorders/>
            <w:vAlign w:val="center"/>
          </w:tcPr>
          <w:p>
            <w:pPr>
              <w:pStyle w:val="TableContents"/>
              <w:pBdr/>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Smaller reporting company </w:t>
            </w:r>
            <w:r>
              <w:rPr>
                <w:rFonts w:ascii="Times New Roman;Times;serif" w:hAnsi="Times New Roman;Times;serif"/>
                <w:sz w:val="20"/>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The aggregate market value of the registrant’s common stock held by non-affiliates as of June 30, 2025 was $1.3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The number of shares of common stock outstanding at February 13, 2026 was 66,566,346 shares.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firstLine="360"/>
        <w:jc w:val="left"/>
        <w:rPr/>
      </w:pPr>
      <w:r>
        <w:rPr/>
        <w:t>​</w:t>
      </w:r>
    </w:p>
    <w:p>
      <w:pPr>
        <w:pStyle w:val="TextBody"/>
        <w:bidi w:val="0"/>
        <w:spacing w:before="0" w:after="60"/>
        <w:ind w:left="0" w:right="0" w:firstLine="360"/>
        <w:jc w:val="left"/>
        <w:rPr>
          <w:rFonts w:ascii="Times New Roman;Times;serif" w:hAnsi="Times New Roman;Times;serif"/>
          <w:sz w:val="16"/>
        </w:rPr>
      </w:pPr>
      <w:r>
        <w:rPr>
          <w:rFonts w:ascii="Times New Roman;Times;serif" w:hAnsi="Times New Roman;Times;serif"/>
          <w:sz w:val="16"/>
        </w:rPr>
        <w:t>Portions of the definitive Proxy Statement for our 2026 Annual Meeting of Stockholders are incorporated by reference into Part III of this Report.</w:t>
      </w:r>
    </w:p>
    <w:tbl>
      <w:tblPr>
        <w:tblW w:w="6528" w:type="dxa"/>
        <w:jc w:val="left"/>
        <w:tblInd w:w="0" w:type="dxa"/>
        <w:tblLayout w:type="fixed"/>
        <w:tblCellMar>
          <w:top w:w="0" w:type="dxa"/>
          <w:left w:w="0" w:type="dxa"/>
          <w:bottom w:w="0" w:type="dxa"/>
          <w:right w:w="0" w:type="dxa"/>
        </w:tblCellMar>
      </w:tblPr>
      <w:tblGrid>
        <w:gridCol w:w="1336"/>
        <w:gridCol w:w="2656"/>
        <w:gridCol w:w="2536"/>
      </w:tblGrid>
      <w:tr>
        <w:trPr/>
        <w:tc>
          <w:tcPr>
            <w:tcW w:w="13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Auditor Firm ID: 238</w:t>
            </w:r>
          </w:p>
        </w:tc>
        <w:tc>
          <w:tcPr>
            <w:tcW w:w="26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Auditor Name:</w:t>
            </w:r>
            <w:r>
              <w:rPr>
                <w:rFonts w:ascii="Times New Roman;Times;serif" w:hAnsi="Times New Roman;Times;serif"/>
                <w:sz w:val="20"/>
              </w:rPr>
              <w:t xml:space="preserve"> </w:t>
            </w:r>
            <w:r>
              <w:rPr>
                <w:rFonts w:ascii="Times New Roman;Times;serif" w:hAnsi="Times New Roman;Times;serif"/>
                <w:sz w:val="14"/>
              </w:rPr>
              <w:t>PricewaterhouseCoopers LLP</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Auditor Location: Boston, Massachusetts</w:t>
            </w:r>
          </w:p>
        </w:tc>
      </w:tr>
    </w:tbl>
    <w:p>
      <w:pPr>
        <w:pStyle w:val="TextBody"/>
        <w:pBdr/>
        <w:bidi w:val="0"/>
        <w:spacing w:before="0" w:after="0"/>
        <w:ind w:left="158" w:right="346" w:hanging="29"/>
        <w:jc w:val="both"/>
        <w:rPr/>
      </w:pPr>
      <w:r>
        <w:rPr/>
        <w:t>​</w:t>
      </w:r>
    </w:p>
    <w:p>
      <w:pPr>
        <w:pStyle w:val="TextBody"/>
        <w:pBdr>
          <w:top w:val="single" w:sz="8" w:space="1" w:color="000000"/>
          <w:bottom w:val="single" w:sz="24" w:space="1" w:color="000000"/>
        </w:pBdr>
        <w:bidi w:val="0"/>
        <w:spacing w:before="0" w:after="0"/>
        <w:ind w:left="0" w:right="0" w:firstLine="576"/>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 w:name="_d4e01ad5_6f4f_4323_b92c_ebc729ae5dbf"/>
      <w:bookmarkEnd w:id="19"/>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ANNUAL REPORT ON FORM 10-K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bidi w:val="0"/>
        <w:spacing w:before="0" w:after="0"/>
        <w:ind w:left="0" w:right="0" w:hanging="0"/>
        <w:jc w:val="center"/>
        <w:rPr>
          <w:rFonts w:ascii="Times New Roman;Times;serif" w:hAnsi="Times New Roman;Times;serif"/>
          <w:b/>
          <w:sz w:val="20"/>
        </w:rPr>
      </w:pPr>
      <w:bookmarkStart w:id="20" w:name="TOC"/>
      <w:bookmarkEnd w:id="20"/>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76"/>
        <w:gridCol w:w="346"/>
        <w:gridCol w:w="8026"/>
        <w:gridCol w:w="346"/>
        <w:gridCol w:w="511"/>
      </w:tblGrid>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Page</w:t>
            </w:r>
          </w:p>
        </w:tc>
      </w:tr>
      <w:tr>
        <w:trPr/>
        <w:tc>
          <w:tcPr>
            <w:tcW w:w="976" w:type="dxa"/>
            <w:tcBorders/>
            <w:vAlign w:val="center"/>
          </w:tcPr>
          <w:p>
            <w:pPr>
              <w:pStyle w:val="TableContents"/>
              <w:bidi w:val="0"/>
              <w:spacing w:before="0" w:after="0"/>
              <w:ind w:left="0" w:right="0" w:hanging="0"/>
              <w:jc w:val="left"/>
              <w:rPr/>
            </w:pPr>
            <w:hyperlink w:anchor="PARTI_713253">
              <w:r>
                <w:rPr>
                  <w:rStyle w:val="InternetLink"/>
                  <w:rFonts w:ascii="Times New Roman;Times;serif" w:hAnsi="Times New Roman;Times;serif"/>
                  <w:b w:val="false"/>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BUSINESS_703670">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BUSINESS_703670">
              <w:r>
                <w:rPr>
                  <w:rStyle w:val="InternetLink"/>
                  <w:rFonts w:ascii="Times New Roman;Times;serif" w:hAnsi="Times New Roman;Times;serif"/>
                  <w:b w:val="false"/>
                  <w:i w:val="false"/>
                  <w:caps w:val="false"/>
                  <w:smallCaps w:val="false"/>
                  <w:sz w:val="20"/>
                </w:rPr>
                <w:t>Business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0"/>
              <w:ind w:left="0" w:right="0" w:hanging="0"/>
              <w:jc w:val="left"/>
              <w:rPr/>
            </w:pPr>
            <w:hyperlink w:anchor="Item1ARISKFACTORS_59438">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ARISKFACTORS_59438">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76" w:type="dxa"/>
            <w:tcBorders/>
            <w:vAlign w:val="center"/>
          </w:tcPr>
          <w:p>
            <w:pPr>
              <w:pStyle w:val="TableContents"/>
              <w:bidi w:val="0"/>
              <w:spacing w:before="0" w:after="0"/>
              <w:ind w:left="0" w:right="0" w:hanging="0"/>
              <w:jc w:val="left"/>
              <w:rPr/>
            </w:pPr>
            <w:hyperlink w:anchor="Item1BUNRESOLVEDSTAFFCOMMENTS_750393">
              <w:r>
                <w:rPr>
                  <w:rStyle w:val="InternetLink"/>
                  <w:rFonts w:ascii="Times New Roman;Times;serif" w:hAnsi="Times New Roman;Times;serif"/>
                  <w:b w:val="false"/>
                  <w:i w:val="false"/>
                  <w:caps w:val="false"/>
                  <w:smallCaps w:val="false"/>
                  <w:sz w:val="20"/>
                </w:rPr>
                <w:t>Item 1B.</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BUNRESOLVEDSTAFFCOMMENTS_750393">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76" w:type="dxa"/>
            <w:tcBorders/>
            <w:vAlign w:val="center"/>
          </w:tcPr>
          <w:p>
            <w:pPr>
              <w:pStyle w:val="TableContents"/>
              <w:bidi w:val="0"/>
              <w:spacing w:before="0" w:after="0"/>
              <w:ind w:left="0" w:right="0" w:hanging="0"/>
              <w:jc w:val="left"/>
              <w:rPr/>
            </w:pPr>
            <w:hyperlink w:anchor="Item1CCYBERSECURITY_999736">
              <w:r>
                <w:rPr>
                  <w:rStyle w:val="InternetLink"/>
                  <w:rFonts w:ascii="Times New Roman;Times;serif" w:hAnsi="Times New Roman;Times;serif"/>
                  <w:b w:val="false"/>
                  <w:i w:val="false"/>
                  <w:caps w:val="false"/>
                  <w:smallCaps w:val="false"/>
                  <w:sz w:val="20"/>
                </w:rPr>
                <w:t>Item 1C.</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CCYBERSECURITY_999736">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76" w:type="dxa"/>
            <w:tcBorders/>
            <w:vAlign w:val="center"/>
          </w:tcPr>
          <w:p>
            <w:pPr>
              <w:pStyle w:val="TableContents"/>
              <w:bidi w:val="0"/>
              <w:spacing w:before="0" w:after="0"/>
              <w:ind w:left="0" w:right="0" w:hanging="0"/>
              <w:jc w:val="left"/>
              <w:rPr/>
            </w:pPr>
            <w:hyperlink w:anchor="Item2PROPERTIES_225470">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2PROPERTIES_225470">
              <w:r>
                <w:rPr>
                  <w:rStyle w:val="InternetLink"/>
                  <w:rFonts w:ascii="Times New Roman;Times;serif" w:hAnsi="Times New Roman;Times;serif"/>
                  <w:b w:val="false"/>
                  <w:i w:val="false"/>
                  <w:caps w:val="false"/>
                  <w:smallCaps w:val="false"/>
                  <w:sz w:val="20"/>
                </w:rPr>
                <w:t>Properties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76" w:type="dxa"/>
            <w:tcBorders/>
            <w:vAlign w:val="center"/>
          </w:tcPr>
          <w:p>
            <w:pPr>
              <w:pStyle w:val="TableContents"/>
              <w:bidi w:val="0"/>
              <w:spacing w:before="0" w:after="0"/>
              <w:ind w:left="0" w:right="0" w:hanging="0"/>
              <w:jc w:val="left"/>
              <w:rPr/>
            </w:pPr>
            <w:hyperlink w:anchor="Item3LEGALPROCEEDINGS_101934">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3LEGALPROCEEDINGS_101934">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76" w:type="dxa"/>
            <w:tcBorders/>
            <w:vAlign w:val="center"/>
          </w:tcPr>
          <w:p>
            <w:pPr>
              <w:pStyle w:val="TableContents"/>
              <w:bidi w:val="0"/>
              <w:spacing w:before="0" w:after="0"/>
              <w:ind w:left="0" w:right="0" w:hanging="0"/>
              <w:jc w:val="left"/>
              <w:rPr/>
            </w:pPr>
            <w:hyperlink w:anchor="Item4MINESAFETYDISCLOSURES_355906">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4MINESAFETYDISCLOSURES_355906">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76" w:type="dxa"/>
            <w:tcBorders/>
            <w:vAlign w:val="center"/>
          </w:tcPr>
          <w:p>
            <w:pPr>
              <w:pStyle w:val="TableContents"/>
              <w:bidi w:val="0"/>
              <w:spacing w:before="0" w:after="0"/>
              <w:ind w:left="0" w:right="0" w:hanging="0"/>
              <w:jc w:val="left"/>
              <w:rPr/>
            </w:pPr>
            <w:hyperlink w:anchor="PARTII_68508">
              <w:r>
                <w:rPr>
                  <w:rStyle w:val="InternetLink"/>
                  <w:rFonts w:ascii="Times New Roman;Times;serif" w:hAnsi="Times New Roman;Times;serif"/>
                  <w:b w:val="false"/>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5MARKETFORREGISTRANTS_239721">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5MARKETFORREGISTRANTS_239721">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76" w:type="dxa"/>
            <w:tcBorders/>
            <w:vAlign w:val="center"/>
          </w:tcPr>
          <w:p>
            <w:pPr>
              <w:pStyle w:val="TableContents"/>
              <w:bidi w:val="0"/>
              <w:spacing w:before="0" w:after="0"/>
              <w:ind w:left="0" w:right="0" w:hanging="0"/>
              <w:jc w:val="left"/>
              <w:rPr/>
            </w:pPr>
            <w:hyperlink w:anchor="Item6SELECTEDFINANCIALDATA_500251">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6SELECTEDFINANCIALDATA_500251">
              <w:r>
                <w:rPr>
                  <w:rStyle w:val="InternetLink"/>
                  <w:rFonts w:ascii="Times New Roman;Times;serif" w:hAnsi="Times New Roman;Times;serif"/>
                  <w:b w:val="false"/>
                  <w:i w:val="false"/>
                  <w:caps w:val="false"/>
                  <w:smallCaps w:val="false"/>
                  <w:sz w:val="20"/>
                </w:rPr>
                <w:t>[Reserved]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76" w:type="dxa"/>
            <w:tcBorders/>
            <w:vAlign w:val="center"/>
          </w:tcPr>
          <w:p>
            <w:pPr>
              <w:pStyle w:val="TableContents"/>
              <w:bidi w:val="0"/>
              <w:spacing w:before="0" w:after="0"/>
              <w:ind w:left="0" w:right="0" w:hanging="0"/>
              <w:jc w:val="left"/>
              <w:rPr/>
            </w:pPr>
            <w:hyperlink w:anchor="Item7MANAGEMENTSDISCUSSION_91937">
              <w:r>
                <w:rPr>
                  <w:rStyle w:val="InternetLink"/>
                  <w:rFonts w:ascii="Times New Roman;Times;serif" w:hAnsi="Times New Roman;Times;serif"/>
                  <w:b w:val="false"/>
                  <w:i w:val="false"/>
                  <w:caps w:val="false"/>
                  <w:smallCaps w:val="false"/>
                  <w:sz w:val="20"/>
                </w:rPr>
                <w:t>Item 7.</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7MANAGEMENTSDISCUSSION_9193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76" w:type="dxa"/>
            <w:tcBorders/>
            <w:vAlign w:val="center"/>
          </w:tcPr>
          <w:p>
            <w:pPr>
              <w:pStyle w:val="TableContents"/>
              <w:bidi w:val="0"/>
              <w:spacing w:before="0" w:after="0"/>
              <w:ind w:left="0" w:right="0" w:hanging="0"/>
              <w:jc w:val="left"/>
              <w:rPr/>
            </w:pPr>
            <w:hyperlink w:anchor="Item7AQUANTITATIVEANDQUALITATIVE_388458">
              <w:r>
                <w:rPr>
                  <w:rStyle w:val="InternetLink"/>
                  <w:rFonts w:ascii="Times New Roman;Times;serif" w:hAnsi="Times New Roman;Times;serif"/>
                  <w:b w:val="false"/>
                  <w:i w:val="false"/>
                  <w:caps w:val="false"/>
                  <w:smallCaps w:val="false"/>
                  <w:sz w:val="20"/>
                </w:rPr>
                <w:t>Item 7A.</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7AQUANTITATIVEANDQUALITATIVE_388458">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976" w:type="dxa"/>
            <w:tcBorders/>
            <w:vAlign w:val="center"/>
          </w:tcPr>
          <w:p>
            <w:pPr>
              <w:pStyle w:val="TableContents"/>
              <w:bidi w:val="0"/>
              <w:spacing w:before="0" w:after="0"/>
              <w:ind w:left="0" w:right="0" w:hanging="0"/>
              <w:jc w:val="left"/>
              <w:rPr/>
            </w:pPr>
            <w:hyperlink w:anchor="Item8FINANCIALSTATEMENTS_953180">
              <w:r>
                <w:rPr>
                  <w:rStyle w:val="InternetLink"/>
                  <w:rFonts w:ascii="Times New Roman;Times;serif" w:hAnsi="Times New Roman;Times;serif"/>
                  <w:b w:val="false"/>
                  <w:i w:val="false"/>
                  <w:caps w:val="false"/>
                  <w:smallCaps w:val="false"/>
                  <w:sz w:val="20"/>
                </w:rPr>
                <w:t>Item 8.</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8FINANCIALSTATEMENTS_953180">
              <w:r>
                <w:rPr>
                  <w:rStyle w:val="InternetLink"/>
                  <w:rFonts w:ascii="Times New Roman;Times;serif" w:hAnsi="Times New Roman;Times;serif"/>
                  <w:b w:val="false"/>
                  <w:i w:val="false"/>
                  <w:caps w:val="false"/>
                  <w:smallCaps w:val="false"/>
                  <w:sz w:val="20"/>
                </w:rPr>
                <w:t>Financial Statements and Supplementary Data</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76" w:type="dxa"/>
            <w:tcBorders/>
            <w:vAlign w:val="center"/>
          </w:tcPr>
          <w:p>
            <w:pPr>
              <w:pStyle w:val="TableContents"/>
              <w:bidi w:val="0"/>
              <w:spacing w:before="0" w:after="0"/>
              <w:ind w:left="0" w:right="0" w:hanging="0"/>
              <w:jc w:val="left"/>
              <w:rPr/>
            </w:pPr>
            <w:hyperlink w:anchor="Item9CHANGESINANDDISAGREEMENTS_750440">
              <w:r>
                <w:rPr>
                  <w:rStyle w:val="InternetLink"/>
                  <w:rFonts w:ascii="Times New Roman;Times;serif" w:hAnsi="Times New Roman;Times;serif"/>
                  <w:b w:val="false"/>
                  <w:i w:val="false"/>
                  <w:caps w:val="false"/>
                  <w:smallCaps w:val="false"/>
                  <w:sz w:val="20"/>
                </w:rPr>
                <w:t>Item 9.</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9CHANGESINANDDISAGREEMENTS_750440">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76" w:type="dxa"/>
            <w:tcBorders/>
            <w:vAlign w:val="center"/>
          </w:tcPr>
          <w:p>
            <w:pPr>
              <w:pStyle w:val="TableContents"/>
              <w:bidi w:val="0"/>
              <w:spacing w:before="0" w:after="0"/>
              <w:ind w:left="0" w:right="0" w:hanging="0"/>
              <w:jc w:val="left"/>
              <w:rPr/>
            </w:pPr>
            <w:hyperlink w:anchor="Item9ACONTROLSANDPROCEDURES_562577">
              <w:r>
                <w:rPr>
                  <w:rStyle w:val="InternetLink"/>
                  <w:rFonts w:ascii="Times New Roman;Times;serif" w:hAnsi="Times New Roman;Times;serif"/>
                  <w:b w:val="false"/>
                  <w:i w:val="false"/>
                  <w:caps w:val="false"/>
                  <w:smallCaps w:val="false"/>
                  <w:sz w:val="20"/>
                </w:rPr>
                <w:t>Item 9A.</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9ACONTROLSANDPROCEDURES_562577">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976" w:type="dxa"/>
            <w:tcBorders/>
            <w:vAlign w:val="center"/>
          </w:tcPr>
          <w:p>
            <w:pPr>
              <w:pStyle w:val="TableContents"/>
              <w:bidi w:val="0"/>
              <w:spacing w:before="0" w:after="0"/>
              <w:ind w:left="0" w:right="0" w:hanging="0"/>
              <w:jc w:val="left"/>
              <w:rPr/>
            </w:pPr>
            <w:hyperlink w:anchor="Item9BOTHERINFORMATION_750206">
              <w:r>
                <w:rPr>
                  <w:rStyle w:val="InternetLink"/>
                  <w:rFonts w:ascii="Times New Roman;Times;serif" w:hAnsi="Times New Roman;Times;serif"/>
                  <w:b w:val="false"/>
                  <w:i w:val="false"/>
                  <w:caps w:val="false"/>
                  <w:smallCaps w:val="false"/>
                  <w:sz w:val="20"/>
                </w:rPr>
                <w:t>Item 9B.</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9BOTHERINFORMATION_750206">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76"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976" w:type="dxa"/>
            <w:tcBorders/>
            <w:vAlign w:val="center"/>
          </w:tcPr>
          <w:p>
            <w:pPr>
              <w:pStyle w:val="TableContents"/>
              <w:bidi w:val="0"/>
              <w:spacing w:before="0" w:after="0"/>
              <w:ind w:left="0" w:right="0" w:hanging="0"/>
              <w:jc w:val="left"/>
              <w:rPr/>
            </w:pPr>
            <w:hyperlink w:anchor="PARTIII_289421">
              <w:r>
                <w:rPr>
                  <w:rStyle w:val="InternetLink"/>
                  <w:rFonts w:ascii="Times New Roman;Times;serif" w:hAnsi="Times New Roman;Times;serif"/>
                  <w:b w:val="false"/>
                  <w:i w:val="false"/>
                  <w:caps w:val="false"/>
                  <w:smallCaps w:val="false"/>
                  <w:sz w:val="20"/>
                </w:rPr>
                <w:t>Part III</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0DIRECTORSEXECUTIVE_251619">
              <w:r>
                <w:rPr>
                  <w:rStyle w:val="InternetLink"/>
                  <w:rFonts w:ascii="Times New Roman;Times;serif" w:hAnsi="Times New Roman;Times;serif"/>
                  <w:b w:val="false"/>
                  <w:i w:val="false"/>
                  <w:caps w:val="false"/>
                  <w:smallCaps w:val="false"/>
                  <w:sz w:val="20"/>
                </w:rPr>
                <w:t>Item 10.</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0DIRECTORSEXECUTIVE_251619">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76" w:type="dxa"/>
            <w:tcBorders/>
            <w:vAlign w:val="center"/>
          </w:tcPr>
          <w:p>
            <w:pPr>
              <w:pStyle w:val="TableContents"/>
              <w:bidi w:val="0"/>
              <w:spacing w:before="0" w:after="0"/>
              <w:ind w:left="0" w:right="0" w:hanging="0"/>
              <w:jc w:val="left"/>
              <w:rPr/>
            </w:pPr>
            <w:hyperlink w:anchor="Item11EXECUTIVECOMPENSATION_659199">
              <w:r>
                <w:rPr>
                  <w:rStyle w:val="InternetLink"/>
                  <w:rFonts w:ascii="Times New Roman;Times;serif" w:hAnsi="Times New Roman;Times;serif"/>
                  <w:b w:val="false"/>
                  <w:i w:val="false"/>
                  <w:caps w:val="false"/>
                  <w:smallCaps w:val="false"/>
                  <w:sz w:val="20"/>
                </w:rPr>
                <w:t>Item 11.</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1EXECUTIVECOMPENSATION_659199">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76" w:type="dxa"/>
            <w:tcBorders/>
            <w:vAlign w:val="center"/>
          </w:tcPr>
          <w:p>
            <w:pPr>
              <w:pStyle w:val="TableContents"/>
              <w:bidi w:val="0"/>
              <w:spacing w:before="0" w:after="0"/>
              <w:ind w:left="0" w:right="0" w:hanging="0"/>
              <w:jc w:val="left"/>
              <w:rPr/>
            </w:pPr>
            <w:hyperlink w:anchor="Item12SECURITYOWNERSHIP_108166">
              <w:r>
                <w:rPr>
                  <w:rStyle w:val="InternetLink"/>
                  <w:rFonts w:ascii="Times New Roman;Times;serif" w:hAnsi="Times New Roman;Times;serif"/>
                  <w:b w:val="false"/>
                  <w:i w:val="false"/>
                  <w:caps w:val="false"/>
                  <w:smallCaps w:val="false"/>
                  <w:sz w:val="20"/>
                </w:rPr>
                <w:t>Item 12.</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2SECURITYOWNERSHIP_108166">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76" w:type="dxa"/>
            <w:tcBorders/>
            <w:vAlign w:val="center"/>
          </w:tcPr>
          <w:p>
            <w:pPr>
              <w:pStyle w:val="TableContents"/>
              <w:bidi w:val="0"/>
              <w:spacing w:before="0" w:after="0"/>
              <w:ind w:left="0" w:right="0" w:hanging="0"/>
              <w:jc w:val="left"/>
              <w:rPr/>
            </w:pPr>
            <w:hyperlink w:anchor="Item13CERTAINRELATIONSHIPSAND_189337">
              <w:r>
                <w:rPr>
                  <w:rStyle w:val="InternetLink"/>
                  <w:rFonts w:ascii="Times New Roman;Times;serif" w:hAnsi="Times New Roman;Times;serif"/>
                  <w:b w:val="false"/>
                  <w:i w:val="false"/>
                  <w:caps w:val="false"/>
                  <w:smallCaps w:val="false"/>
                  <w:sz w:val="20"/>
                </w:rPr>
                <w:t>Item 13.</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3CERTAINRELATIONSHIPSAND_189337">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76" w:type="dxa"/>
            <w:tcBorders/>
            <w:vAlign w:val="center"/>
          </w:tcPr>
          <w:p>
            <w:pPr>
              <w:pStyle w:val="TableContents"/>
              <w:bidi w:val="0"/>
              <w:spacing w:before="0" w:after="0"/>
              <w:ind w:left="0" w:right="0" w:hanging="0"/>
              <w:jc w:val="left"/>
              <w:rPr/>
            </w:pPr>
            <w:hyperlink w:anchor="Item14PRINCIPALACCOUNTINGFEES_43693">
              <w:r>
                <w:rPr>
                  <w:rStyle w:val="InternetLink"/>
                  <w:rFonts w:ascii="Times New Roman;Times;serif" w:hAnsi="Times New Roman;Times;serif"/>
                  <w:b w:val="false"/>
                  <w:i w:val="false"/>
                  <w:caps w:val="false"/>
                  <w:smallCaps w:val="false"/>
                  <w:sz w:val="20"/>
                </w:rPr>
                <w:t>Item 14.</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4PRINCIPALACCOUNTINGFEES_43693">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976" w:type="dxa"/>
            <w:tcBorders/>
            <w:vAlign w:val="center"/>
          </w:tcPr>
          <w:p>
            <w:pPr>
              <w:pStyle w:val="TableContents"/>
              <w:bidi w:val="0"/>
              <w:spacing w:before="0" w:after="0"/>
              <w:ind w:left="0" w:right="0" w:hanging="0"/>
              <w:jc w:val="left"/>
              <w:rPr/>
            </w:pPr>
            <w:hyperlink w:anchor="PARTIV_712804">
              <w:r>
                <w:rPr>
                  <w:rStyle w:val="InternetLink"/>
                  <w:rFonts w:ascii="Times New Roman;Times;serif" w:hAnsi="Times New Roman;Times;serif"/>
                  <w:b w:val="false"/>
                  <w:i w:val="false"/>
                  <w:caps w:val="false"/>
                  <w:smallCaps w:val="false"/>
                  <w:sz w:val="20"/>
                </w:rPr>
                <w:t>Part IV</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5EXHIBITSFINANCIALSTATEMENT_652110">
              <w:r>
                <w:rPr>
                  <w:rStyle w:val="InternetLink"/>
                  <w:rFonts w:ascii="Times New Roman;Times;serif" w:hAnsi="Times New Roman;Times;serif"/>
                  <w:b w:val="false"/>
                  <w:i w:val="false"/>
                  <w:caps w:val="false"/>
                  <w:smallCaps w:val="false"/>
                  <w:sz w:val="20"/>
                </w:rPr>
                <w:t>Item 15.</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5EXHIBITSFINANCIALSTATEMENT_652110">
              <w:r>
                <w:rPr>
                  <w:rStyle w:val="InternetLink"/>
                  <w:rFonts w:ascii="Times New Roman;Times;serif" w:hAnsi="Times New Roman;Times;serif"/>
                  <w:b w:val="false"/>
                  <w:i w:val="false"/>
                  <w:caps w:val="false"/>
                  <w:smallCaps w:val="false"/>
                  <w:sz w:val="20"/>
                </w:rPr>
                <w:t>Exhibits, Financial Statement Schedules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976" w:type="dxa"/>
            <w:tcBorders/>
            <w:vAlign w:val="center"/>
          </w:tcPr>
          <w:p>
            <w:pPr>
              <w:pStyle w:val="TableContents"/>
              <w:bidi w:val="0"/>
              <w:spacing w:before="0" w:after="0"/>
              <w:ind w:left="0" w:right="0" w:hanging="0"/>
              <w:jc w:val="left"/>
              <w:rPr/>
            </w:pPr>
            <w:hyperlink w:anchor="Item16FORM10KSUMMARY_35393">
              <w:r>
                <w:rPr>
                  <w:rStyle w:val="InternetLink"/>
                  <w:rFonts w:ascii="Times New Roman;Times;serif" w:hAnsi="Times New Roman;Times;serif"/>
                  <w:b w:val="false"/>
                  <w:i w:val="false"/>
                  <w:caps w:val="false"/>
                  <w:smallCaps w:val="false"/>
                  <w:sz w:val="20"/>
                </w:rPr>
                <w:t>Item 16.</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hyperlink w:anchor="Item16FORM10KSUMMARY_35393">
              <w:r>
                <w:rPr>
                  <w:rStyle w:val="InternetLink"/>
                  <w:rFonts w:ascii="Times New Roman;Times;serif" w:hAnsi="Times New Roman;Times;serif"/>
                  <w:b w:val="false"/>
                  <w:i w:val="false"/>
                  <w:caps w:val="false"/>
                  <w:smallCaps w:val="false"/>
                  <w:sz w:val="20"/>
                </w:rPr>
                <w:t>Form 10-K Summary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76" w:type="dxa"/>
            <w:tcBorders/>
            <w:vAlign w:val="center"/>
          </w:tcPr>
          <w:p>
            <w:pPr>
              <w:pStyle w:val="TableContents"/>
              <w:bidi w:val="0"/>
              <w:spacing w:before="0" w:after="0"/>
              <w:ind w:left="0" w:right="0" w:hanging="0"/>
              <w:jc w:val="left"/>
              <w:rPr/>
            </w:pPr>
            <w:hyperlink w:anchor="SIGNATURES_398499">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8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1" w:name="_1d3b3756_8a56_457f_a788_2eb3f32d3a5e"/>
      <w:bookmarkEnd w:id="21"/>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Annual Report on Form 10-K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development stages;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the regulatory approval milestone under the merger agreement by which we acquired Kolltan Pharmaceuticals, Inc. (“Kolltan”) and our related settlement agreement with Kolltan;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 and</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listed under “Risk Factors” in this Annual Report on Form 10-K.</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i w:val="false"/>
          <w:caps w:val="false"/>
          <w:smallCaps w:val="false"/>
          <w:sz w:val="20"/>
        </w:rPr>
      </w:pPr>
      <w:bookmarkStart w:id="22" w:name="PARTI_713253"/>
      <w:bookmarkStart w:id="23" w:name="_8c37e9c0_74e5_457b_aef2_a2bb1de888f1"/>
      <w:bookmarkEnd w:id="22"/>
      <w:bookmarkEnd w:id="23"/>
      <w:r>
        <w:rPr>
          <w:rFonts w:ascii="Times New Roman;Times;serif" w:hAnsi="Times New Roman;Times;serif"/>
          <w:b/>
          <w:i w:val="false"/>
          <w:caps w:val="false"/>
          <w:smallCaps w:val="false"/>
          <w:sz w:val="20"/>
        </w:rPr>
        <w:t>PART I</w:t>
      </w:r>
    </w:p>
    <w:p>
      <w:pPr>
        <w:pStyle w:val="TextBody"/>
        <w:bidi w:val="0"/>
        <w:spacing w:before="0" w:after="180"/>
        <w:ind w:left="0" w:right="0" w:hanging="0"/>
        <w:jc w:val="left"/>
        <w:rPr>
          <w:rFonts w:ascii="Times New Roman;Times;serif" w:hAnsi="Times New Roman;Times;serif"/>
          <w:b/>
          <w:sz w:val="20"/>
        </w:rPr>
      </w:pPr>
      <w:bookmarkStart w:id="24" w:name="Item1BUSINESS_703670"/>
      <w:bookmarkEnd w:id="24"/>
      <w:r>
        <w:rPr>
          <w:rFonts w:ascii="Times New Roman;Times;serif" w:hAnsi="Times New Roman;Times;serif"/>
          <w:b/>
          <w:sz w:val="20"/>
        </w:rPr>
        <w:t>Item 1. BUSINESS</w:t>
      </w:r>
    </w:p>
    <w:p>
      <w:pPr>
        <w:pStyle w:val="TextBody"/>
        <w:bidi w:val="0"/>
        <w:spacing w:before="0" w:after="18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Celldex Therapeutics, Inc., which we refer to as “Celldex,” “we,” “us,” “our” or the “Company,” is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Spontaneous Urticaria (CSU): In February 2026, we announced that enrollment is complete in our Phase 3 studies in CSU and that topline data will be available in the fourth quarter of 2026.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improved quality of life;</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Cold Urticaria (ColdU) and Symptomatic Dermographism (SD): We initiated a Phase 3 study in ColdU and SD in December 2025 and enrollment is ongoing. In July 2024, we announced that our Phase 2 study being conducted in two forms of chronic inducible urticaria (CIndU), ColdU and SD,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and, in November 2025, we reported data from 20 weeks of treatment—demonstrating sustained efficacy and a well tolerated safety profile over the longer treatment period;</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April 2024, we initiated a Phase 2 study in PN and enrollment was completed in December 2025. Topline data from the study is expected in summer 2026. Positive data from a Phase 1b study in PN was reported in November 2023; and</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(AD): A Phase 2 study in AD was initiated in December 2024 and enrollment was completed in January 2026. Topline data from the study is expected in late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was completed in January 2026. Positive data from the single ascending dose portion of the study was presented in October 2025. Data from the multiple ascending dose portion of the study and subcutaneous administration are anticipated in the third quarter of 2026. In January 2026, we initiated an open-label, single-dose Phase 1 proof of mechanism study in adults with mild to moderate asthma.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 detail on these programs is provided in the Clinical Development Programs section.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mission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Clinical Development Programs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Barzolvolimab (also referred to as CDX-0159)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Barzolvolimab was initially studied in chronic spontaneous urticaria (CSU) and chronic inducible urticaria (CIndU), diseases where mast cell degranulation plays a central role in the onset and progression of the disease. In July 2024, we initiated two Phase 3 studies in CSU. In February 2026, we announced that enrollment is complete in the Phase 3 studies and that topline data is expected in the fourth quarter of 2026. In November 2023, we reported that barzolvolimab achieved the primary efficacy endpoint in a Phase 2 study in CSU,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In June 2025, we presented follow up data from this study through Week 76, 7 months after the completion of dosing with barzolvolimab, demonstrating ongoing profound, sustained complete response and improved quality of life. The study is complete. In April 2024, we announced enrollment was complete in the ongoing Phase 2 CIndU study. In July 2024, we announced that our Phase 2 study in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In November 2025, data from the 20 week placebo controlled treatment period were presented, demonstrating sustained efficacy and a favorable safety profile. Patients with returning or continuing symptoms were eligible to enroll into an open label extension (OLE). The study is now complete.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the positive results reported in urticaria, we expanded development of barzolvolimab into additional indications where mast cells are believed to play an important role. We are conducting ongoing Phase 2 studies in prurigo nodularis (PN) and atopic dermatitis (AD). We continue to assess potential opportunities for barzolvolimab in other diseases where mast cells play an important role, such as dermatologic, respiratory, allergic, gastrointestinal and ophthalmic conditions.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Spontaneous Urticaria (CSU) Summary of Phase 1 and Phase 2 Data Presented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tbl>
      <w:tblPr>
        <w:tblW w:w="7684" w:type="dxa"/>
        <w:jc w:val="left"/>
        <w:tblInd w:w="0" w:type="dxa"/>
        <w:tblLayout w:type="fixed"/>
        <w:tblCellMar>
          <w:top w:w="28" w:type="dxa"/>
          <w:left w:w="28" w:type="dxa"/>
          <w:bottom w:w="28" w:type="dxa"/>
          <w:right w:w="28" w:type="dxa"/>
        </w:tblCellMar>
      </w:tblPr>
      <w:tblGrid>
        <w:gridCol w:w="3991"/>
        <w:gridCol w:w="1216"/>
        <w:gridCol w:w="1216"/>
        <w:gridCol w:w="1261"/>
      </w:tblGrid>
      <w:tr>
        <w:trPr/>
        <w:tc>
          <w:tcPr>
            <w:tcW w:w="7684" w:type="dxa"/>
            <w:gridSpan w:val="4"/>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Phase 1 CSU: Summary of Clinical Activity Assessments at Week 12 &amp; 24</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4.5 mg/kg Q8</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 mg/kg Q8</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 mg/kg Q4</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82% (n=9)</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 (n=9)</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 (n=8)</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77% (n=7)</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70% (n=6)</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80% (n=7)</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89%</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Tryptase suppression, indicative of mast cell depletion, paralleled symptom improvement, demonstrating the impact of mast cell depletion on CSU disease activity.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completed a Phase 2 study in patients with CSU who remained symptomatic despite antihistamine therapy. The study was conducted at approximately 75 sites across 9 countries. The study was a randomized, double-blind, placebo-controlled,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Topline data from this study were presented in November of 2023 and 12 week treatment results were presented at the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pStyle w:val="Normal"/>
        <w:bidi w:val="0"/>
        <w:spacing w:before="0" w:after="0"/>
        <w:jc w:val="left"/>
        <w:rPr>
          <w:sz w:val="4"/>
          <w:szCs w:val="4"/>
        </w:rPr>
      </w:pPr>
      <w:r>
        <w:rPr>
          <w:sz w:val="4"/>
          <w:szCs w:val="4"/>
        </w:rPr>
      </w:r>
      <w:bookmarkStart w:id="25" w:name="_Hlk156625410"/>
      <w:bookmarkStart w:id="26" w:name="_Hlk156625410"/>
      <w:bookmarkEnd w:id="26"/>
    </w:p>
    <w:tbl>
      <w:tblPr>
        <w:tblW w:w="10205" w:type="dxa"/>
        <w:jc w:val="left"/>
        <w:tblInd w:w="0" w:type="dxa"/>
        <w:tblLayout w:type="fixed"/>
        <w:tblCellMar>
          <w:top w:w="28" w:type="dxa"/>
          <w:left w:w="28" w:type="dxa"/>
          <w:bottom w:w="28" w:type="dxa"/>
          <w:right w:w="28" w:type="dxa"/>
        </w:tblCellMar>
      </w:tblPr>
      <w:tblGrid>
        <w:gridCol w:w="4926"/>
        <w:gridCol w:w="1524"/>
        <w:gridCol w:w="1484"/>
        <w:gridCol w:w="1473"/>
        <w:gridCol w:w="798"/>
      </w:tblGrid>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Phase 2 CSU: Summary of Clinical Activity Assessments at Week 12</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pPr>
            <w:r>
              <w:rPr/>
              <w:t>​</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 Q8W</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(n=51)</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 Q4W</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(n=52)</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 mg Q4W</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(n=53)</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(n=51)</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UAS7 Changes</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Baseline UAS7 (mean)</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31.33</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30.75</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30.30</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30.09</w:t>
            </w:r>
          </w:p>
        </w:tc>
      </w:tr>
      <w:tr>
        <w:trPr/>
        <w:tc>
          <w:tcPr>
            <w:tcW w:w="492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-23.87</w:t>
            </w:r>
          </w:p>
        </w:tc>
        <w:tc>
          <w:tcPr>
            <w:tcW w:w="1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-23.02</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-17.06</w:t>
            </w:r>
          </w:p>
        </w:tc>
        <w:tc>
          <w:tcPr>
            <w:tcW w:w="7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-10.47</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-13.41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 -17.47, -9.34)</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(CI:-16.56, -8.55)</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(CI:-10.71, -2.49)</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p=0.0017</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HSS7 Changes</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Baseline HSS7 (mean)</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14.92</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15.05</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14.86</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14.47</w:t>
            </w:r>
          </w:p>
        </w:tc>
      </w:tr>
      <w:tr>
        <w:trPr/>
        <w:tc>
          <w:tcPr>
            <w:tcW w:w="492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1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7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-4.95</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(CI:-9.36, -5.12)</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(CI:-8.33, -4.16),</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(CI:-5.40, -1.22),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p=0.0020</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ISS7 Changes</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Baseline ISS7 (mean)</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16.42</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15.70</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15.44</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15.61</w:t>
            </w:r>
          </w:p>
        </w:tc>
      </w:tr>
      <w:tr>
        <w:trPr/>
        <w:tc>
          <w:tcPr>
            <w:tcW w:w="492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1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-8.62</w:t>
            </w:r>
          </w:p>
        </w:tc>
        <w:tc>
          <w:tcPr>
            <w:tcW w:w="7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-5.47</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 -8.50, -4.13),</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 -8.38, -4.04),</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-3.16</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 -5.41, -0.91),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p=0.0061</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Responder Analyses/Clinical Responses</w:t>
            </w:r>
          </w:p>
        </w:tc>
      </w:tr>
      <w:tr>
        <w:trPr/>
        <w:tc>
          <w:tcPr>
            <w:tcW w:w="492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UAS7=0 (Complete Control)</w:t>
            </w:r>
          </w:p>
        </w:tc>
        <w:tc>
          <w:tcPr>
            <w:tcW w:w="152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48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51.1%</w:t>
            </w:r>
          </w:p>
        </w:tc>
        <w:tc>
          <w:tcPr>
            <w:tcW w:w="147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79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492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UAS7≤6 (Well-controlled)</w:t>
            </w:r>
          </w:p>
        </w:tc>
        <w:tc>
          <w:tcPr>
            <w:tcW w:w="1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w:t>
            </w:r>
          </w:p>
        </w:tc>
        <w:tc>
          <w:tcPr>
            <w:tcW w:w="1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59.6%</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79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UAS7, HSS7 and ISS7 data were analyzed using ANCOVA model and multiple imputation.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Patients on study continued to receive barzolvolimab for up to 52 weeks. Long term treatment data were presented in September at the European Academy of Dermatology &amp; Venereology (EADV) Congress 2024 and quality of life data were presented in March at the AAAAI Annual Meeting 2025. The data demonstrated a sustained and deepening disease efficacy, a well tolerated safety profile, greatly improved urticaria control and reduced disease impact on quality of life over a 52 week treatment period.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UAS7 (weekly urticaria activity score), previously shown to be statistically significantly vs placebo at Week 12, were noted as early as Week 1 and were sustained or deepened at Week 52.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16, patients receiving low dose barzolvolimab (75 mg) or placebo were transitioned to barzolvolimab 150 mg or 300 mg; after crossover, these patients experienced similar clinically meaningful disease response as the rest of the study population.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of patients treated with barzolvolimab 150 mg Q4W and 52% of patients treated with 300 mg Q8W had a complete response (no itch/hives; UAS7=0) at Week 52. These responses were observed early and sustained through 52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of patients treated with barzolvolimab 150 mg Q4W and 68% of patients treated with 300 mg Q8W had well controlled (UAS7&lt;6) disease at Week 52.</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sustained improvement in urticaria control (UCT) and quality of life (DLQI) were observed in patients with CSU refractory to antihistamines. Up to 82% of patients reported that CSU symptoms no longer had an impact on their quality of life at Week 52 and up to 95% of patients reported meaningful improvement in quality of life based on DLQI at Week 52. Up to 82% of patients reported well-controlled urticaria based on UCT, and approximately half of patients reported complete control at Week 52.</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of 2025, 52 week data on angioedema activity and additional measures of angioedema control were presented at the EAACI 2025 Congress. Barzolvolimab continued to demonstrate robust, durable and deepening improvements in angioedema symptoms over the treatment period. At Week 52, an 86% mean reduction from baseline was reported for 150 mg Q4W arm and an 82% reduction was reported for the 300 mg Q8W. Up to 77% of patients treated with barzolvolimab who had angioedema at baseline were angioedema free (AAS7=0) at Week 52, which we subsequently announced remained at up to 64% seven months after last dose. Patients treated with barzolvolimab were angioedema free up to 72% of the time over the 52 week treatment period. Up to 87% of patients reported clinically meaningful improvement (&gt;8 point) in AAS7 at Week 52.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of 2025, long term follow up data from the Phase 2 CSU study were presented at the EAACI 2025 Congress. At Week 76, seven months after completion of dosing, patients continue to experience profound clinical benefit on study.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UAS7 mean change from baseline at Week 76 was -20.42 for patients treated with 150 mg Q4W and -21.10 for patients treated with 300 mg Q8W.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of patients treated with barzolvolimab 150 mg Q4W and 35% of patients treated with 300 mg Q8W had a complete response (no itch/hives; UAS7=0)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of patients treated with barzolvolimab 150 mg Q4W and 47% of patients treated with 300 mg Q8W had well controlled disease (UAS7≤6)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 and achieving complete response is directly correlated to the greatest improvements in quality of life for patients.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and improvements in quality of life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76 weeks. No new safety signals were identified 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at EADV 2025, data were presented demonstrating rapid and strong efficacy regardless of baseline immunoglobulin E (IgE) levels. In November 2025, at the American College of Allergy, Asthma &amp; Immunology’s Annual Scientific (ACAAI) Meeting, data were presented demonstrating that barzolvolimab leads to rapid and profound improvements in UCT7 scores with sustained disease control off treatment.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After completion of the 52 week treatment period, patients on study will continue to be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The primary endpoint analysis will be performed when all patients have completed the placebo controlled portion of the study at 24 weeks. Enrollment to the studies was completed in February 2026 and topline data will be available in Q4 2026. 1,939 patients were enrolled—the largest program conducted in antihistamine refractory CSU, including patients with advanced therapy experienced/refractory CSU. The studies included 43 countries and over 500 sites.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 global Phase 3b long term extension (LTE) study has been established for patient entry after completion of the EMBARQ - CSU Phase 3 trials. The study will consist of 2 Groups: Group 1 (Observation Group), containing patients whose disease remains well controlled (UAS7&lt;16) and Group 2 (Barzolvolimab Retreatment Group) containing patients whose disease is currently moderate to severe (UAS7≥16). Patients in Group 2 will receive up to an additional year of treatment with barzolvolimab. Patients in the observation group (Group 1) whose CSU flares to a UAS7&gt;/=16 in the first 6 months of the LTE will also be able to receive treatment.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 Summary of Phase 1 and Phase 2 Data Presented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Rapid (as early as 1 week) and durable responses were observed in patients as assessed by provocation testing.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Data from this study were reported in Allergy (Nov 2022) and across multiple medical meetings, including the GA²LEN Global Urticaria Forum (GUF) in December and the European Academy of Allergy and Clinical Immunology (EAACI) Annual Congress in June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recently completed a Phase 2 study in patients with CIndU who remain symptomatic despite antihistamine therapy. The study was conducted at approximately 85 sites across approximately 12 countries. The randomized, double-blind, placebo-controlled, parallel group Phase 2 study evaluated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entered a follow-up phase for an additional 24 weeks. In addition, the study included the option for patients who had symptoms following the treatment phase, including patients who were on placebo, to enroll in an open label extension where all patients received 300 mg of barzolvolimab every 8 weeks. The primary endpoint of the study was the percentage of patients with a negative provocation test at Week 12. Secondary endpoints included safety and other assessments of clinical activity including CTT (Critical Temperature Threshold), CFT (Critical Friction Threshold) and WI-NRS (Worst itch numeric rating scale).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Patients on study had poorly controlled disease on initial provocation testing.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also reflected poorly controlled disease.</w:t>
      </w:r>
    </w:p>
    <w:tbl>
      <w:tblPr>
        <w:tblW w:w="10205" w:type="dxa"/>
        <w:jc w:val="left"/>
        <w:tblInd w:w="0" w:type="dxa"/>
        <w:tblLayout w:type="fixed"/>
        <w:tblCellMar>
          <w:top w:w="28" w:type="dxa"/>
          <w:left w:w="28" w:type="dxa"/>
          <w:bottom w:w="28" w:type="dxa"/>
          <w:right w:w="28" w:type="dxa"/>
        </w:tblCellMar>
      </w:tblPr>
      <w:tblGrid>
        <w:gridCol w:w="5241"/>
        <w:gridCol w:w="753"/>
        <w:gridCol w:w="753"/>
        <w:gridCol w:w="646"/>
        <w:gridCol w:w="346"/>
        <w:gridCol w:w="816"/>
        <w:gridCol w:w="816"/>
        <w:gridCol w:w="834"/>
      </w:tblGrid>
      <w:tr>
        <w:trPr/>
        <w:tc>
          <w:tcPr>
            <w:tcW w:w="10205"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Summary of Clinical Assessments at Week 12</w:t>
            </w:r>
          </w:p>
        </w:tc>
      </w:tr>
      <w:tr>
        <w:trPr/>
        <w:tc>
          <w:tcPr>
            <w:tcW w:w="52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pPr>
            <w:r>
              <w:rPr/>
              <w:t>​</w:t>
            </w:r>
          </w:p>
        </w:tc>
        <w:tc>
          <w:tcPr>
            <w:tcW w:w="2152"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Cold Urticaria</w:t>
            </w:r>
          </w:p>
        </w:tc>
        <w:tc>
          <w:tcPr>
            <w:tcW w:w="346" w:type="dxa"/>
            <w:tcBorders>
              <w:top w:val="single" w:sz="2" w:space="0" w:color="000000"/>
              <w:left w:val="single" w:sz="2" w:space="0" w:color="000000"/>
              <w:right w:val="single" w:sz="2" w:space="0" w:color="000000"/>
            </w:tcBorders>
            <w:tcMar>
              <w:bottom w:w="0" w:type="dxa"/>
            </w:tcMar>
            <w:vAlign w:val="center"/>
          </w:tcPr>
          <w:p>
            <w:pPr>
              <w:pStyle w:val="TableContents"/>
              <w:bidi w:val="0"/>
              <w:spacing w:lineRule="auto" w:line="304" w:before="0" w:after="0"/>
              <w:ind w:left="0" w:right="0" w:hanging="0"/>
              <w:jc w:val="center"/>
              <w:rPr/>
            </w:pPr>
            <w:r>
              <w:rPr/>
              <w:t>  ​ ​ ​</w:t>
            </w:r>
          </w:p>
        </w:tc>
        <w:tc>
          <w:tcPr>
            <w:tcW w:w="2466"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Symptomatic Dermographism</w:t>
            </w:r>
          </w:p>
        </w:tc>
      </w:tr>
      <w:tr>
        <w:trPr/>
        <w:tc>
          <w:tcPr>
            <w:tcW w:w="52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All measurements at</w:t>
              <w:br/>
              <w:t>Week 12</w:t>
            </w:r>
          </w:p>
        </w:tc>
        <w:tc>
          <w:tcPr>
            <w:tcW w:w="7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150 mg</w:t>
              <w:br/>
              <w:t>q4w</w:t>
              <w:br/>
              <w:t>(n=32)</w:t>
            </w:r>
          </w:p>
        </w:tc>
        <w:tc>
          <w:tcPr>
            <w:tcW w:w="7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300 mg</w:t>
              <w:br/>
              <w:t>q8w</w:t>
              <w:br/>
              <w:t>(n=32)</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Placebo</w:t>
              <w:br/>
              <w:t>(n=32)</w:t>
            </w:r>
          </w:p>
        </w:tc>
        <w:tc>
          <w:tcPr>
            <w:tcW w:w="34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304" w:before="0" w:after="0"/>
              <w:ind w:left="0" w:right="0" w:hanging="0"/>
              <w:jc w:val="center"/>
              <w:rPr/>
            </w:pPr>
            <w:r>
              <w:rPr/>
              <w:t>​</w:t>
            </w:r>
          </w:p>
        </w:tc>
        <w:tc>
          <w:tcPr>
            <w:tcW w:w="8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150 mg</w:t>
              <w:br/>
              <w:t xml:space="preserve">q4w </w:t>
              <w:br/>
              <w:t>(n=33)</w:t>
            </w:r>
          </w:p>
        </w:tc>
        <w:tc>
          <w:tcPr>
            <w:tcW w:w="8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300 mg</w:t>
              <w:br/>
              <w:t>q8w</w:t>
              <w:br/>
              <w:t>(n=33)</w:t>
            </w:r>
          </w:p>
        </w:tc>
        <w:tc>
          <w:tcPr>
            <w:tcW w:w="83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Placebo</w:t>
              <w:br/>
              <w:t>(n=31)</w:t>
            </w:r>
          </w:p>
        </w:tc>
      </w:tr>
      <w:tr>
        <w:trPr/>
        <w:tc>
          <w:tcPr>
            <w:tcW w:w="524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b/>
                <w:sz w:val="16"/>
              </w:rPr>
              <w:t>Primary endpoint:</w:t>
            </w:r>
            <w:r>
              <w:rPr>
                <w:rFonts w:ascii="Times New Roman;Times;serif" w:hAnsi="Times New Roman;Times;serif"/>
                <w:sz w:val="16"/>
              </w:rPr>
              <w:t xml:space="preserve"> % of patients with negative provocation test (complete response)</w:t>
            </w:r>
          </w:p>
        </w:tc>
        <w:tc>
          <w:tcPr>
            <w:tcW w:w="7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46.9%</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p=0.0023</w:t>
            </w:r>
          </w:p>
        </w:tc>
        <w:tc>
          <w:tcPr>
            <w:tcW w:w="7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53.1%</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p=0.0011</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12.5%</w:t>
            </w:r>
          </w:p>
        </w:tc>
        <w:tc>
          <w:tcPr>
            <w:tcW w:w="346" w:type="dxa"/>
            <w:tcBorders>
              <w:left w:val="single" w:sz="2" w:space="0" w:color="000000"/>
              <w:right w:val="single" w:sz="2" w:space="0" w:color="000000"/>
            </w:tcBorders>
            <w:tcMar>
              <w:top w:w="0" w:type="dxa"/>
              <w:bottom w:w="0" w:type="dxa"/>
            </w:tcMar>
            <w:vAlign w:val="center"/>
          </w:tcPr>
          <w:p>
            <w:pPr>
              <w:pStyle w:val="TableContents"/>
              <w:bidi w:val="0"/>
              <w:spacing w:lineRule="auto" w:line="304" w:before="0" w:after="0"/>
              <w:ind w:left="0" w:right="0" w:hanging="0"/>
              <w:jc w:val="center"/>
              <w:rPr/>
            </w:pPr>
            <w:r>
              <w:rPr/>
              <w:t>​</w:t>
            </w:r>
          </w:p>
        </w:tc>
        <w:tc>
          <w:tcPr>
            <w:tcW w:w="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57.6%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42.4%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p=0.0003</w:t>
            </w:r>
          </w:p>
        </w:tc>
        <w:tc>
          <w:tcPr>
            <w:tcW w:w="8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3.2%</w:t>
            </w:r>
          </w:p>
        </w:tc>
      </w:tr>
      <w:tr>
        <w:trPr/>
        <w:tc>
          <w:tcPr>
            <w:tcW w:w="52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 of patients with complete or partial response per provocation test</w:t>
            </w:r>
          </w:p>
        </w:tc>
        <w:tc>
          <w:tcPr>
            <w:tcW w:w="7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62.5%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p=0.0118</w:t>
            </w:r>
          </w:p>
        </w:tc>
        <w:tc>
          <w:tcPr>
            <w:tcW w:w="7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75%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p=0.0006</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31.3%</w:t>
            </w:r>
          </w:p>
        </w:tc>
        <w:tc>
          <w:tcPr>
            <w:tcW w:w="34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304" w:before="0" w:after="0"/>
              <w:ind w:left="0" w:right="0" w:hanging="0"/>
              <w:jc w:val="center"/>
              <w:rPr/>
            </w:pPr>
            <w:r>
              <w:rPr/>
              <w:t>​</w:t>
            </w:r>
          </w:p>
        </w:tc>
        <w:tc>
          <w:tcPr>
            <w:tcW w:w="8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66.6%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57.5%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p=0.0002</w:t>
            </w:r>
          </w:p>
        </w:tc>
        <w:tc>
          <w:tcPr>
            <w:tcW w:w="83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12.9%</w:t>
            </w:r>
          </w:p>
        </w:tc>
      </w:tr>
      <w:tr>
        <w:trPr/>
        <w:tc>
          <w:tcPr>
            <w:tcW w:w="524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Improvement in Critical Temperature (CTT) and Critical Friction (CFT) Thresholds</w:t>
            </w:r>
          </w:p>
        </w:tc>
        <w:tc>
          <w:tcPr>
            <w:tcW w:w="7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-8.82°C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75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-9.61°C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-0.30°C</w:t>
            </w:r>
          </w:p>
        </w:tc>
        <w:tc>
          <w:tcPr>
            <w:tcW w:w="346" w:type="dxa"/>
            <w:tcBorders>
              <w:left w:val="single" w:sz="2" w:space="0" w:color="000000"/>
              <w:right w:val="single" w:sz="2" w:space="0" w:color="000000"/>
            </w:tcBorders>
            <w:tcMar>
              <w:top w:w="0" w:type="dxa"/>
              <w:bottom w:w="0" w:type="dxa"/>
            </w:tcMar>
            <w:vAlign w:val="center"/>
          </w:tcPr>
          <w:p>
            <w:pPr>
              <w:pStyle w:val="TableContents"/>
              <w:bidi w:val="0"/>
              <w:spacing w:lineRule="auto" w:line="304" w:before="0" w:after="0"/>
              <w:ind w:left="0" w:right="0" w:hanging="0"/>
              <w:jc w:val="center"/>
              <w:rPr/>
            </w:pPr>
            <w:r>
              <w:rPr/>
              <w:t>​</w:t>
            </w:r>
          </w:p>
        </w:tc>
        <w:tc>
          <w:tcPr>
            <w:tcW w:w="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-2.46 pins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-2.27 pins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p=0.0002</w:t>
            </w:r>
          </w:p>
        </w:tc>
        <w:tc>
          <w:tcPr>
            <w:tcW w:w="83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-0.82 pins</w:t>
            </w:r>
          </w:p>
        </w:tc>
      </w:tr>
      <w:tr>
        <w:trPr/>
        <w:tc>
          <w:tcPr>
            <w:tcW w:w="52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 of patients with Urticaria Control Test &gt;12</w:t>
            </w:r>
          </w:p>
        </w:tc>
        <w:tc>
          <w:tcPr>
            <w:tcW w:w="7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58.6%</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p=0.0048</w:t>
            </w:r>
          </w:p>
        </w:tc>
        <w:tc>
          <w:tcPr>
            <w:tcW w:w="753"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68.8%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64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31.0%</w:t>
            </w:r>
          </w:p>
        </w:tc>
        <w:tc>
          <w:tcPr>
            <w:tcW w:w="346"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lineRule="auto" w:line="304" w:before="0" w:after="0"/>
              <w:ind w:left="0" w:right="0" w:hanging="0"/>
              <w:jc w:val="center"/>
              <w:rPr/>
            </w:pPr>
            <w:r>
              <w:rPr/>
              <w:t>​</w:t>
            </w:r>
          </w:p>
        </w:tc>
        <w:tc>
          <w:tcPr>
            <w:tcW w:w="8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54.8%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p=0.0015</w:t>
            </w:r>
          </w:p>
        </w:tc>
        <w:tc>
          <w:tcPr>
            <w:tcW w:w="8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65.5%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3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32.0%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2025, quality of life data were presented at the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Patients on study continued to receive barzolvolimab for up to 20 weeks. Data from this longer term treatment period were presented in November 2025 at the ACAAI Annual Scientific Meeting. The data demonstrated sustained efficacy and a favorable safety profile over the 20 week placebo controlled treatment period. Key highlights at 20 weeks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66% of patients with ColdU and 49% of patients with SD obtained a complete response compared to 16% and 10% of patients on placebo,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78% of patients with ColdU and 58% of patients with SD obtained a partial or complete response compared to 25% and 16% of patients on placebo,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Marked improvement in critical temperature threshold (from baseline values of 18.7°C and 20.7°C to Week 20 values of 10.7°C and 9.2°C for barzolvolimab 150 mg Q4W and 300 mg Q8W, respectively compared to baseline values of 18.6°C to Week 20 values of 18.2°C for placebo) and friction thresholds (from baseline values of 3.6 and 3.6 pins to 1.5 and 1.4 pins for barzolvolimab 150 mg Q4W and 300 mg Q8W, respectively compared to baseline values of 3.6 pins to 2.9 pins for placebo) were observed over the course of the 20 week treatment period. Sustained improvement in itch reduction at the time of provocation testing (WI-NRSprovo) was also observed at Week 20.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completing the treatment period, patients were eligible to enter a 24 week open label extension (OLE) upon resumption/continuation of symptoms. Consistent with the clinical endpoint results at Week 20, placebo-treated patients entered the OLE at a faster rate compared to barzolvolimab-treated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Barzolvolimab was well tolerated with a favorable safety profile over the 20 week treatment period consistent with previous studies. There was no difference between active treatment (2%) and placebo groups (3%) in rate of discontinuations due to adverse events. Most adverse events for patients on study drug were grade 1 (mild), mechanism related (KIT) and, as demonstrated in previous studies, expected to be reversible. The most common adverse events occurring in greater than 10% of patients in any treatment group through Week 20 were hair color changes (18%; Grade 1, n=22 / Grade 2, n=2) and neutropenia (12%; Grade 1, n=9 / Grade 2, n=6). Neutropenia was transient and there was no association with infections.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CIndU. In December 2025, we initiated a Phase 3 study of barzolvolimab in adult patients with ColdU and SD who remain symptomatic despite H1 antihistamine treatment. The Phase 3 trial (EMBARQ-ColdU and SD) is a randomized, double-blind, placebo-controlled, parallel group, global Phase 3 study (approximately 75 clinical trial sites across 7 countries) where approximately 240 participants will be enrolled to 2 separate cohorts (differentiated by subtype) to include approximately 120 participants with ColdU and 120 participants with SD. Participants in each cohort will be randomized in a 1:1 ratio to one of two treatment arms: cohort 1: barzolvolimab 150 mg every 4 weeks (Q4W) following a loading dose of 450 mg on Day 1 or cohort 2: matching placebo for 24 weeks. The primary endpoint of the study will evaluate the percentage of patients with complete response (negative provocation test) at Week 12 as assessed by the TempTest® in ColdU and the FricTest® in SD. After completing the treatment period, participants will continue to be followed for 16 weeks.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single IV dose of 3.0 mg/kg barzolvolimab resulted in rapid and durable reductions in itch and healing of skin lesions in patients with moderate to severe PN and that barzolvolimab was generally well tolerated.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6 which was distinct from both the 1.5 mg/kg barzolvolimab and placebo arms.</w:t>
            </w:r>
          </w:p>
        </w:tc>
      </w:tr>
    </w:tbl>
    <w:tbl>
      <w:tblPr>
        <w:tblW w:w="6774" w:type="dxa"/>
        <w:jc w:val="left"/>
        <w:tblInd w:w="0" w:type="dxa"/>
        <w:tblLayout w:type="fixed"/>
        <w:tblCellMar>
          <w:top w:w="0" w:type="dxa"/>
          <w:left w:w="0" w:type="dxa"/>
          <w:bottom w:w="0" w:type="dxa"/>
          <w:right w:w="0" w:type="dxa"/>
        </w:tblCellMar>
      </w:tblPr>
      <w:tblGrid>
        <w:gridCol w:w="961"/>
        <w:gridCol w:w="721"/>
        <w:gridCol w:w="721"/>
        <w:gridCol w:w="721"/>
        <w:gridCol w:w="721"/>
        <w:gridCol w:w="721"/>
        <w:gridCol w:w="721"/>
        <w:gridCol w:w="721"/>
        <w:gridCol w:w="76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r>
      <w:tr>
        <w:trPr/>
        <w:tc>
          <w:tcPr>
            <w:tcW w:w="6774" w:type="dxa"/>
            <w:gridSpan w:val="9"/>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≥4-point decrease in WI-NRS</w:t>
            </w:r>
          </w:p>
        </w:tc>
      </w:tr>
      <w:tr>
        <w:trPr/>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1</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3</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5</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6</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7</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6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71</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6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tc>
      </w:tr>
    </w:tbl>
    <w:tbl>
      <w:tblPr>
        <w:tblW w:w="3980" w:type="dxa"/>
        <w:jc w:val="left"/>
        <w:tblInd w:w="0" w:type="dxa"/>
        <w:tblLayout w:type="fixed"/>
        <w:tblCellMar>
          <w:top w:w="0" w:type="dxa"/>
          <w:left w:w="0" w:type="dxa"/>
          <w:bottom w:w="0" w:type="dxa"/>
          <w:right w:w="0" w:type="dxa"/>
        </w:tblCellMar>
      </w:tblPr>
      <w:tblGrid>
        <w:gridCol w:w="961"/>
        <w:gridCol w:w="811"/>
        <w:gridCol w:w="721"/>
        <w:gridCol w:w="721"/>
        <w:gridCol w:w="76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10235" cy="29210"/>
                      <wp:effectExtent l="0" t="0" r="0" b="0"/>
                      <wp:wrapNone/>
                      <wp:docPr id="3" name="Frame3"/>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29210"/>
                      <wp:effectExtent l="0" t="0" r="0" b="0"/>
                      <wp:wrapNone/>
                      <wp:docPr id="4" name="Frame4"/>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57835" cy="29210"/>
                      <wp:effectExtent l="0" t="0" r="0" b="0"/>
                      <wp:wrapNone/>
                      <wp:docPr id="5" name="Frame5"/>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57835" cy="29210"/>
                      <wp:effectExtent l="0" t="0" r="0" b="0"/>
                      <wp:wrapNone/>
                      <wp:docPr id="6" name="Frame6"/>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86410" cy="29210"/>
                      <wp:effectExtent l="0" t="0" r="0" b="0"/>
                      <wp:wrapNone/>
                      <wp:docPr id="7" name="Frame7"/>
                      <a:graphic xmlns:a="http://schemas.openxmlformats.org/drawingml/2006/main">
                        <a:graphicData uri="http://schemas.microsoft.com/office/word/2010/wordprocessingShape">
                          <wps:wsp>
                            <wps:cNvSpPr txBox="1"/>
                            <wps:spPr>
                              <a:xfrm>
                                <a:off x="0" y="0"/>
                                <a:ext cx="486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980"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IGA 0/1</w:t>
            </w:r>
          </w:p>
        </w:tc>
      </w:tr>
      <w:tr>
        <w:trPr/>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8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81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9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8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0</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81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noBreakHyphen/>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includes approximately 75 clinical trial centers worldwide, including the United States. Enrollment was completed in December 2025. Topline data from the study is expected in summer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Atopic Dermatitis (AD)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well‐defined, reliable, sensitive and valid scale for evaluating worst itch intensity in adults with moderate‐to‐severe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includes approximately 40 clinical trial centers in the United States. Enrollment was completed in January 2026. Topline data from the study is expected in late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2025, we announced the discontinuation of development in eosinophilic esophagitis (EoE), a chronic inflammatory disease of the esophagus, based on interim results from a Phase 2 study. Identifying the key drivers of EoE has challenged the field and research has suggested that mast cells could play an important role in the disease pathogenesis. We designed this study to determine if barzolvolimab could deplete mucosal (intraepithelial) mast cells and, in turn, improve clinical outcomes in EoE. The primary endpoint of the study, absolute change from baseline to Week 12 in peak esophageal intraepithelial mast cell count was met, but the profound mast cell depletion observed did not result in improvement in EoE symptoms or endoscopic assessment of disease activity compared to placebo. Consistent with previously reported studies, barzolvolimab demonstrated a favorable safety and tolerability profile. Based on these results, further development in EoE was discontinued. The results do support future development with KIT- or SCF-targeted therapies in other GI indications where mucosal mast cells are believed to play an important role.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CDX-622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reduce clearance (YTE). In preclinical studies, CDX-622 inhibits TSLP and SCF with similar potency to both its respective parental mAbs and comparator mAbs </w:t>
      </w:r>
      <w:r>
        <w:rPr>
          <w:rFonts w:ascii="Times New Roman;Times;serif" w:hAnsi="Times New Roman;Times;serif"/>
          <w:i/>
          <w:sz w:val="20"/>
        </w:rPr>
        <w:t>in vitro</w:t>
      </w:r>
      <w:r>
        <w:rPr>
          <w:rFonts w:ascii="Times New Roman;Times;serif" w:hAnsi="Times New Roman;Times;serif"/>
          <w:sz w:val="20"/>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2024, we initiated a Phase 1 study of CDX-622 in healthy volunteers and enrollment was completed in January 2026. The Phase 1a clinical trial is a three-part, randomized, double-blind, placebo-controlled, dose escalation study designed to assess the safety, pharmacokinetics, and pharmacodynamics of CDX-622 in up to 80 healthy participants. A single dose of CDX-622 or placebo was administered intravenously (IV) once during Part 1. In Part 2, CDX-622 or placebo was administered IV every 2 weeks (Q2W) for up to 6 weeks following the first dose, for a total of 4 doses. In Part 3, a single dose of CDX-622 or placebo was administered subcutaneously once. Participants are followed for 12 weeks in all Parts following the last dose of study drug. The pharmacodynamic biomarkers from blood and skin will be highly informative on the ability of CDX-622 to engage and neutralize SCF and TSLP.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presented positive data from the Phase 1 single ascending dose portion of the study (Part 1) at the CIA (Collegium Internationale Allergologicum) Biennial Symposium in October 2025. CDX-622 was well tolerated with no dose limiting toxicities and no emergent events related to systemic KIT inhibition. CDX-622 exhibited a good pharmacokinetic profile and induced rapid and sustained dose dependent reductions in serum tryptase, indicative of mast cell inhibition and depletion. The multiple ascending doses portion of the study (Part 2) and subcutaneous administration (Part 3) are ongoing with data expected in the third quarter of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2026, we initiated an open-label, single-dose Phase 1 proof of mechanism study to assess the safety, pharmacodynamics, and pharmacokinetics of CDX-622 in adults with mild to moderate asthma. Participants will receive a single IV infusion of CDX-622 and be followed for 12 weeks. PD effects of CDX-622 on fractional exhaled nitric oxide (FeNO), absolute eosinophil count (AEC) and serum biomarkers, including TSLP- and SCF-related biomarkers, will be evaluated.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Partnerships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Collaboration and License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is our significant research collaboration and license agreement for our current clinical drug candidates.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Yale University (Yale)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a license agreement with Yale, we may be required to make a one-time payment to Yale of $3.0 million with respect to barzolvolimab upon achievement of a specified commercial milestone. In addition, we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targeted therapies and immune modulators. Some of our competitors possess substantially greater financial, technical and human resources than we do.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is a summary of the competitors of which we are aware that have initiated a Phase 3 study or have obtained marketing approval for a potentially competitive drug to barzolvolimab for treatment of CSU, CIndU, PN, and AD.</w:t>
      </w:r>
    </w:p>
    <w:tbl>
      <w:tblPr>
        <w:tblW w:w="7235" w:type="dxa"/>
        <w:jc w:val="left"/>
        <w:tblInd w:w="0" w:type="dxa"/>
        <w:tblLayout w:type="fixed"/>
        <w:tblCellMar>
          <w:top w:w="0" w:type="dxa"/>
          <w:left w:w="0" w:type="dxa"/>
          <w:bottom w:w="0" w:type="dxa"/>
          <w:right w:w="0" w:type="dxa"/>
        </w:tblCellMar>
      </w:tblPr>
      <w:tblGrid>
        <w:gridCol w:w="2011"/>
        <w:gridCol w:w="346"/>
        <w:gridCol w:w="2971"/>
        <w:gridCol w:w="346"/>
        <w:gridCol w:w="156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76985" cy="29210"/>
                      <wp:effectExtent l="0" t="0" r="0" b="0"/>
                      <wp:wrapNone/>
                      <wp:docPr id="8" name="Frame8"/>
                      <a:graphic xmlns:a="http://schemas.openxmlformats.org/drawingml/2006/main">
                        <a:graphicData uri="http://schemas.microsoft.com/office/word/2010/wordprocessingShape">
                          <wps:wsp>
                            <wps:cNvSpPr txBox="1"/>
                            <wps:spPr>
                              <a:xfrm>
                                <a:off x="0" y="0"/>
                                <a:ext cx="1276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886585" cy="29210"/>
                      <wp:effectExtent l="0" t="0" r="0" b="0"/>
                      <wp:wrapNone/>
                      <wp:docPr id="9" name="Frame9"/>
                      <a:graphic xmlns:a="http://schemas.openxmlformats.org/drawingml/2006/main">
                        <a:graphicData uri="http://schemas.microsoft.com/office/word/2010/wordprocessingShape">
                          <wps:wsp>
                            <wps:cNvSpPr txBox="1"/>
                            <wps:spPr>
                              <a:xfrm>
                                <a:off x="0" y="0"/>
                                <a:ext cx="1886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91235" cy="29210"/>
                      <wp:effectExtent l="0" t="0" r="0" b="0"/>
                      <wp:wrapNone/>
                      <wp:docPr id="10" name="Frame10"/>
                      <a:graphic xmlns:a="http://schemas.openxmlformats.org/drawingml/2006/main">
                        <a:graphicData uri="http://schemas.microsoft.com/office/word/2010/wordprocessingShape">
                          <wps:wsp>
                            <wps:cNvSpPr txBox="1"/>
                            <wps:spPr>
                              <a:xfrm>
                                <a:off x="0" y="0"/>
                                <a:ext cx="99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1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Competitor</w:t>
            </w:r>
          </w:p>
        </w:tc>
        <w:tc>
          <w:tcPr>
            <w:tcW w:w="346" w:type="dxa"/>
            <w:tcBorders/>
            <w:vAlign w:val="center"/>
          </w:tcPr>
          <w:p>
            <w:pPr>
              <w:pStyle w:val="TableContents"/>
              <w:bidi w:val="0"/>
              <w:spacing w:before="0" w:after="0"/>
              <w:ind w:left="0" w:right="0" w:hanging="0"/>
              <w:jc w:val="center"/>
              <w:rPr/>
            </w:pPr>
            <w:r>
              <w:rPr/>
              <w:t>  ​ ​ ​</w:t>
            </w:r>
          </w:p>
        </w:tc>
        <w:tc>
          <w:tcPr>
            <w:tcW w:w="29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Competitor Product</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Indication(s)</w:t>
            </w:r>
          </w:p>
        </w:tc>
      </w:tr>
      <w:tr>
        <w:trPr/>
        <w:tc>
          <w:tcPr>
            <w:tcW w:w="201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Abbvie</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Rinvoq</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Akeso Bio</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AKT120</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Amgen/Kiowa Kirin</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Rocatinlimab</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 and PN</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Celltrion</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CT-P39, omalizumab biosimilar</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 Lilly</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Olumiant and Ebglyss</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Galderma/Chugai</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Nemluvio</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PN and 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Genentech/Novartis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Xolair</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Incyte</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Povorcitinib</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PN</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Kashiv Biosciences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ADL-018 omalizumab biosimilar</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Leo Pharma</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Adbry</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Medimetriks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Difamilast</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Novartis</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Remibrutinib</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 and CIndU</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Pfizer</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Cibinqo</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Regeneron/Sanofi</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Dupixent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 PN, and 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Sanofi</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Amlitelimab</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Teva</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Tev-45779, omalizumab biosimilar</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Vanda Pharmaceuticals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Tradipitant</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face competition in recruiting and retaining highly qualified scientific personnel and consultants and in the development and acquisition of technologies.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research and development company and have limited experience in commercial manufacturing. To conduct late-stage clinical trials, as well as manufacture and commercialize our drug candidates, we engage CDMOs in the U.S and outside the U.S. to manufacture our drug candidates on a large scale at a competitive cost and in accordance with current Good Manufacturing Practices (cGMP) and U.S. and foreign regulatory requirements, as applicable. We also rely on CDMOs for filling, labeling and storage for studies inside and outside the U.S. Any manufacturing failures or compliance issues at our CDMOs could cause delays in our clinical studies or commercialization of our drug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drug candidates to clinical sites in the U.S., EU and ROW for early-stage clinical trials. We have manufactured barzolvolimab and CDX-622 drug substance in our Fall River facility for our current and planned Phase 1 and Phase 2 clinical trials.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barzolvolimab drug product is currently administered subcutaneously. The subcutaneous formulation allows for potential self-administration at home, eliminating the need for intravenous dosing in a hospital or clinic setting. 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Organization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limited commercial resourcing and experience in marketing, sales, distribution and product reimbursement. We have the capability to provide current and future market insights to our research and development organization regarding our potential drug candidates. On November 10, 2025, we announced the appointment of a new Chief Commercial Officer.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 Licenses and Proprietary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Patents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key patents and patent applications owned by us or licensed to us that we consider important to our current clinical programs include the following (except where stated otherwise, the indicated and estimated patent expiry dates are the estimated normal expirations if all maintenance fees and annuities are paid when due, and do not include any possible additional terms for Patent Term Adjustments (PTAs), Patent Term Extensions (PTEs), other term extensions or Supplementary Protection Certificates (SPCs), if these may be secured in due course):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portfolio of patents and patent applications directed to barzolvolimab and other anti-KIT receptor antibodies. These patents and patent applications include claims directed to particular anti-KIT antibody compositions of matter, including barzolvolimab compositions of matter, and methods of using such antibodies. A composition of matter patent has been issued in the U.S. which would have an estimated patent expiry date in 2034 (this includes additional term due to PTA, but does not include any PTE if this may be secured in due course) and further U.S. patent applications are pending. Patents have also been issued in Europe, Japan, Canada, China, Australia, New Zealand, Israel, India, the Republic of Korea, the Russian Federation, Singapore, Brazil, Mexico, South Africa and certain other countries. Where issued the foregoing would have estimated normal patent expiry dates ranging from 2032 to 2033. Further (later filed) patent applications (relating to Fc sequences used in barzolvolimab and certain uses of barzolvolimab) are pending in the U.S., the European Patent Office, Japan, Canada, China, Australia, New Zealand, Israel, India, the Republic of Korea, the Eurasian Patent Office, Singapore, Brazil, Mexico and South Africa. If, when and where issued the latter would have estimated normal patent expiry dates in 2042.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portfolio of pending patent applications directed to anti-SCF and anti-TSLP antibody sequences used in CDX-622 as compositions of matter. Patent applications are pending in the U.S., the European Patent Office, Japan, Canada, China, Australia, New Zealand, Israel, India, the Republic of Korea, the Eurasian Patent Office, Singapore, Brazil, Mexico and South Africa. If, when and where issued, any patents resulting from these patent applications would have estimated normal patent expiry dates in 2044.</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Third parties may have or may obtain valid and enforceable patents or proprietary rights that could block us from developing products using our technology,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patents and pending patent applications in the United States and foreign countries relating to particular receptors, antigens and antigenic fragments targeted by our current drug candidates;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patents and pending patent applications in the United States and foreign countries relating to antibodies targeting certain receptors and other targets including anti- SCF antibodies, anti-TSLP antibodies and certain other antibodies and their sequences and uses.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Licenses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entered into significant license agreements relating to technologies that are being developed by us. Typically,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 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Proprietary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FDA Approval Process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process required by the FDA before a drug or biological product may be marketed in the United States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and formulation studies in compliance with the FDA’s good laboratory practice, or GLP,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investigational new drug, or IND, application which must become effective before human clinical trials may begin;</w:t>
            </w:r>
          </w:p>
        </w:tc>
      </w:tr>
    </w:tbl>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institutional review board, or IRB, at each clinical site before each trial may be initiated;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in accordance with good clinical practices, or GCP, to establish the safety and efficacy of the proposed drug or biological product for each indication;</w:t>
            </w:r>
          </w:p>
        </w:tc>
      </w:tr>
    </w:tbl>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 new drug application, or NDA, or a biologics license application, or BLA, as applicable;</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NDA or BLA.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all of our clinical drug candidates will be subject to review as biological products under BLA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Clinical Trials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Studies that are conducted in multiple countries are reviewed and authorized by additional regional or country specific health authorities in addition to the FDA.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international review often is slower than that of the FDA and may result in regulatory opinions that are different than the decisions provided by the FDA.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Disclosure of Clinical Trial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Sponsors of clinical trials of FDA-regulated products, including biological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Marketing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testing and approval processes require substantial time, effort and financial resources, and each may take many years to complete. Data obtained from clinical activities are not always conclusive and may be susceptible to varying interpretations that could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 if the FDA approves a product, it may limit the approved indications for use for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Special Regulatory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Fast track designation — </w:t>
      </w:r>
      <w:r>
        <w:rPr>
          <w:rFonts w:ascii="Times New Roman;Times;serif" w:hAnsi="Times New Roman;Times;serif"/>
          <w:sz w:val="20"/>
        </w:rPr>
        <w:t>The FDA is required to facilitate the development and expedite the review of drugs and biologics that are intended for the 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Priority review — </w:t>
      </w:r>
      <w:r>
        <w:rPr>
          <w:rFonts w:ascii="Times New Roman;Times;serif" w:hAnsi="Times New Roman;Times;serif"/>
          <w:sz w:val="20"/>
        </w:rPr>
        <w:t>Under FDA policies, a drug candidate may be eligible for priority review. The priority review program provides for expedited review or an 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Accelerated approval — </w:t>
      </w:r>
      <w:r>
        <w:rPr>
          <w:rFonts w:ascii="Times New Roman;Times;serif" w:hAnsi="Times New Roman;Times;serif"/>
          <w:sz w:val="20"/>
        </w:rPr>
        <w:t xml:space="preserve">Under the law and the FDA’s accelerated approval regulations, the FDA may approve a drug or biologic for 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withdraw the drug from the market on an expedited basis. All promotional materials for drug candidates approved under accelerated regulations are subject to prior review by the FDA.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Breakthrough therapy designation —</w:t>
      </w:r>
      <w:r>
        <w:rPr>
          <w:rFonts w:ascii="Times New Roman;Times;serif" w:hAnsi="Times New Roman;Times;serif"/>
          <w:sz w:val="20"/>
        </w:rPr>
        <w:t xml:space="preserve"> The FDA is also required to expedite the development and review of the application for approval of drugs that are 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Orphan drug designation — </w:t>
      </w:r>
      <w:r>
        <w:rPr>
          <w:rFonts w:ascii="Times New Roman;Times;serif" w:hAnsi="Times New Roman;Times;serif"/>
          <w:sz w:val="20"/>
        </w:rPr>
        <w:t>Under the Orphan Drug Act, the FDA may grant orphan drug designation to a drug or biologic intended to treat a rare disease 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Pediatric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Post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product, complete withdrawal of the product from the market or product recalls;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untitled and warning letters or holds on post-approval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applications or supplements to approved applications, or suspension or revocation of product license approvals;</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products; or</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 injunctions or the imposition of civil or criminal prosecution.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Biosimilars and Exclusivity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Biologics Price Competition and Innovation Act of 2009 (“BPCIA”) created an abbreviated approval pathway for biological products shown to be highly similar to, or interchangeable with, an FDA-licensed reference biological product. The FDA has issued several guidance documents outlining an approach to review and approval of biosimilars.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BPCIA includes, among other provisions, a 12-year exclusivity period from the date of first licensure, or BLA approval, of the reference product, during which approval of a 351(k) application referencing that product may not be made effective; a four-year exclusivity period from the date of first licensure of the reference product, during which a 351(k) application referencing that product may not be submitted; and an exclusivity period for certain biological products that have been approved through the 351(k) pathway as interchangeable biosimilars.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BPCIA also establishes procedures for identifying and resolving patent disputes involving applications submitted under section 351(k) of the PHSA.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BPCIA is complex and its interpretation and implementation by the FDA remains unpredictable. In addition, government proposals have sought to reduce the 12-year reference product exclusivity period. Other aspects of the BPCIA, some of which may impact the BPCIA exclusivity provisions, have also been the subject of recent litigation. As a result, the ultimate effect, implementation, and meaning of the BPCIA is subject to uncertainty.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Federal and State Fraud and Abuse, Data Privacy and Security and Transparency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Foreign Regulation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EU regulatory system, we will submit all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European Medicines Agency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Other Regulatory Processes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legislation is drafted, introduced and passed in Congress that could significantly change the statutory provisions governing the testing, approval, manufacturing and marketing of products regulated by the FDA.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Payor Coverage and Reimbursement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uncertainty exists as to the coverage and reimbursement status of any drug products for which we obtain regulatory approval. Sales of any of our drug candidates, if approved, will depend, in part, on the extent to which the acquisition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significant out-of-pocket payments for the patient.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secure coverage and reimbursement for any drug that might be approved for sale, we need to conduct analyses and pharmaco-economic studies in order to demonstrate the incremental value over and above the currently available treatment options. Our drug candidates may not be considered medically necessary, provide insufficient incremental value, or may not be deemed cost-effective per payor criteria. A payor’s decision to provide coverage for a drug product does not imply that an adequate reimbursement rate will be approved.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containment of health care costs has become a priority of federal, state and foreign governments, and the prices of drugs have been a focus in this effort. Given that the Inflation Reduction Act is now in place, potential implications for the biopharma industry are still being assessed. In the meantime,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value and/or cost-effectiveness.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 border trade has existed for some time in the EU, allowing pharmacies in one country to import, at a lower price, drug from another country, further exerting pricing pressures across the EU. There is U.S. legislation that establishes a process for states to import less expensive drugs from Canada to the U.S. In January 2024, the FDA authorized the state of Florida to establish such a program, although Florida must take several other steps before drugs begin to be imported. There can be no assurance that any country that has price controls or reimbursement limitations for drug products will allow favorable reimbursement and pricing arrangements for any of our drugs.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addition, the States may continue to consider legislation of their own (e.g. Prescription Drug Afforability Boards)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mission driven organization, we believe the engagement and dedication of our employees is central to our success and employ talented individuals who have the skills and expertise to help us achieve our goals.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we had 198 full-time employees, 30 of whom have Ph.D. and/or M.D. degrees. Of these employees, 166 were engaged in or directly support research and development activities. We consider our relationship with our employees to be good.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success depends in large part on our ability to attract and retain experienced and skilled employees. We endeavor to provide competitive compensation and benefits packages designed to attract, retain and reward talented individuals who possess the skills necessary to support our business objectives, assist in the achievement of our strategic goals and increase stockholder value. We employ a pay for performance philosophy. Annual salary increases, incentive bonuses and stock option grants are available to all employees and are based on merit and include individual and corporate performance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that a diverse workforce brings.</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the health, safety and well-being of our employees at all times. We follow federal, state and local rules and guidelines to ensure the safety of our workforce and provide resources to assist our employees in managing their overall physical and mental health.</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dedicated a significant portion of our resources to our efforts to develop our drug candidates. We incurred research and development expenses of $245.1 million, $163.6 million and $118.0 million during the years ended December 31, 2025, 2024 and 2023, respectively. We anticipate that a significant portion of our operating expenses will continue to be related to research and development in 2026 as we continue to advance our drug candidates through clinical development.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and Available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incorporated in Delaware. Our website is located at </w:t>
      </w:r>
      <w:r>
        <w:rPr>
          <w:rFonts w:ascii="Times New Roman;Times;serif" w:hAnsi="Times New Roman;Times;serif"/>
          <w:i/>
          <w:sz w:val="20"/>
        </w:rPr>
        <w:t>http://www.celldex.com.</w:t>
      </w:r>
      <w:r>
        <w:rPr>
          <w:rFonts w:ascii="Times New Roman;Times;serif" w:hAnsi="Times New Roman;Times;serif"/>
          <w:sz w:val="20"/>
        </w:rPr>
        <w:t xml:space="preserve"> On our website, investors can obtain, free of charge, a copy of our Annual Report on Form 10-K, Quarterly Reports on Form 10-Q, Current Reports on Form 8-K, our Code of Business Conduct and Ethics, including disclosure related to any amendments or waivers thereto, other reports and any amendments thereto filed or furnished pursuant to Section 13(a) or 15(d) of the Exchange Act of 1934, as amended, as soon as reasonably practicable after we file such material electronically with, or furnish it to, the Securities and Exchange Commission, or the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27" w:name="Item1ARISKFACTORS_59438"/>
      <w:bookmarkStart w:id="28" w:name="_998b710b_8d5f_4a40_a176_2fce11adabfa"/>
      <w:bookmarkEnd w:id="27"/>
      <w:bookmarkEnd w:id="28"/>
      <w:r>
        <w:rPr>
          <w:rFonts w:ascii="Times New Roman;Times;serif" w:hAnsi="Times New Roman;Times;serif"/>
          <w:b/>
          <w:i w:val="false"/>
          <w:caps w:val="false"/>
          <w:smallCaps w:val="false"/>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Condition and Capital Requirements</w:t>
      </w:r>
    </w:p>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need for additional capital to fund our operations.</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Merger Agreement and related Settlement Agreement with Kolltan.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Development and Regulatory Approval of Drug Candidates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fund and complete the research and development activities and obtain regulatory approval for our program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extensive and lengthy regulatory scrutiny to which we are subject.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disruptions at the U.S. FDA and other government agencies caused by funding shortages or global health concerns.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commence, enroll, manage and complete our clinical trials.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of serious adverse or unacceptable side effects identified related to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related to showing that our drug candidates are effective and competitive with other therapies and approved products.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collaboration agreements for our lead drug candidates that may not meet our expectations.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Drug Candidates</w:t>
      </w:r>
    </w:p>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delays, difficulties or unanticipated costs in establishing sales, marketing and distribution capabilities.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acceptance of our drug candidates by physicians, patients and third-party payors.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reimbursement decisions by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including the terms of FDA approval, that could affect the demand for and sales and profitability of any of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failure to obtain regulatory approvals in foreign jurisdictions and risks related to international operations if we do obtain regulatory approval in foreign jurisdictions.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Reliance on Third Parties</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reliance on third parties.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Business Operations</w:t>
      </w:r>
    </w:p>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strategic transactions.</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managing our growth.</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integrate and modify our technologies to create new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computer systems that we and third parties use and potential security breaches or operational impairment.</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hazardous materials.</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product liability claims.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Intellectual Property</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intellectual property.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Risks</w:t>
      </w:r>
    </w:p>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regulatory approval process for our drugs.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product candidate manufacturing or formulation.</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compliance with laws and regulations.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Capital Stock</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history of losses and uncertainty of future profitability.</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volatility of our common stock.</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use of our net operating loss carryforwards.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internal controls over financial reporting.</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that our competitors may develop technologies that make ours obsolete.</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health epidemics and outbreaks.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global economy and supply chain disruptions.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loss of our key executives and scientists.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that our employees may engage in misconduct or other improper activities.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compliance with the Nasdaq Listing Rules.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private industries’ increased use of artificial intelligence, machine learning and certain automated decision-making technologies (“AI Technologies”) in business that may expand our limited use of these technologies.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Financial Condition and Capital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currently have no product revenue and will need to raise capital to operate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date, we have generated no product revenue and cannot predict when and if we will generate product revenue. We had an accumulated deficit of $1.8 billion as of December 31, 2025. Until, and unless, we complete clinical trials and other development activity, and receive approval from the FDA and 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expect to incur future losses and we may never become profitable.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incurred operating losses of $287.4 million, $195.1 million and $154.5 million during 2025, 2024, and 2023, respectively, and expect to incur an operating loss in 2026 and beyond. We believe that operating losses will continue in 2026 and beyond because we are planning to incur significant costs associated with the development of our drug candidates and, if we are successful in obtaining regulatory approval to market one or more of our product candidates, the marketing and commercialization of such approved product(s). During the years ended December 31, 2025, 2024 and 2023, we incurred $111.8 million, $73.0 million and $32.4 million in clinical trial expense and $47.1 million, $16.4 million and $24.1 million in contract manufacturing expense. Our net losses have had and will continue to have an adverse effect on, among other things, our stockholders’ equity, total assets and working capital.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 if we are successful in obtaining regulatory approval for barzolvolimab or one or more of our other drug candidates, our ability to generate revenue will still be dependent on a number of factors outside of our control, including, the size of the addressable market, the label for which approval is granted, the accepted price for the product, and/or the ability to get and maintain adequate coverage and reimbursement. See “</w:t>
      </w:r>
      <w:r>
        <w:rPr>
          <w:rFonts w:ascii="Times New Roman;Times;serif" w:hAnsi="Times New Roman;Times;serif"/>
          <w:i/>
          <w:sz w:val="20"/>
        </w:rPr>
        <w:t>If our drug candidates for which we obtain regulatory approval do not achieve broad acceptance from physicians, patients and third-party payors, we may be unable to generate significant revenues, if any</w:t>
      </w:r>
      <w:r>
        <w:rPr>
          <w:rFonts w:ascii="Times New Roman;Times;serif" w:hAnsi="Times New Roman;Times;serif"/>
          <w:sz w:val="20"/>
        </w:rPr>
        <w:t>”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losses will fluctuate from quarter to quarter and year to year, and that such fluctuations may be substantial. We cannot predict when we will become profitable, if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to incur significant costs as we develop our drug candidates. The continuing development and commercialization of our drug candidates requires additional capital beyond our current resources. As of December 31, 2025, we had cash, cash equivalents and marketable securities of $518.6 million. During the next twelve months and beyond, we will take further steps to raise additional capital to fund our long-term liquidity needs. Our capital raising activities may include, but may not be limited to, one or more of the following:</w:t>
      </w:r>
    </w:p>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of drug candidates with existing or new collaborative partners;</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business combinations;</w:t>
            </w:r>
          </w:p>
        </w:tc>
      </w:tr>
    </w:tbl>
    <w:tbl>
      <w:tblPr>
        <w:tblW w:w="2106" w:type="dxa"/>
        <w:jc w:val="left"/>
        <w:tblInd w:w="0" w:type="dxa"/>
        <w:tblLayout w:type="fixed"/>
        <w:tblCellMar>
          <w:top w:w="28" w:type="dxa"/>
          <w:left w:w="28" w:type="dxa"/>
          <w:bottom w:w="28" w:type="dxa"/>
          <w:right w:w="28" w:type="dxa"/>
        </w:tblCellMar>
      </w:tblPr>
      <w:tblGrid>
        <w:gridCol w:w="124"/>
        <w:gridCol w:w="256"/>
        <w:gridCol w:w="1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debt; or</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or other securities via private placements or public offerings.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agreement pursuant to which we acquired Kolltan in 2016 (the “Merger Agreement”) as modified by the definitive settlement agreement (the “Settlement Agreement”) we entered on July 15, 2022 related to litigation arising from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Kolltan merger, in the event that regulatory approval by the United States Food and Drug Administration or European Medicines Agency of certain drug candidates are achieved, we will be required to pay to the former stockholders of Kolltan a milestone payment of $52,500,000, which milestone payment may be made, at our sole election, in cash, in shares of our common stock or a combination of both, subject to provisions of the Merger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require additional capital to fund the milestone payment in cash, depending on the facts and circumstances at the time such payment becomes due.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pay the milestone payment in shares of our common stock, our stockholders would experience substantial dilution.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Development and Regulatory Approval of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long-term success depends heavily on our ability to fund and complete the research and development activities and obtain regulatory approval for our program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Only a small minority of all research and development programs ultimately result in commercially successful drugs. Clinical failure can occur at any stage of clinical development. Clinical and preclinical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As part of development, we also must show that we can formulate and manufacture our product candidates in compliance with regulatory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will need substantial additional financing to complete the development of our drug candidates and comply with the regulatory requirements governing this process. Further, even if we complete the development of our drug candidates and gain marketing approvals from the FDA and comparable foreign regulatory authorities in a timely manner, we cannot be sure that such drug candidates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drug candidates are subject to extensive regulatory scrutiny.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Premarket review of our product candidates by the FDA and/or other regulatory authorities is a lengthy and uncertain process and approval may be delayed, limited or denied, any of which would adversely affect our ability to generate operating revenues.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not permitted to market our drug product candidates in the United States until we receive approval of an application by the FDA. The time required to obtain approval by the FDA is unpredictable, but typically takes multiple years following the commencement of clinical trials, and depends upon numerous factors, including the substantial discretion of the FDA and the type, complexity and novelty of the product candidates involved. Similar processes are used in countries outside of the U.S. We have not submitted a marketing application such as BLA or NDA to the FDA or any similar application to any other regulatory authority in any jurisdiction.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has substantial discretion in the drug approval process, including the ability to delay, limit or deny approval of a product candidate for many reasons. For example, the FDA: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determine that the information provided by us as part of an IND or BLA/NDA is inadequate, contains clinical deficiencies or otherwise fails to demonstrate safety and effectiveness of any of our product candidates for any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find the data from pre-clinical and clinical trials sufficient to support the submission of a marketing application or to obtain marketing approval, including any findings that the safety risks outweigh clinical and other benefits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require us to perform additional studies to demonstrate the safety, efficacy, pharmacokinetics, or other properties of our product candidates prior to approval, or require such studies as a condition of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disagree with our clinical trial designs or our interpretation of data from product development manufacturing data, bioequivalence studies and/or clinical trials, or may change the requirements for approval even after it has reviewed and commented on the design for our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identify deficiencies in the manufacturing processes or facilities of third-party manufacturers with which we enter into agreements for the supply of the API used in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identify deficiencies in our own manufacturing processes or our proposed scale-up of the manufacturing processes or facilities for the production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approve our product candidates for fewer or more limited indications than we request, or may grant approval contingent on the performance of costly post-approval clinical trials;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change its approval policies or adopt new regulations;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approve the labeling claims that we believe are necessary or desirable for the successful commercialization of our product candidates.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time and expense of the approval process, as well as the unpredictability of future clinical trial results and other contributing factors, may result in our failure to obtain regulatory approval to market, in the United States or other jurisdictions, barzolvolimab and other drug candidates that we are developing or may seek to develop in the future, which would significantly harm our business, results of operations and prospects. In such case, we may also not have the resources to conduct new clinical trials and/or we may determine that further clinical development of any such drug candidate is not justified and may discontinue any such programs.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Disruptions at the U.S. FDA and other government agencies caused by funding shortages or otherwise could hinder their ability to hire and retain key leadership and other personnel, or otherwise review and process regulatory submissions in a timely manner, which could negatively impact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including the most recent U.S. government shutdown which lasted from October 1, 2025 through November 12, 2025, and certain regulatory agencies, such as the U.S. FDA, have had to furlough U.S. FDA employees and suspend certain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Disruptions at the U.S. FDA and other agencies may also slow the time necessary for new drugs to be reviewed and/or approved by necessary government agencies, which would adversely affect our business. If a prolonged government shutdown occurs or continues, or if the U.S. FDA or other regulatory authorities is prevented from conducting their regular inspections, reviews, or other regulatory activities, for any reason, it could significantly impact the ability of the U.S. FDA or other regulatory authorities to timely review and process our regulatory submissions, which could have a material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drug candidates do not pass required tests for safety and effectiveness, we will not be able to obtain regulatory approval and derive commercial revenue from them.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before initiating human clinical trials.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preclinical studies and early clinical trials may not be predictive of the results of later- 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testing is critical to the success of our drug candidates but subject to delay or cancellation if we have difficulty enrolling patients.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clinical test;</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patient population;</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willingness to receive a placebo or less effective treatment on the control arm of a clinical study;</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distance between patients and clinical test sites; and</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trial.</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cannot enroll patients as needed, our costs may increase, or we may be forced to delay or terminate testing for a product.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have delays in commencing, enrolling and completing our clinical trials, and we may not complete them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not completed the clinical trials necessary to obtain FDA approval to market any of our drug candidates in development. Clinical trials for our products in development may be delayed or terminated as a result of many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reach agreements on acceptable terms with prospective contract research organizations (CROs) and trial sites, the terms of which can be subject to extensive negotiation and may vary significantly among different CROs and trial sites;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enrolling patients in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necessary supplies of study drug and comparator to maintain predicted enrollment rates at clinical trial sites;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failing to complete clinical trials due to dissatisfaction with the treatment, side effects or other reasons;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regulators to authorize us to commence a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termination by regulators of clinical research for many reasons, including concerns about patient safety, bias or failure of our contract manufacturers to comply with cGMP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 to obtain clinical supply for our products necessary to conduct clinical trials from contract manufacturers, including commercial grade-clinical supply for our Phase 3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identify and maintain a sufficient number of trial sites, many of which may already be engaged in other clinical trial programs, including some that may be for the same indication as our product candidates;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candidates demonstrating a lack of efficacy during clinical trials;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continue to fund clinical trials or to find a partner to fund the clinical trials;</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ongoing clinical trials and scheduling conflicts with participating clinicians; and</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completing data collection and analysis for clinical trials.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delay or failure to commence, enroll or complete clinical trials, fulfill regulatory requirements and obtain FDA approval for our drug candidates could have a material adverse effect on our cost to develop and commercialize, and our ability to generate revenue from, a particular drug candidate.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serious adverse or unacceptable side effects are identified during the development of our drug candidates, such events could prevent us from obtaining regulatory approval or achieving market acceptance of our drug candidates, and we may need to abandon or limit our development of some of our drug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If our drug candidates are associated with serious adverse events or undesirable side effects in clinical trials or have characteristics that are unexpected, such events could prevent us from obtaining regulatory approval or achieving market acceptance of our drug candidates, and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inflammatory diseases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those associated with other marketed therapies. In addition, when used in combination with other marketed therapies, our drug candidates may exacerbate adverse events associated with the marketed therapy.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drug candidates, including barzolvolimab, are monoclonal antibodies, which are biologics. Side effects from biologics may include but are not limited to hypersensitivity; severe reactions such as anaphylaxis or cytokine release syndrome; immune-mediated adverse reactions that may occur in any organ system or tissue, such as pneumonitis, colitis, hepatitis, endocrinopathies, nephritis, and dermatologic reactions; as well as infusion-related reactions, cellulitis, sepsis, pneumonia, urinary tract infection, fatigue, rash, and diarrhea.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Most biologics, including our drug candidates, are injected, either subcutaneously or intravenously. There are risks inherent in subcutaneous injections, such as injection-site reactions (including redness, itching, swelling, pain, and tenderness) and other side effects. In addition, there are risks inherent in intravenous administration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safety, efficacy, manufacturing, and regulatory hurdles faced by our product candidates, the administration of biologics frequently causes an immune response, sometimes resulting in the creation of antibodies against the drug candidate which can impact the safety and/or efficacy associated with the treatment.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resources to pursue a particular drug candidate or indication and forgo the opportunity to capitalize on drug candidates or indications that may ultimately be more profitable or for which there is a greater likelihood of success.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manage multiple late-stage clinical trials for a variety of drug candidates simultaneously.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in a compliant manner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we could be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successfully validate, develop and obtain regulatory approval for companion diagnostics for our drug candidates, if needed, could harm our drug development strategy and operational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delay in obtaining regulatory approval would have an adverse impact on our ability to earn future revenues.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face intense competition in our development activities. We face competition from many companies in the United States and abroad, including a number of large pharmaceutical companies.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Drug Candidates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face delays, difficulties or unanticipated costs in establishing and maintaining sales, marketing, market access, patient services and distribution capabilities or seeking a partnership for the commercialization of our drug candidates, even if regulatory approval is obtained.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sales, marketing, market access, patient services and distribution capabilities to carry out this strategy. If any of our drug candidates are approved by the FDA, we will need a drug sales force with technical expertise and commercial-scale manufacturing capabilities prior to the commercialization of any of our drug candidates. We will also need to invest in new enterprise risk management programs to assist us with complying with the increasingly complex laws and requirements pertaining to commercial companies, including those related to regulatory oversight, financial reporting, and internal controls. We may not succeed in developing these new capabilities, the cost of establishing such capabilities may exceed any product revenue, or our direct marketing and sales efforts may be unsuccessful.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may find it necessary to enter into strategic partnerships, co-promotion or other licensing arrangements. To the extent we enter into such strategic partnerships, co- promotion or other licensing arrangements, our product revenues may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our drug candidates for which we obtain regulatory approval do not achieve broad acceptance from physicians, patients and third-party payors, we may be unable to generate significant revenues, if any.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a drug’s FDA-approved labeling;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or the availability of alternative drugs for the targeted indications for any of our drug candidates;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the approved indications for our drug candidates;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availability, market acceptance and reimbursement for the companion diagnostic, where applicable;</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demonstrated clinical safety and efficacy compared to other drugs;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adverse side effects;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education, sales, marketing and distribution support;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third-party manufacturers we contract with to provide an adequate (in amount and quality) supply of product to support the market demand;</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market introduction and perceived effectiveness of competitive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cost-effectiveness and the extent to which any government action results in downward pressure on the price that we would receive for our drug candidates;</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drug candidates as safe, effective and well-tolerated by patients and the medical community;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about our drug candidates or favorable publicity about competitive drugs;</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convenience and ease of administration of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involvement in lawsuits in connection with enforcing intellectual property rights in and to our drug candidates; and</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willingness of third-party payors to reimburse for the cost of our drug candidates.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our future drugs, if any, fail to achieve market acceptance or we fail to secure and maintain adequate coverage and reimbursement for our future drugs, if any, we will not be able to generate significant revenues and may never achieve profitability.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any of our drug candidates receive FDA approval, the terms of the approval may limit such drug’s commercial potential. Additionally, even after receipt of FDA approval, such drug would be subject to substantial, ongoing regulatory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or under a Risk Evaluation and Mitigation Strategy (REMS) drug safety program. Additionally, after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or criminal penalties and fines;</w:t>
            </w:r>
          </w:p>
        </w:tc>
      </w:tr>
    </w:tbl>
    <w:tbl>
      <w:tblPr>
        <w:tblW w:w="1521" w:type="dxa"/>
        <w:jc w:val="left"/>
        <w:tblInd w:w="0" w:type="dxa"/>
        <w:tblLayout w:type="fixed"/>
        <w:tblCellMar>
          <w:top w:w="28" w:type="dxa"/>
          <w:left w:w="28" w:type="dxa"/>
          <w:bottom w:w="28" w:type="dxa"/>
          <w:right w:w="28" w:type="dxa"/>
        </w:tblCellMar>
      </w:tblPr>
      <w:tblGrid>
        <w:gridCol w:w="124"/>
        <w:gridCol w:w="256"/>
        <w:gridCol w:w="1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w:t>
            </w:r>
          </w:p>
        </w:tc>
      </w:tr>
    </w:tbl>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regulatory approval;</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any ongoing clinical studies;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or mandatory product recalls and publicity requirements;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accept or approve applications for marketing approval of new drugs;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operations, including costly new manufacturing requirements; or</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seizure or detention of drugs or import bans.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regulatory requirements and policies may change, and additional government regulations may be enacted with which we may also be required to comply. We cannot predict the likelihood, nature or extent of government regulation that may arise from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legislation or administrative action, either in the United States or in other countries. If we are not able to maintain regulatory compliance, we may not be permitted to market our future products and our business may suffer.</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Reimbursement decisions by third-party payors may have an adverse effect on pricing and market acceptance of any of our drug candidates. If there is not sufficient reimbursement for our future drugs, it is less likely that such drugs will be widely used.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factors could affect the demand for and sales and profitability of any drug candidates that we may commercialize in the future.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general, other factors that could affect the demand for and sales and profitability of our future drugs include, but are not limited to:</w:t>
      </w:r>
    </w:p>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regulatory approval, if any, of competitive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 any other of our partners’ pricing decisions, as applicable, including a decision to increase or decrease the price of a drug, and the pricing decisions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and third-party payor reimbursement and coverage decisions that affect the utilization of our future drugs and competing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safety or efficacy data from new clinical studies conducted either in the U.S. or internationally by any party, which could cause the sales of our future drugs to decrease or a future drug to be recalled;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patent protection afforded our future drugs by patents granted to or licensed by us and by the outcome of litigation involving our or any of our licensor’s patents;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exclusivity, if any, awarded by the FDA to our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litigation involving patents of other companies concerning our future drugs or processes related to production and formulation of those drugs or uses of those drugs;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use and development of alternate therapies;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market penetration by competing drugs; and</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or change in, existing arrangements with our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of these factors could have a material adverse effect on the sales of any drug candidates that we may commercialize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obtain regulatory approvals in foreign jurisdictions will prevent us from marketing our products internationally.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Before granting the MA, the European Medicines Agency or the competent authorities of the member states of the EEA make an assessment of the risk-benefit balance of the product on the basis of scientific criteria concerning its quality, safety and efficacy. Similar regulatory review and risk-benefit assessments may apply to other regulatory authorities and payer bodies in markets around the world.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obtain approval to commercialize any approved products outside of the United States, a variety of risks associated with international operations could materially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our drug candidates are approved for commercialization outside of the United States, we expect that we will be subject to additional risks related to international operations and entering into international business relationships, including:</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regulatory requirements for drug approvals;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for intellectual property rights, including trade secret and patent rights;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and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uncertain interest rate environments or political instability in particular foreign economies and markets;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taxes, including withholding of payroll taxes;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revenues, and other obligations incident to doing business in another country;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employment regulations are different than, and labor unrest is more common than, in the United States;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natural disasters, including earthquakes, hurricanes, floods and fires;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importing and exporting clinical trial materials and study samples.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biopharmaceutical industry is subject to extensive legislative and regulatory obligations and policies that may be subject to change, which could increase the difficulty and cost for us to progress our clinical programs, obtain marketing approval of and commercialize our product candidates and may affect the prices we may set.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U.S. biopharmaceutical industry is highly regulated and subject to frequent and substantial changes, including as a result of new judicial or government actions. Legislative and regulatory agendas as they relate to the biopharmaceutical industry are currently uncertain. Changes in the regulatory approval process, or substantial reductions in the personnel who oversee that process, increase the difficulty and cost for us to progress our clinical programs, obtain marketing approval of and commercialize our product candidates and may affect the prices we may set.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 number of legislative and regulatory changes and proposed changes regarding the regulatory system,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 For example, in the United States, the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Inflation Reduction Act of 2022, enacted in August 2022, empowers the Centers for Medicare and Medicaid Services to negotiate directly with pharmaceutical companies to set the prices for a limited set of high-cost drugs covered by Medicare, and puts penalties in place for drug manufacturers who increase their Medicare prices by more than the rate of inflation.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other legislative changes have been proposed and adopted in the United States since the ACA was enacted. For example,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OBBBA or any other similar laws introduced in the future may result in additional reductions in Medicare and other health care funding, which could negatively affect our addressable market if we are successful in obtaining regulatory approval for one or more of our drug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Since then, other pharmaceutical companies have entered similar agreements. In addition, CMS has released several drug pricing proposed rules in the form of demonstration projects that test whether most favored pricing could increase prescription drug affordability in the United States. If adopted, these rules would implement new, mandatory drug rebate schemes for select drugs in Medicare Parts B and 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could have a significant impact on how lower courts evaluate challenges to agency interpretations of law, including those by the FDA and other agencies with significant oversight of the biopharmaceutical industry. The new framework may increase both the frequency of such challenges and their odds of success by eliminating one way in which the government previously prevailed in such cases. As a result, significant regulatory policies could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increased litigation and judicial scrutiny. We cannot predict how other future federal or state legislative or administrative changes relating to healthcare reform or the biopharmaceutical industry, or the regulatory agencies that oversee the biopharmaceutical industry, will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our current and future third party collaborators may rely on government programs or agencies, such as the National Institutes for Health (“NIH”), as a source of grant funding for scientific research relevant to our product candidates. Funding from government agencies such as the NIH can fluctuate and is subject to the political process, which is often unpredictable. For example, earlier in 2025, the U.S. government adopted a new policy that would limit National Institutes of Health research funding for “indirect costs” to 15% of grants, which is an important form of funding for medical research at universities, medical schools, research hospitals and other scientific institutions and is significantly below what many institutions have been receiving for indirect costs. Although these reductions are the subject of legal challenges, they may remain in place. Reductions in NIH grants to us or our third-party collaborators may adversely impact our ability to develop our existing product candidates and our ability to identify new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Reliance on Third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plan, conduct and monitor our clinical tests, and their failure to perform as required would interfere with our product development.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CDMOs, some of whom are our single source manufacturers, over whom we have limited control. Should the cost, delivery and quality of clinical materials manufactured by us in our Fall River facility or supplied by CDMOs vary to our disadvantage, our business operations could suffer significant harm.</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research and development company and have limited experience in commercial manufacturing. To conduct late-stage clinical trials, as well as manufacture and commercialize our drug candidates, we engage CDMOs in the U.S and outside the U.S. to manufacture our drug candidates on a large scale at a competitive cost and in accordance with cGMP and U.S. and foreign regulatory requirements, as applicable. We also rely on CDMOs for filling, labeling and storage for studies inside and outside the U.S. Moreover, some of our CDMOs are currently single source manufacturers. While we plan to try to obtain multiple sources in the future, the lack of a second source at this time could expose us to a number of risks related to our supply chain if and when we become a commercial stage company, including delivery failure and drug shortages. To date, we have no qualified alternative sources for these single source CDMOs. Any manufacturing failures or compliance issues at our CDMOs could cause delays in our clinical studies or commercialization of our drug candidates.</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establish our own commercial manufacturing facility, we would require substantial additional funds and would need to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 We therefore work with CDMOs under established manufacturing arrangements that comply with the FDA’s requirements and other regulatory standards, although there is no assurance that the manufacturing will be successful.</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approval of any drug candidate, the FDA must review and approve validation studies for both drug substance and drug product. The manufacturing processes for our drug candidates and device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may result in unanticipated technical challenges and may require additional validation studies that the FDA must review and approve. CDMOs may encounter difficulties in scaling up production, including problems involving supply chain, raw material suppliers, production yields, technical difficulties, scaled-up product characteristics, quality control and assurance, shortage of qualified personnel, capacity constraints, changing priorities within the CDMOs,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reliable sources of drug substance and drug product become critical to commercial success. The commercial viability of any of our drug candidates, if approved, will depend on the ability of our CDMOs to produce drug substance and drug product on a large scale. Failure to achieve this level of supply can jeopardize and prevent the successful commercialization of the drug.</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leading drug candidates require specialized manufacturing capabilities and processes. We may face difficulty in securing commitments from U.S. and foreign CDMOs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supply chain issues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 including tariffs.</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can be no assurances that CDMOs will be able to meet our timetable and requirements. While we believe that there is currently sufficient capacity worldwide for the production of our potential products through CDMOs, establishing long-term relationships with CDMOs and securing multiple sources for the necessary quantities of clinical and commercial materials required can be a challenge due to increasing industry demand for CDMO services. Qualifying the initial source of clinical and ultimately commercial material is a time consuming and expensive process due to the highly regulated nature of the pharmaceutical/biotech industry. The key difficulty in qualifying more than one source for each product is the duplicated time and expense in doing so without the potential to mitigate these costs if the secondary source is never utilized. Further, CDMOs must operate in compliance with cGMP and failure to do so could result in, among other things, the disruption of product supplies. </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of CDMOs also limits our control over and ability to monitor the manufacturing process. As a result, we may not be able to detect a variety of problems that may arise and may face additional costs in the process of interfacing with and monitoring the progress of our CDMOs. If CDMOs fail to meet our manufacturing needs in an acceptable manner or fail to comply with regulatory requirements, we would face delays and additional costs while we develop internal manufacturing capabilities or find alternate CDMOs. It may not be possible to have multiple CDMOs ready to supply us with needed material at all or without incurring significant costs. Our dependence upon CDMOs for the manufacture of our products may adversely affect our profit margins and our ability to develop, manufacture, sell and deliver products on a timely and competitive basis. Any manufacturing failures, supply chain delays or compliance issues at our Fall River facility or at our CDMOs could cause delays in our clinical studies for our drug candidates.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need to rely on third-party collaborators to develop and commercialize companion diagnostic tests for our drug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may need to rely on such third-party collaborators to obtain regulatory approval and commercialize such companion diagnostic tests. Such third-party collaborators:</w:t>
      </w:r>
    </w:p>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perform their obligations as expected or as required under our collaboration agreement;</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encounter production difficulties that could constrain the supply of the companion diagnostic test;</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have difficulties gaining acceptance of the use of the companion diagnostic test in the clinical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pursue commercialization of the companion diagnostic test even if they receive any required regulatory approvals;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susceptible to third party cyber-attacks on our and their information security systems;</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commit sufficient resources to the marketing and distribution of the companion diagnostic test; and</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terminate their relationship with us.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reliance on third parties requires us to share our trade secrets, which increases the possibility that a competitor will discover them.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Business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engage in strategic transactions that could impact our liquidity, increase our expenses and present significant distractions to our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may consider strategic transactions, including acquisitions of companies,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our business and diversion of our management’s time and attention in order to develop acquired products, drug candidates or technologies;</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equity securities to pay for acquisitions;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write-downs of assets or impairment charges;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 and</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retain key employees of any acquired businesses.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expand our clinical development, regulatory and sales and marketing capabilities, and as a result, we may encounter difficulties in managing our growth, which could disrupt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successfully integrate our existing technology or to modify our technologies to create new immunotherapeutic drugs.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immunotherapy technology portfolio may offer opportunities to develop immunotherapeutic drugs that treat a variety of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internal computer systems, or those of our CROs, CDMOs, or other contractors or consultants, may fail or suffer security breaches, which could result in a material disruption of our drug development programs.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computer systems and those of our CROs, CDMOs, and other contractors and consultants are vulnerable to damage from cyberattacks, malicious intrusion, computer viruses, unauthorized access, data breaches, phishing attacks, cybercriminals, natural disasters, terrorism, war and telecommunication, electrical failures or other significant disruption even with a cybersecurity risk mitigation program developed by our enterprise, including management of our vendors. Such information technology systems are additionally vulnerable to security breaches from inadvertent or intentional actions by our employees, third-party vendors, contractors, consultants, business partners, and/or other third parties. The risks of a security breach or disruption, particularly through cyber-attacks or cyber intrusion, including by traditional computer “hackers,” threat actors, personnel (such as through theft, inadvertent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mistake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and distribute our products and product candidates. If any such events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Further, the risk of cyber-attacks or other privacy or data security incidents may be heightened due to common, external attempts to attack our information technology systems and data using means such as phishing, deepfakes, other social engineering and vulnerability exploitation.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have not experienced any material disruptions to our business, systems or operations as a result of a cybersecurity incident to date, if such an event were to occur and cause material interruptions in our operations, it could result in a material disruption of our independent drug development programs and our business overall.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further restricts all applicable personal data, including information masked by a coding system that is not considered deidentified data under applicable law. In addition to HIPAA and GDPR, numerous other federal and state laws, including, without limitation, state security breach notification laws, state health information privacy laws and federal and state consumer protection laws, govern the collection, use, disclosure, protection and storage of personal information. To the extent that any disruption or security breach of our information technology systems were to result in a loss of or damage to data or applications, or inappropriate disclosure of third-party notifiable confidential or proprietary information, personal health information, personal information or personal data, we could incur substantial liability under laws that protect the privacy of personal information, our reputation would be damaged, and the further development of our product candidates could be delayed, any of which could adversely affect our business. The costs related to significant security breaches or disruptions could be material and exceed the limits of the cybersecurity insurance we maintain against such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requires us to use hazardous materials, which increases our exposure to dangerous and costly accidents.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research and development activities involve the use of biological materials and small amounts of hazardous chemicals. The company has internal policies and procedures for the safe handling and disposal of these materials, in full compliance with applicable laws and regulations, including applicable OSHA, EPA, state and local regulations, and utilizing EPA licensed disposal companies and facilities. Although we believe we have reduced our risk and impacts from these materials through our safety procedures, we cannot completely eliminate the risk of accidental contamination or injury from these materials. The ongoing cost of complying with environmental laws and regulations is significant and may increase in the future. All risks of environmental damage inherent to our operations cannot be mitigated and failure to comply with applicable government regulations could result in the imposition of fines, restrictions, or increased operational costs, which could impact our ability to carry on with our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the risk of product liability claims, which could exceed our insurance coverage, and product recalls, each of which could deplete our cash resources.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 liability claims can be expensive to defend, even if the drug or drug candidate did not actually cause the alleged injury or harm.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Insurance covering product liability claims becomes increasingly expensive as a drug candidate moves through the development pipeline to commercialization.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 We may also be unable to obtain patent term adjustments or extensions (or similar rights, such as Supplementary Protection Certificates, in foreign countries) at the relevant times, or the duration of any such adjustments, extensions or the like may be less than requested.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Biotechnology patents involve complex legal, scientific and factual questions and are highly uncertain and may also result in different outcomes in different territories. In addition, changes in either the patent laws or interpretation of the patent laws in the United States and other territories may diminish the value of our patents or reduce the scope of our patent protection.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may potentially have them revoked or limit their scope, for example based on existing or newly identified prior art or other issues of validity.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and/or if inventorship were to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decided against us (or our licensor) in any relevant litigation, our use of the underlying product or technology will face restrictions, including elimination, and our ability to defend and/or enforce any affected patent rights could also be materially harmed.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need to license intellectual property from third parties, and such licenses may not be available or may not be available on commercially reasonable terms.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protect the confidentiality of our trade secrets, thus harming our business and competitive 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patents, which could be expensive, time- consuming and unsuccessful.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liable for monetary damages. Claims that we have misappropriated the confidential information or trade secrets of third parties can have a similar negative impact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may assert that our employees or consultants have wrongfully used or disclosed confidential information or misappropriated trade secrets.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obtain or maintain orphan drug designation or exclusivity for our product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seek orphan drug designation for some of our product candidates in the United States.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seek fast track designation for some of our product candidates or priority review of applications for approval of our product candidates. If a drug is intended for the treatment of a serious or life- 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our processes and systems are not compliant with regulatory requirements, we could be subject to delays in submitting BLAs, NDAs or restrictions on marketing of drugs after they have been approved.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conducted and are conducting clinical trials outside the United States and anticipate conducting additional clinical trials outside the United States, and the FDA may not accept data from such trials.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currently conducting clinical trials for our product candidates in countries outside of the United States and we anticipate that we will conduct additional clinical trials in countries outside the United States. Although the FDA may accept data from clinical trials conducted outside the United States, acceptance of such study data by the FDA is subject to certain conditions. For example, the clinical trial must be conducted in accordance with GCP requirements and the FDA must be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 A description of any studies related to overdosage is also required, including information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dialysis, antidotes, or other treatments, if known.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Risks inherent in conducting international clinical trials include, but are not limited to:</w:t>
      </w:r>
    </w:p>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regulatory requirements that could burden or limit our ability to conduct our clinical trials;</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burdens of conducting clinical trials under multiple foreign regulatory schema;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negatively impact our financial condition since certain payments are paid in local currencies;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customs, shipment and storage requirements;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differences in medical practice and clinical research; and</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diminished protection of intellectual property in some countries.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product candidate manufacturing or formulation may result in additional costs or delay.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During the course of a development program, sponsors may also change the contract manufacturers used to produce the product candidates. Such changes carry the risk that they will not achieve these intended objectives. Any of these changes could cause our product candidates to perform differently and affect the results of clinical trials. Such changes may also require additional testing, notification or approval by the FDA, EMA or other regulatory authorities. This could delay completion of clinical trials; require the conduct of bridging clinical trials or studies, or the repetition of one or more clinical trials; increase clinical trial costs; delay or prevent approval of our product candidates and jeopardize our ability to commence product sales and generate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or criminal penalties and fines;</w:t>
            </w:r>
          </w:p>
        </w:tc>
      </w:tr>
    </w:tbl>
    <w:tbl>
      <w:tblPr>
        <w:tblW w:w="1521" w:type="dxa"/>
        <w:jc w:val="left"/>
        <w:tblInd w:w="0" w:type="dxa"/>
        <w:tblLayout w:type="fixed"/>
        <w:tblCellMar>
          <w:top w:w="28" w:type="dxa"/>
          <w:left w:w="28" w:type="dxa"/>
          <w:bottom w:w="28" w:type="dxa"/>
          <w:right w:w="28" w:type="dxa"/>
        </w:tblCellMar>
      </w:tblPr>
      <w:tblGrid>
        <w:gridCol w:w="124"/>
        <w:gridCol w:w="256"/>
        <w:gridCol w:w="1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w:t>
            </w:r>
          </w:p>
        </w:tc>
      </w:tr>
    </w:tbl>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regulatory approval;</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any ongoing clinical studies;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or mandatory product recalls and publicity requirements;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accept or approve applications for marketing approval of new drugs;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operations, including costly new manufacturing requirements; or</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seizure or detention of drugs or import bans.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directly or indirectly, to federal and state health care fraud and abuse laws, false claims laws, transparency and pricing laws and health information privacy and security laws. If we are unable to comply, or have not fully complied, with such laws, we could face substantial penalties.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availability of individually identifiable electronic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transparency requirements under the Patient Protection and Affordable Care Act of 2010 (“ACA”) requires manufacturers of drugs, devices, biologics and medical supplies to report to the Department of Health and Human Services information related to physician payments and other transfers of value and physician ownership and investment interests;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federal laws, such as the Physician Sunshine Act, directed at generating transparency on financial issues, including drug prices and payments made by drug companies to various entities and individuals involved in healthcare.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subject to various domestic and international privacy and security regulations related to personal information, including health information, that are applicable to our business and associated data processing activities. The confidentiality, collection, use and disclosure of personal data, including clinical trial patient-specific information, are subject to governmental regulation generally in the country that the personal data was collected or used. In the United States, we are subject to various state and federal privacy and data security regulations, including but not limited to HIPAA and as amended by the HITECH Act. HIPAA imposes specified requirements relating to the privacy, security and availability of individually identifiable electronic health information, and mandates, among other things, the adoption of uniform standards for the electronic exchange of information in common health care transactions, as well as standards relating to the privacy and security of personal health information, which require the adoption of administrative, physical and technical safeguards to protect such information. We may also be subject to state security breach notification laws, state laws protecting the privacy and security of health and personal information, and federal and state consumer protections laws which regulate the collection, use, disclosure and transmission of personal information. These laws may overlap and conflict with each other, and each of these laws is subject to varying interpretations by courts and government agencies, creating complex compliance issues for us.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Violations of the GDPR can carry hefty fines. In addition, we may be subject to additional national laws and regulations that govern the privacy and security of health information in certain circumstances, many of which differ from each other in significant ways, thus complicating compliance efforts. If we fail to comply with applicable data protection laws and regulations, we could be subject to penalties or sanctions, including criminal penalties. Furthermore, the legislative and regulatory landscape for privacy and data protection continues to evolve, and there has been an increasing amount of focus on privacy and data protection issues.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Compliance with these laws may be time-consuming,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Capital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history of losses and uncertainty of future profitability make our common stock a highly speculative 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had no commercial revenue to date from sales of our drug candidates. We had an accumulated deficit of $1.8 billion as of December 31, 2025. We expect to spend substantial funds to continue the research and development testing of our drug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share price has been and could remain volatile.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market price of our common stock has historically experienced and may continue to experience significant volatility. From January 2024 through December 2025, the market price of our common stock has fluctuated from a high of $53.18 per share in the first quarter of 2024, to a low of $14.40 per share in the second quarter of 2025.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our net operating loss carryforwards will be subject to limitation and, under certain circumstances, may be eliminated.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we had net operating loss carryforwards, or NOLs, of approximately $842.9 million for federal income tax purposes, and $1.0 billion for state income tax purposes. Utilization of these NOLs depends on many factors, including our future income, which cannot be assured. In addition, 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2007, June 2009, December 2009, December 2013, November 2016 and June 2020, we experienced a change in ownership as defined by Section 382. Historically, we have raised capital through the issuance of capital stock on several occasions which, combined with shareholders’ subsequent disposition of those shares, has resulted in changes of control, as defined by Section 382. As a result of these ownership changes, utilization of at least some of our federal NOL carryforwards is subject to an annual limitation. We have not undertaken a study to assess whether an ownership change or multiple ownership changes have occurred for (i) acquired businesses with NOLs prior to being acquired by the Company, (ii) the Company on the state level, (iii) the Company since June 2024 or (iv) research and development credits. If, based on such a study, we were to determine that there has been an ownership change at any time, utilization of net operating loss or tax credit carryforwards would be subject to an annual limitation under Section 382 (or similar state provisions).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unused annual limitation may be carried over to later years, and the amount of the limitation may, under certain circumstances, be subject to adjustment if the fair value of our net assets is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16, “Income Taxes,” in the accompanying notes to the financial statements for additional discussion on income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Effective internal controls over financial reporting are necessary for us to provide reliable financial reports and, together with adequate disclosure controls and procedures, are designed to prevent fraud. Any failure to implement required or improved controls, or difficulties encountered in their implementation, could cause us to fail to meet our reporting obligations. We have designed,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implemented and tested the internal control over financial reporting required to comply with this obligation, which was and is time consuming, costly, and complicated.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many competitors in our field, and they may develop technologies that make ours obsolete.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Biotechnology, pharmaceuticals and therapeutics are rapidly evolving fields in which scientific and technological developments are expected to continue at a rapid pace. We have many competitors in the U.S. and abroad. The following table is a summary of the competitors of which we are aware that have initiated a Phase 3 study or have obtained marketing approval for a potentially competitive drug to barzolvolimab for treatment of CSU, CIndU, PN and AD.</w:t>
      </w:r>
    </w:p>
    <w:tbl>
      <w:tblPr>
        <w:tblW w:w="7235" w:type="dxa"/>
        <w:jc w:val="left"/>
        <w:tblInd w:w="0" w:type="dxa"/>
        <w:tblLayout w:type="fixed"/>
        <w:tblCellMar>
          <w:top w:w="0" w:type="dxa"/>
          <w:left w:w="0" w:type="dxa"/>
          <w:bottom w:w="0" w:type="dxa"/>
          <w:right w:w="0" w:type="dxa"/>
        </w:tblCellMar>
      </w:tblPr>
      <w:tblGrid>
        <w:gridCol w:w="2011"/>
        <w:gridCol w:w="346"/>
        <w:gridCol w:w="2971"/>
        <w:gridCol w:w="346"/>
        <w:gridCol w:w="156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76985" cy="29210"/>
                      <wp:effectExtent l="0" t="0" r="0" b="0"/>
                      <wp:wrapNone/>
                      <wp:docPr id="11" name="Frame11"/>
                      <a:graphic xmlns:a="http://schemas.openxmlformats.org/drawingml/2006/main">
                        <a:graphicData uri="http://schemas.microsoft.com/office/word/2010/wordprocessingShape">
                          <wps:wsp>
                            <wps:cNvSpPr txBox="1"/>
                            <wps:spPr>
                              <a:xfrm>
                                <a:off x="0" y="0"/>
                                <a:ext cx="1276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886585" cy="29210"/>
                      <wp:effectExtent l="0" t="0" r="0" b="0"/>
                      <wp:wrapNone/>
                      <wp:docPr id="12" name="Frame12"/>
                      <a:graphic xmlns:a="http://schemas.openxmlformats.org/drawingml/2006/main">
                        <a:graphicData uri="http://schemas.microsoft.com/office/word/2010/wordprocessingShape">
                          <wps:wsp>
                            <wps:cNvSpPr txBox="1"/>
                            <wps:spPr>
                              <a:xfrm>
                                <a:off x="0" y="0"/>
                                <a:ext cx="1886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91235" cy="29210"/>
                      <wp:effectExtent l="0" t="0" r="0" b="0"/>
                      <wp:wrapNone/>
                      <wp:docPr id="13" name="Frame13"/>
                      <a:graphic xmlns:a="http://schemas.openxmlformats.org/drawingml/2006/main">
                        <a:graphicData uri="http://schemas.microsoft.com/office/word/2010/wordprocessingShape">
                          <wps:wsp>
                            <wps:cNvSpPr txBox="1"/>
                            <wps:spPr>
                              <a:xfrm>
                                <a:off x="0" y="0"/>
                                <a:ext cx="99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1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Competitor</w:t>
            </w:r>
          </w:p>
        </w:tc>
        <w:tc>
          <w:tcPr>
            <w:tcW w:w="346" w:type="dxa"/>
            <w:tcBorders/>
            <w:vAlign w:val="center"/>
          </w:tcPr>
          <w:p>
            <w:pPr>
              <w:pStyle w:val="TableContents"/>
              <w:bidi w:val="0"/>
              <w:spacing w:before="0" w:after="0"/>
              <w:ind w:left="0" w:right="0" w:hanging="0"/>
              <w:jc w:val="center"/>
              <w:rPr/>
            </w:pPr>
            <w:r>
              <w:rPr/>
              <w:t>  ​ ​ ​</w:t>
            </w:r>
          </w:p>
        </w:tc>
        <w:tc>
          <w:tcPr>
            <w:tcW w:w="29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Competitor Product</w:t>
            </w:r>
          </w:p>
        </w:tc>
        <w:tc>
          <w:tcPr>
            <w:tcW w:w="346" w:type="dxa"/>
            <w:tcBorders/>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Indication(s)</w:t>
            </w:r>
          </w:p>
        </w:tc>
      </w:tr>
      <w:tr>
        <w:trPr/>
        <w:tc>
          <w:tcPr>
            <w:tcW w:w="201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Abbvie</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Rinvoq</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Akeso Bio</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AKT120</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Amgen/Kiowa Kirin</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Rocatinlimab</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 and PN</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Celltrion</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CT-P39, omalizumab biosimilar</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 Lilly</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Olumiant and Ebglyss</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Galderma/Chugai</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Nemluvio</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PN and 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Genentech/Novartis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Xolair</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Incyte</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Povorcitinib</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PN</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Kashiv Biosciences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ADL-018 omalizumab biosimilar</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Leo Pharma</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Adbry</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Medimetriks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Difamilast</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Novartis</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Remibrutinib</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 and CIndU</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Pfizer</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Cibinqo</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Regeneron/Sanofi</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Dupixent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 PN, and AD</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Sanofi</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Amlitelimab</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Teva</w:t>
            </w:r>
          </w:p>
        </w:tc>
        <w:tc>
          <w:tcPr>
            <w:tcW w:w="34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Tev-45779, omalizumab biosimilar</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CSU</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Vanda Pharmaceuticals</w:t>
            </w:r>
          </w:p>
        </w:tc>
        <w:tc>
          <w:tcPr>
            <w:tcW w:w="346" w:type="dxa"/>
            <w:tcBorders/>
            <w:shd w:fill="CCEEFF" w:val="clear"/>
            <w:vAlign w:val="center"/>
          </w:tcPr>
          <w:p>
            <w:pPr>
              <w:pStyle w:val="TableContents"/>
              <w:bidi w:val="0"/>
              <w:spacing w:before="0" w:after="0"/>
              <w:ind w:left="0" w:right="0" w:hanging="0"/>
              <w:jc w:val="left"/>
              <w:rPr/>
            </w:pPr>
            <w:r>
              <w:rPr/>
              <w:t>​</w:t>
            </w:r>
          </w:p>
        </w:tc>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Tradipitant</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technologies and products that are more effective than ours, making ours obsolete or otherwise noncompetitive;</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regulatory approval for products more rapidly or effectively than us;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patent protection or other intellectual property rights that would block our ability to develop competitive products.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natural disasters or other unforeseen events and our business continuity and disaster recovery plans may not adequately protect us from a serious disaster.</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Any unplanned event, such as flood, fire, explosion, earthquake, extreme weather condition, power shortage, telecommunication failure or other natural or manmade accidents or incidents that result in us being unable to fully utilize our facilities, or the manufacturing facilities of our third-party CDMOs, could severely disrupt our operations and have a material adverse effect on our business, results of operations, financial condition and prospects. For example, our operations are located primarily on the east coast of the United States, and any adverse weather event or natural disaster, such as a hurricane or heavy snowstorm, could have a material adverse effect on a substantial portion of our operations. If any event occurred that prevented us from using all or a significant portion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our manufacturing and lab facilities, damaged critical infrastructure, such as third-party manufacturing facilities, or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risks related to health epidemics and outbreaks, which could significantly disrupt our preclinical studies and clinical trials.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Disease outbreaks, epidemics and pandemics in regions where we have concentrations of clinical trial sites and other business operations, could adversely affect our business, including by causing significant disruptions in our operations and/or in the operations of manufacturers and CROs upon whom we rely. Disease outbreaks, epidemics and pandemics may have negative impacts on our ability to initiate new clinical trial sites, enroll new patients and maintain existing patients who are participating in clinical trials, which may result in increased clinical trial costs, longer timelines and delay in our ability to obtain regulatory approvals of our product candidates, if at all. For example, patient enrollment and recruitment could be delayed due to local clinical trial site protocols designed to protect staff and patients from certain outbreaks, which could delay the expected timelines for data readouts of our preclinical studies and clinical trials. Additionally, general supply chain issues may be exacerbated during disease outbreaks, epidemics or pandemics and may also impact the ability of our clinical trial sites to obtain basic medical supplies used in our trials in a timely fashion, if at all. Moreover, the extent to which disease outbreaks, epidemics and pandemics may impact our business, results of operations and financial position will depend on future developments, which are highly uncertain and cannot be predicted with confidence. New health epidemics or pandemics may emerge that result in similar or more severe disruptions to our business. A future disease outbreak, epidemic or pandemic adversely affects our business, financial condition, results of operations and growth prospects.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progression of an epidemic and the related effects on our business and operations are uncertain. A potential resurgence of an epidemic could pose the risk that we or our employees, suppliers, customers and others may be restricted or prevented from conducting business activities for indefinite or intermittent periods of time, including as a result of employee health and safety concerns, shutdowns, shelter in place orders, travel restrictions and other actions and restrictions that may be prudent or required by governmental authorities. This could disrupt our ability to operate our business, including producing drug product and administering our preclinical and clinical studies. In addition, fluctuations in demand and other implications associated with an epidemic could result in supply chain constraints and challenges.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Disruptions in the global economy and supply chains may have a material adverse effect on our business,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disruptions to the global economy due to geopolitical events have impeded, and may continue to impede in the future, global supply chains, resulting in longer lead times and also increased critical component costs and freight expenses. We have taken steps to minimize the impact of these increased costs by working closely with our suppliers. Despite the actions we have undertaken to minimize the impacts from disruptions to the global economy, there can be no assurances that unforeseen future events in the global supply chain, and inflationary pressures, will not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greatly on the intellectual capabilities and experience of our key executives and scientists, and the loss of any of them could affect our ability to develop our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may engage in misconduct or other improper activities, including noncompliance with regulatory standards and requirements, which could have a material adverse effect on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and the investments we make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maintain compliance with the Listing Rules of the NASDAQ Stock Exchange.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can be no assurance that in the future we will be able to maintain compliance with the Nasdaq Listing Rules, including the minimum bid price requirement and other applicable corporate governance requirements.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regulatory framework for AI Technologies is rapidly evolving and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Although we work to comply with applicable laws, regulations and standards, our contractual obligations and other legal obligations, these requirements are evolving and may be modified, interpreted and applied in an inconsistent manner from one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0" w:after="240"/>
        <w:ind w:left="0" w:right="0" w:hanging="0"/>
        <w:jc w:val="left"/>
        <w:rPr>
          <w:rFonts w:ascii="Times New Roman;Times;serif" w:hAnsi="Times New Roman;Times;serif"/>
          <w:b/>
          <w:sz w:val="20"/>
        </w:rPr>
      </w:pPr>
      <w:bookmarkStart w:id="29" w:name="Item1BUNRESOLVEDSTAFFCOMMENTS_750393"/>
      <w:bookmarkStart w:id="30" w:name="_6c0d950c_2ede_438c_b021_eeb81886fba4"/>
      <w:bookmarkEnd w:id="29"/>
      <w:bookmarkEnd w:id="30"/>
      <w:r>
        <w:rPr>
          <w:rFonts w:ascii="Times New Roman;Times;serif" w:hAnsi="Times New Roman;Times;serif"/>
          <w:b/>
          <w:sz w:val="20"/>
        </w:rPr>
        <w:t>Item 1B. UNRESOLVED STAFF COMMENTS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31" w:name="Item1CCYBERSECURITY_999736"/>
      <w:bookmarkStart w:id="32" w:name="_a78d06dc_12e3_4d1d_8ee8_e25e349e4a6f"/>
      <w:bookmarkEnd w:id="31"/>
      <w:bookmarkEnd w:id="32"/>
      <w:r>
        <w:rPr>
          <w:rFonts w:ascii="Times New Roman;Times;serif" w:hAnsi="Times New Roman;Times;serif"/>
          <w:b/>
          <w:sz w:val="20"/>
        </w:rPr>
        <w:t>Item 1C. CYBERSECURITY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Cybersecurity Risk Management and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effectively prevent, detect and respond to cybersecurity threats, we maintain a cyber risk management program under the responsibility of the head of the Information Technology (“IT”) function. Our IT head has more than 25 years of IT experience in the biopharmaceutical industry, where she has been responsible for technology leadership and digital transformation across core operations. Management and administration of cybersecurity systems and activities are primarily outsourced to consultants who have cross-functional expertise in cyber security and who perform the work under the supervision of the IT head. Our IT head, in turn reports to the Senior Vice-President and General Counsel who is responsible for and knowledgeable of legal and contractual cybersecurity risk for the organization. The program is comprised of policies, standards, architecture, and processes, which are reviewed and updated on a periodic basis. The program leverages a multilayered approach of utilizing different practices, technologies, vendors or techniques without an overreliance on a single vendor. We engage with consultants to help develop and evidence the policies, standards, and processes in a manner consistent with applicable legal requirements. We also evaluate and adopt cybersecurity software from reputable vendors in cybersecurity, including software as a service solutions backed by a Security Operations Center. We also engage separate third parties to provide penetration testing, risk consulting, cybersecurity incident assessment and forensics, as necessary and in addition to IT’s internal risk assessment processes. We work with many companies that provide hosted software or support for software systems. It is important for these companies to also have effective cybersecurity measures to protect data and systems. We have a self-attestation form to assess cybersecurity readiness that is sent to select vendors based on a risk assessment. For certain vendors, we request System and Organization Controls (SOC) reports or similar documents to provide assurance that the vendors have audited practices or practices in keeping with our legal requirements even if SOC audit documentation does not exist. We have also engaged legal counsel to advise on cybersecurity matters and we have developed an escalation protocol to report cybersecurity incidents as legally required. No material cybersecurity incidents have occurred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program also includes training that reinforces our policies, standards, and practices, as well as the expectation that employees comply with these policies. The training engages personnel on how to identify potential cybersecurity risks and protect our resources and information. This training is mandatory for all employees on a periodic basis, and it is supplemented by testing initiatives, including periodic phishing tests. We maintain a cybersecurity risk insurance policy.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Governance; Board Oversight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 Committee is responsible for reviewing our information security programs, including cybersecurity. Our IT team provides regular updates to the Audit Committee on our IT security strategy, secure score assessments, penetration testing results, and status of risk mitigation activities, where applicable. In 2025, our IT team met with the Audit Committee 4 times. Our IT team also notifies the Audit Committee and Executive Committee of any cybersecurity incidents (suspected or actual) and provides updates on the incidents as well as cybersecurity risk mitigation activities, as appropriate.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 w:name="Item2PROPERTIES_225470"/>
      <w:bookmarkStart w:id="34" w:name="_dd7d4df9_27a1_44fe_8052_3f3b1c14713c"/>
      <w:bookmarkEnd w:id="33"/>
      <w:bookmarkEnd w:id="34"/>
      <w:r>
        <w:rPr>
          <w:rFonts w:ascii="Times New Roman;Times;serif" w:hAnsi="Times New Roman;Times;serif"/>
          <w:b/>
          <w:sz w:val="20"/>
        </w:rPr>
        <w:t>Item 2. 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our significant leased properties are described below.</w:t>
      </w:r>
    </w:p>
    <w:tbl>
      <w:tblPr>
        <w:tblW w:w="9262" w:type="dxa"/>
        <w:jc w:val="left"/>
        <w:tblInd w:w="0" w:type="dxa"/>
        <w:tblLayout w:type="fixed"/>
        <w:tblCellMar>
          <w:top w:w="0" w:type="dxa"/>
          <w:left w:w="0" w:type="dxa"/>
          <w:bottom w:w="0" w:type="dxa"/>
          <w:right w:w="0" w:type="dxa"/>
        </w:tblCellMar>
      </w:tblPr>
      <w:tblGrid>
        <w:gridCol w:w="2191"/>
        <w:gridCol w:w="346"/>
        <w:gridCol w:w="1066"/>
        <w:gridCol w:w="346"/>
        <w:gridCol w:w="3196"/>
        <w:gridCol w:w="346"/>
        <w:gridCol w:w="177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91285" cy="175260"/>
                      <wp:effectExtent l="0" t="0" r="0" b="0"/>
                      <wp:wrapNone/>
                      <wp:docPr id="14" name="Frame14"/>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76910" cy="175260"/>
                      <wp:effectExtent l="0" t="0" r="0" b="0"/>
                      <wp:wrapNone/>
                      <wp:docPr id="16" name="Frame1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29460" cy="175260"/>
                      <wp:effectExtent l="0" t="0" r="0" b="0"/>
                      <wp:wrapNone/>
                      <wp:docPr id="18" name="Frame1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24585" cy="175260"/>
                      <wp:effectExtent l="0" t="0" r="0" b="0"/>
                      <wp:wrapNone/>
                      <wp:docPr id="20" name="Frame20"/>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Approximate</w:t>
            </w:r>
          </w:p>
        </w:tc>
        <w:tc>
          <w:tcPr>
            <w:tcW w:w="346" w:type="dxa"/>
            <w:tcBorders/>
            <w:vAlign w:val="center"/>
          </w:tcPr>
          <w:p>
            <w:pPr>
              <w:pStyle w:val="TableContents"/>
              <w:bidi w:val="0"/>
              <w:spacing w:before="0" w:after="0"/>
              <w:ind w:left="0" w:right="0" w:hanging="0"/>
              <w:jc w:val="center"/>
              <w:rPr/>
            </w:pPr>
            <w:r>
              <w:rPr/>
              <w:t>  ​ ​ ​</w:t>
            </w:r>
          </w:p>
        </w:tc>
        <w:tc>
          <w:tcPr>
            <w:tcW w:w="31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771" w:type="dxa"/>
            <w:tcBorders/>
            <w:vAlign w:val="center"/>
          </w:tcPr>
          <w:p>
            <w:pPr>
              <w:pStyle w:val="TableContents"/>
              <w:bidi w:val="0"/>
              <w:spacing w:before="0" w:after="0"/>
              <w:ind w:left="0" w:right="0" w:hanging="0"/>
              <w:jc w:val="center"/>
              <w:rPr/>
            </w:pPr>
            <w:r>
              <w:rPr/>
              <w:t>​</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Property Location</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Feet</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w:t>
            </w:r>
          </w:p>
        </w:tc>
        <w:tc>
          <w:tcPr>
            <w:tcW w:w="346" w:type="dxa"/>
            <w:tcBorders/>
            <w:vAlign w:val="center"/>
          </w:tcPr>
          <w:p>
            <w:pPr>
              <w:pStyle w:val="TableContents"/>
              <w:bidi w:val="0"/>
              <w:spacing w:before="0" w:after="0"/>
              <w:ind w:left="0" w:right="0" w:hanging="0"/>
              <w:jc w:val="center"/>
              <w:rPr>
                <w:color w:val="231F20"/>
              </w:rPr>
            </w:pPr>
            <w:r>
              <w:rPr>
                <w:color w:val="231F20"/>
              </w:rPr>
              <w:t>  ​ ​ ​</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Expiration Date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Hampton, New Jersey</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33,400</w:t>
            </w:r>
          </w:p>
        </w:tc>
        <w:tc>
          <w:tcPr>
            <w:tcW w:w="346" w:type="dxa"/>
            <w:tcBorders/>
            <w:shd w:fill="CCEEFF" w:val="clear"/>
            <w:vAlign w:val="center"/>
          </w:tcPr>
          <w:p>
            <w:pPr>
              <w:pStyle w:val="TableContents"/>
              <w:bidi w:val="0"/>
              <w:spacing w:before="0" w:after="0"/>
              <w:ind w:left="0" w:right="0" w:hanging="0"/>
              <w:jc w:val="left"/>
              <w:rPr/>
            </w:pPr>
            <w:r>
              <w:rPr/>
              <w:t> </w:t>
            </w:r>
          </w:p>
        </w:tc>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Headquarters, Office and Laboratory</w:t>
            </w:r>
          </w:p>
        </w:tc>
        <w:tc>
          <w:tcPr>
            <w:tcW w:w="34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July 2027</w:t>
            </w:r>
            <w:r>
              <w:rPr>
                <w:rFonts w:ascii="Times New Roman;Times;serif" w:hAnsi="Times New Roman;Times;serif"/>
                <w:sz w:val="15"/>
              </w:rPr>
              <w:t>(1)</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Fall River, Massachusetts</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36,300</w:t>
            </w:r>
          </w:p>
        </w:tc>
        <w:tc>
          <w:tcPr>
            <w:tcW w:w="346" w:type="dxa"/>
            <w:tcBorders/>
            <w:vAlign w:val="center"/>
          </w:tcPr>
          <w:p>
            <w:pPr>
              <w:pStyle w:val="TableContents"/>
              <w:bidi w:val="0"/>
              <w:spacing w:before="0" w:after="0"/>
              <w:ind w:left="0" w:right="0" w:hanging="0"/>
              <w:jc w:val="left"/>
              <w:rPr/>
            </w:pPr>
            <w:r>
              <w:rPr/>
              <w:t> </w:t>
            </w:r>
          </w:p>
        </w:tc>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and Laboratory</w:t>
            </w:r>
          </w:p>
        </w:tc>
        <w:tc>
          <w:tcPr>
            <w:tcW w:w="346"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July 2027</w:t>
            </w:r>
            <w:r>
              <w:rPr>
                <w:rFonts w:ascii="Times New Roman;Times;serif" w:hAnsi="Times New Roman;Times;serif"/>
                <w:sz w:val="15"/>
              </w:rPr>
              <w:t>(2)</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Haven, Connecticut</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17,700</w:t>
            </w:r>
          </w:p>
        </w:tc>
        <w:tc>
          <w:tcPr>
            <w:tcW w:w="346" w:type="dxa"/>
            <w:tcBorders/>
            <w:shd w:fill="CCEEFF" w:val="clear"/>
            <w:vAlign w:val="center"/>
          </w:tcPr>
          <w:p>
            <w:pPr>
              <w:pStyle w:val="TableContents"/>
              <w:bidi w:val="0"/>
              <w:spacing w:before="0" w:after="0"/>
              <w:ind w:left="0" w:right="0" w:hanging="0"/>
              <w:jc w:val="left"/>
              <w:rPr/>
            </w:pPr>
            <w:r>
              <w:rPr/>
              <w:t> </w:t>
            </w:r>
          </w:p>
        </w:tc>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Laboratory</w:t>
            </w:r>
          </w:p>
        </w:tc>
        <w:tc>
          <w:tcPr>
            <w:tcW w:w="34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October 2026</w:t>
            </w:r>
            <w:r>
              <w:rPr>
                <w:rFonts w:ascii="Times New Roman;Times;serif" w:hAnsi="Times New Roman;Times;serif"/>
                <w:sz w:val="15"/>
              </w:rPr>
              <w:t>(3)</w:t>
            </w:r>
          </w:p>
        </w:tc>
      </w:tr>
    </w:tbl>
    <w:tbl>
      <w:tblPr>
        <w:tblW w:w="4442" w:type="dxa"/>
        <w:jc w:val="left"/>
        <w:tblInd w:w="0" w:type="dxa"/>
        <w:tblLayout w:type="fixed"/>
        <w:tblCellMar>
          <w:top w:w="0" w:type="dxa"/>
          <w:left w:w="0" w:type="dxa"/>
          <w:bottom w:w="0" w:type="dxa"/>
          <w:right w:w="0" w:type="dxa"/>
        </w:tblCellMar>
      </w:tblPr>
      <w:tblGrid>
        <w:gridCol w:w="346"/>
        <w:gridCol w:w="40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includes two renewal options of two years.</w:t>
            </w:r>
          </w:p>
        </w:tc>
      </w:tr>
    </w:tbl>
    <w:tbl>
      <w:tblPr>
        <w:tblW w:w="4472" w:type="dxa"/>
        <w:jc w:val="left"/>
        <w:tblInd w:w="0" w:type="dxa"/>
        <w:tblLayout w:type="fixed"/>
        <w:tblCellMar>
          <w:top w:w="0" w:type="dxa"/>
          <w:left w:w="0" w:type="dxa"/>
          <w:bottom w:w="0" w:type="dxa"/>
          <w:right w:w="0" w:type="dxa"/>
        </w:tblCellMar>
      </w:tblPr>
      <w:tblGrid>
        <w:gridCol w:w="346"/>
        <w:gridCol w:w="41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includes one renewal option of three years.</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signed a new lease in New Haven, Connecticut to which we will relocate our existing New Haven operations to in 2026. The lease covers approximately 40,400 square feet of office and laboratory space and is scheduled to commence in 2026. The initial lease term is 5.5 years with three renewal options of five years each.</w:t>
            </w:r>
          </w:p>
        </w:tc>
      </w:tr>
    </w:tbl>
    <w:p>
      <w:pPr>
        <w:pStyle w:val="TextBody"/>
        <w:bidi w:val="0"/>
        <w:spacing w:before="0" w:after="240"/>
        <w:ind w:left="0" w:right="0" w:hanging="0"/>
        <w:jc w:val="left"/>
        <w:rPr>
          <w:rFonts w:ascii="Times New Roman;Times;serif" w:hAnsi="Times New Roman;Times;serif"/>
          <w:b/>
          <w:sz w:val="20"/>
        </w:rPr>
      </w:pPr>
      <w:bookmarkStart w:id="35" w:name="Item3LEGALPROCEEDINGS_101934"/>
      <w:bookmarkStart w:id="36" w:name="_22ea7527_e1ec_469d_855d_f732d1c3db18"/>
      <w:bookmarkEnd w:id="35"/>
      <w:bookmarkEnd w:id="36"/>
      <w:r>
        <w:rPr>
          <w:rFonts w:ascii="Times New Roman;Times;serif" w:hAnsi="Times New Roman;Times;serif"/>
          <w:b/>
          <w:sz w:val="20"/>
        </w:rPr>
        <w:t>Item 3. LEGAL PROCEEDINGS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not currently a party to any material legal proceedings.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7" w:name="Item4MINESAFETYDISCLOSURES_355906"/>
      <w:bookmarkStart w:id="38" w:name="_f371ecb7_f9f7_469e_80f2_8641f66bd142"/>
      <w:bookmarkEnd w:id="37"/>
      <w:bookmarkEnd w:id="38"/>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39" w:name="PARTII_68508"/>
      <w:bookmarkStart w:id="40" w:name="_2c117b64_1f17_4a38_a6c5_7371a6828c24"/>
      <w:bookmarkEnd w:id="39"/>
      <w:bookmarkEnd w:id="40"/>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41" w:name="Item5MARKETFORREGISTRANTS_239721"/>
      <w:bookmarkEnd w:id="41"/>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common stock currently trades on the Nasdaq Capital Market (NASDAQ) under the symbol “CLDX.” As of February 13, 2026, there were approximately 120 shareholders of record of our common stock. On February 13, 2026 the closing price of our common stock, as reported by NASDAQ, was $23.00 per share. We have not paid any dividends on our common stock since our inception and do not intend to pay any dividends in the foreseeable future.</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CELLDEX THERAPEUTICS, INC., NASDAQ MARKET INDEX — U.S. AND PEER GROUP INDICES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graph below compares the cumulative total stockholder return on the common stock for the period from December 31, 2020 through December 31, 2025, with the cumulative return on (i) NASDAQ U.S. Benchmark TR Index and (ii) NASDAQ Pharmaceutical (Subsector) Index. The comparison assumes investment of $100 on December 31, 2020 in our common stock and in each of the indices and, in each case, assumes reinvestment of all dividends. The points on the graph are as of December 31 of the year indicated.</w:t>
      </w:r>
    </w:p>
    <w:p>
      <w:pPr>
        <w:pStyle w:val="TextBody"/>
        <w:bidi w:val="0"/>
        <w:spacing w:before="0" w:after="0"/>
        <w:ind w:left="0" w:right="0" w:firstLine="360"/>
        <w:jc w:val="left"/>
        <w:rPr/>
      </w:pPr>
      <w:r>
        <w:rPr/>
        <w:t>​</w:t>
      </w:r>
    </w:p>
    <w:p>
      <w:pPr>
        <w:pStyle w:val="TextBody"/>
        <w:bidi w:val="0"/>
        <w:spacing w:before="0" w:after="0"/>
        <w:ind w:left="0" w:right="0" w:firstLine="360"/>
        <w:jc w:val="center"/>
        <w:rPr/>
      </w:pPr>
      <w:r>
        <w:rPr/>
        <w:drawing>
          <wp:inline distT="0" distB="0" distL="0" distR="0">
            <wp:extent cx="5349240" cy="398780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5349240" cy="3987800"/>
                    </a:xfrm>
                    <a:prstGeom prst="rect">
                      <a:avLst/>
                    </a:prstGeom>
                  </pic:spPr>
                </pic:pic>
              </a:graphicData>
            </a:graphic>
          </wp:inline>
        </w:drawing>
      </w:r>
    </w:p>
    <w:p>
      <w:pPr>
        <w:pStyle w:val="TextBody"/>
        <w:bidi w:val="0"/>
        <w:spacing w:before="0" w:after="0"/>
        <w:ind w:left="0" w:right="0" w:hanging="0"/>
        <w:jc w:val="left"/>
        <w:rPr/>
      </w:pPr>
      <w:r>
        <w:rPr/>
        <w:t>​</w:t>
      </w:r>
    </w:p>
    <w:tbl>
      <w:tblPr>
        <w:tblW w:w="9634" w:type="dxa"/>
        <w:jc w:val="left"/>
        <w:tblInd w:w="0" w:type="dxa"/>
        <w:tblLayout w:type="fixed"/>
        <w:tblCellMar>
          <w:top w:w="0" w:type="dxa"/>
          <w:left w:w="0" w:type="dxa"/>
          <w:bottom w:w="0" w:type="dxa"/>
          <w:right w:w="0" w:type="dxa"/>
        </w:tblCellMar>
      </w:tblPr>
      <w:tblGrid>
        <w:gridCol w:w="3661"/>
        <w:gridCol w:w="346"/>
        <w:gridCol w:w="211"/>
        <w:gridCol w:w="421"/>
        <w:gridCol w:w="346"/>
        <w:gridCol w:w="211"/>
        <w:gridCol w:w="421"/>
        <w:gridCol w:w="346"/>
        <w:gridCol w:w="211"/>
        <w:gridCol w:w="421"/>
        <w:gridCol w:w="346"/>
        <w:gridCol w:w="211"/>
        <w:gridCol w:w="421"/>
        <w:gridCol w:w="346"/>
        <w:gridCol w:w="211"/>
        <w:gridCol w:w="421"/>
        <w:gridCol w:w="346"/>
        <w:gridCol w:w="211"/>
        <w:gridCol w:w="52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24735" cy="175260"/>
                      <wp:effectExtent l="0" t="0" r="0" b="0"/>
                      <wp:wrapNone/>
                      <wp:docPr id="22" name="Frame21"/>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67335" cy="175260"/>
                      <wp:effectExtent l="0" t="0" r="0" b="0"/>
                      <wp:wrapNone/>
                      <wp:docPr id="25" name="Frame2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67335" cy="175260"/>
                      <wp:effectExtent l="0" t="0" r="0" b="0"/>
                      <wp:wrapNone/>
                      <wp:docPr id="28" name="Frame2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67335" cy="175260"/>
                      <wp:effectExtent l="0" t="0" r="0" b="0"/>
                      <wp:wrapNone/>
                      <wp:docPr id="31" name="Frame3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67335" cy="175260"/>
                      <wp:effectExtent l="0" t="0" r="0" b="0"/>
                      <wp:wrapNone/>
                      <wp:docPr id="34" name="Frame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67335" cy="175260"/>
                      <wp:effectExtent l="0" t="0" r="0" b="0"/>
                      <wp:wrapNone/>
                      <wp:docPr id="37" name="Frame3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34010" cy="175260"/>
                      <wp:effectExtent l="0" t="0" r="0" b="0"/>
                      <wp:wrapNone/>
                      <wp:docPr id="40" name="Frame3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Celldex Therapeutics,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NASDAQ U.S. Benchmark TR Index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NASDAQ Pharmaceutical (Subsector) Index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201</w:t>
            </w:r>
          </w:p>
        </w:tc>
      </w:tr>
    </w:tbl>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2" w:name="Item6SELECTEDFINANCIALDATA_500251"/>
      <w:bookmarkStart w:id="43" w:name="_650264"/>
      <w:bookmarkStart w:id="44" w:name="_e8a45ecf_e645_4913_96d1_8975e8239a61"/>
      <w:bookmarkEnd w:id="42"/>
      <w:bookmarkEnd w:id="43"/>
      <w:bookmarkEnd w:id="44"/>
      <w:r>
        <w:rPr>
          <w:rFonts w:ascii="Times New Roman;Times;serif" w:hAnsi="Times New Roman;Times;serif"/>
          <w:b/>
          <w:sz w:val="20"/>
        </w:rPr>
        <w:t>Item 6. [Reserved]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5" w:name="Item7MANAGEMENTSDISCUSSION_91937"/>
      <w:bookmarkStart w:id="46" w:name="_7c4ff5d8_a1cf_44d8_991e_558478197657"/>
      <w:bookmarkEnd w:id="45"/>
      <w:bookmarkEnd w:id="46"/>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Spontaneous Urticaria (CSU): In February 2026, we announced that enrollment is complete in our Phase 3 studies in CSU and that topline data will be available in the fourth quarter of 2026.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improved quality of life;</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Cold Urticaria (ColdU) and Symptomatic Dermographism (SD): We initiated a Phase 3 study in ColdU and SD in December 2025 and enrollment is ongoing. In July 2024, we announced that our Phase 2 study being conducted in two forms of chronic inducible urticaria (CIndU), ColdU and SD,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and, in November 2025, we reported data from 20 weeks of treatment—demonstrating sustained efficacy and a well tolerated safety profile over the longer treatment period; </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April 2024, we initiated a Phase 2 study in PN and enrollment was completed in December 2025. Topline data from the study is expected in summer 2026. Positive data from a Phase 1b study in PN was reported in November 2023; and</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(AD): A Phase 2 study in AD was initiated in December 2024 and enrollment was completed in January 2026. Topline data from the study is expected in late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was completed in January 2026. Positive data from the single ascending dose portion of the study was presented in October 2025. Data from the multiple ascending dose portion of the study and subcutaneous administration are anticipated in the third quarter of 2026. In January 2026, we initiated an open-label, single-dose Phase 1 proof of mechanism study in adults with mild to moderate asthma.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 detail on these programs is provided in the Clinical Development Programs section.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mission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tbl>
      <w:tblPr>
        <w:tblW w:w="2538" w:type="dxa"/>
        <w:jc w:val="left"/>
        <w:tblInd w:w="0" w:type="dxa"/>
        <w:tblLayout w:type="fixed"/>
        <w:tblCellMar>
          <w:top w:w="0" w:type="dxa"/>
          <w:left w:w="0" w:type="dxa"/>
          <w:bottom w:w="0" w:type="dxa"/>
          <w:right w:w="0" w:type="dxa"/>
        </w:tblCellMar>
      </w:tblPr>
      <w:tblGrid>
        <w:gridCol w:w="1141"/>
        <w:gridCol w:w="346"/>
        <w:gridCol w:w="1051"/>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24535" cy="175260"/>
                      <wp:effectExtent l="0" t="0" r="0" b="0"/>
                      <wp:wrapNone/>
                      <wp:docPr id="41" name="Frame4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7385" cy="175260"/>
                      <wp:effectExtent l="0" t="0" r="0" b="0"/>
                      <wp:wrapNone/>
                      <wp:docPr id="43" name="Frame4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Phase 1</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Phase 2</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Phase 3</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past five years through December 31, 2025, we incurred an aggregate of $662.2 million in research and development expenses. The following table indicates the amount incurred for each of our significant research programs and for other identified research and development activities during the years ended December 31, 2025, 2024 and 2023. The amounts disclosed in the following table reflect direct research and development costs and an allocation of indirect research and development costs to each program.</w:t>
      </w:r>
    </w:p>
    <w:tbl>
      <w:tblPr>
        <w:tblW w:w="8437" w:type="dxa"/>
        <w:jc w:val="left"/>
        <w:tblInd w:w="0" w:type="dxa"/>
        <w:tblLayout w:type="fixed"/>
        <w:tblCellMar>
          <w:top w:w="0" w:type="dxa"/>
          <w:left w:w="0" w:type="dxa"/>
          <w:bottom w:w="0" w:type="dxa"/>
          <w:right w:w="0" w:type="dxa"/>
        </w:tblCellMar>
      </w:tblPr>
      <w:tblGrid>
        <w:gridCol w:w="2851"/>
        <w:gridCol w:w="346"/>
        <w:gridCol w:w="319"/>
        <w:gridCol w:w="1182"/>
        <w:gridCol w:w="346"/>
        <w:gridCol w:w="319"/>
        <w:gridCol w:w="1182"/>
        <w:gridCol w:w="346"/>
        <w:gridCol w:w="297"/>
        <w:gridCol w:w="1249"/>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10385" cy="175260"/>
                      <wp:effectExtent l="0" t="0" r="0" b="0"/>
                      <wp:wrapNone/>
                      <wp:docPr id="44" name="Frame43"/>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2565" cy="175260"/>
                      <wp:effectExtent l="0" t="0" r="0" b="0"/>
                      <wp:wrapNone/>
                      <wp:docPr id="46" name="Frame4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50570" cy="175260"/>
                      <wp:effectExtent l="0" t="0" r="0" b="0"/>
                      <wp:wrapNone/>
                      <wp:docPr id="47" name="Frame4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2565" cy="175260"/>
                      <wp:effectExtent l="0" t="0" r="0" b="0"/>
                      <wp:wrapNone/>
                      <wp:docPr id="49" name="Frame4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50570" cy="175260"/>
                      <wp:effectExtent l="0" t="0" r="0" b="0"/>
                      <wp:wrapNone/>
                      <wp:docPr id="50" name="Frame49"/>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8595" cy="175260"/>
                      <wp:effectExtent l="0" t="0" r="0" b="0"/>
                      <wp:wrapNone/>
                      <wp:docPr id="52" name="Frame5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93115" cy="175260"/>
                      <wp:effectExtent l="0" t="0" r="0" b="0"/>
                      <wp:wrapNone/>
                      <wp:docPr id="53" name="Frame52"/>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843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4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198,329</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123,750</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79,913</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CDX-622</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18,958</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17,341</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16,299</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Programs </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27,787</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22,459</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21,799</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R&amp;D Expense </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245,074</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163,550</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118,011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was initially studied in chronic spontaneous urticaria (CSU) and chronic inducible urticaria (CIndU), diseases where mast cell degranulation plays a central role in the onset and progression of the disease. In July 2024, we initiated two Phase 3 studies in CSU. In February 2026, we announced that enrollment is complete in the Phase 3 studies and that topline data is expected in the fourth quarter of 2026. In November 2023, we reported that barzolvolimab achieved the primary efficacy endpoint in a Phase 2 study in CSU,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In June 2025, we presented follow up data from this study through Week 76, 7 months after the completion of dosing with barzolvolimab, demonstrating ongoing profound, sustained complete response and improved quality of life. The study is complete. In April 2024, we announced enrollment was complete in the ongoing Phase 2 CIndU study. In July 2024, we announced that our Phase 2 study in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In November 2025, data from the 20 week placebo controlled treatment period were presented, demonstrating sustained efficacy and a favorable safety profile. Patients with returning or continuing symptoms were eligible to enroll into an open label extension (OLE). The study is now complete.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the positive results reported in urticaria, we expanded development of barzolvolimab into additional indications where mast cells are believed to play an important role. We are conducting ongoing Phase 2 studies in prurigo nodularis (PN) and atopic dermatitis (AD). We continue to assess potential opportunities for barzolvolimab in other diseases where mast cells play an important role, such as dermatologic, respiratory, allergic, gastrointestinal and ophthalmic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Spontaneous Urticaria (CSU) Summary of Phase 1 and Phase 2 Data Presented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tbl>
      <w:tblPr>
        <w:tblW w:w="7684" w:type="dxa"/>
        <w:jc w:val="left"/>
        <w:tblInd w:w="0" w:type="dxa"/>
        <w:tblLayout w:type="fixed"/>
        <w:tblCellMar>
          <w:top w:w="28" w:type="dxa"/>
          <w:left w:w="28" w:type="dxa"/>
          <w:bottom w:w="28" w:type="dxa"/>
          <w:right w:w="28" w:type="dxa"/>
        </w:tblCellMar>
      </w:tblPr>
      <w:tblGrid>
        <w:gridCol w:w="3991"/>
        <w:gridCol w:w="1216"/>
        <w:gridCol w:w="1216"/>
        <w:gridCol w:w="1261"/>
      </w:tblGrid>
      <w:tr>
        <w:trPr/>
        <w:tc>
          <w:tcPr>
            <w:tcW w:w="7684" w:type="dxa"/>
            <w:gridSpan w:val="4"/>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Phase 1 CSU: Summary of Clinical Activity Assessments at Week 12 &amp; 24</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4.5 mg/kg Q8</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 mg/kg Q8</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 mg/kg Q4</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82% (n=9)</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 (n=9)</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 (n=8)</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77% (n=7)</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70% (n=6)</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80% (n=7)</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12</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89%</w:t>
            </w:r>
          </w:p>
        </w:tc>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12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Tryptase suppression, indicative of mast cell depletion, paralleled symptom improvement, demonstrating the impact of mast cell depletion on CSU disease activity.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completed a Phase 2 study in patients with CSU who remained symptomatic despite antihistamine therapy. The study was conducted at approximately 75 sites across 9 countries. The study was a randomized, double-blind, placebo-controlled,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Topline data from this study were presented in November of 2023 and 12 week treatment results were presented at the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tbl>
      <w:tblPr>
        <w:tblW w:w="10205" w:type="dxa"/>
        <w:jc w:val="left"/>
        <w:tblInd w:w="0" w:type="dxa"/>
        <w:tblLayout w:type="fixed"/>
        <w:tblCellMar>
          <w:top w:w="28" w:type="dxa"/>
          <w:left w:w="28" w:type="dxa"/>
          <w:bottom w:w="28" w:type="dxa"/>
          <w:right w:w="28" w:type="dxa"/>
        </w:tblCellMar>
      </w:tblPr>
      <w:tblGrid>
        <w:gridCol w:w="4864"/>
        <w:gridCol w:w="1518"/>
        <w:gridCol w:w="1518"/>
        <w:gridCol w:w="1506"/>
        <w:gridCol w:w="799"/>
      </w:tblGrid>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Phase 2 CSU: Summary of Clinical Activity Assessments at Week 12</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left"/>
              <w:rPr/>
            </w:pPr>
            <w:r>
              <w:rPr/>
              <w:t>​</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 Q8W</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(n=51)</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 Q4W</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(n=52)</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 mg Q4W</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(n=53)</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(n=51)</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UAS7 Changes</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Baseline UAS7 (mean)</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31.33</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30.75</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30.30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30.09</w:t>
            </w:r>
          </w:p>
        </w:tc>
      </w:tr>
      <w:tr>
        <w:trPr/>
        <w:tc>
          <w:tcPr>
            <w:tcW w:w="4864"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-23.87</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-23.02</w:t>
            </w:r>
          </w:p>
        </w:tc>
        <w:tc>
          <w:tcPr>
            <w:tcW w:w="1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-17.06</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-10.47</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-13.41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 -17.47, -9.34)</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(CI:-16.56, -8.55)</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(CI:-10.71, -2.49)</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p=0.0017</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pPr>
            <w:r>
              <w:rPr/>
              <w:t>​</w:t>
            </w:r>
          </w:p>
        </w:tc>
      </w:tr>
      <w:tr>
        <w:trPr/>
        <w:tc>
          <w:tcPr>
            <w:tcW w:w="4864" w:type="dxa"/>
            <w:tcBorders>
              <w:top w:val="single" w:sz="2" w:space="0" w:color="000000"/>
              <w:left w:val="single" w:sz="2" w:space="0" w:color="000000"/>
              <w:bottom w:val="single" w:sz="2" w:space="0" w:color="000000"/>
            </w:tcBorders>
            <w:tcMar>
              <w:right w:w="0"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HSS7 Changes</w:t>
            </w:r>
          </w:p>
        </w:tc>
        <w:tc>
          <w:tcPr>
            <w:tcW w:w="1518"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pPr>
            <w:r>
              <w:rPr/>
              <w:t>​</w:t>
            </w:r>
          </w:p>
        </w:tc>
        <w:tc>
          <w:tcPr>
            <w:tcW w:w="1518"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pPr>
            <w:r>
              <w:rPr/>
              <w:t>​</w:t>
            </w:r>
          </w:p>
        </w:tc>
        <w:tc>
          <w:tcPr>
            <w:tcW w:w="1506"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pPr>
            <w:r>
              <w:rPr/>
              <w:t>​</w:t>
            </w:r>
          </w:p>
        </w:tc>
        <w:tc>
          <w:tcPr>
            <w:tcW w:w="799"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t>​</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Baseline HSS7 (mean)</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14.92</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15.05</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14.86</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14.47</w:t>
            </w:r>
          </w:p>
        </w:tc>
      </w:tr>
      <w:tr>
        <w:trPr/>
        <w:tc>
          <w:tcPr>
            <w:tcW w:w="4864"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1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-4.95</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-7.24</w:t>
            </w:r>
          </w:p>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(CI:-9.36, -5.12)</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-6.24</w:t>
            </w:r>
          </w:p>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(CI:-8.33, -4.16),</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-3.31</w:t>
            </w:r>
          </w:p>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(CI:-5.40, -1.22),</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p=0.0020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pPr>
            <w:r>
              <w:rPr/>
              <w:t>​</w:t>
            </w:r>
          </w:p>
        </w:tc>
      </w:tr>
      <w:tr>
        <w:trPr/>
        <w:tc>
          <w:tcPr>
            <w:tcW w:w="4864" w:type="dxa"/>
            <w:tcBorders>
              <w:top w:val="single" w:sz="2" w:space="0" w:color="000000"/>
              <w:left w:val="single" w:sz="2" w:space="0" w:color="000000"/>
              <w:bottom w:val="single" w:sz="2" w:space="0" w:color="000000"/>
            </w:tcBorders>
            <w:tcMar>
              <w:right w:w="0"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ISS7 Changes</w:t>
            </w:r>
          </w:p>
        </w:tc>
        <w:tc>
          <w:tcPr>
            <w:tcW w:w="1518"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pPr>
            <w:r>
              <w:rPr/>
              <w:t>​</w:t>
            </w:r>
          </w:p>
        </w:tc>
        <w:tc>
          <w:tcPr>
            <w:tcW w:w="1518"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pPr>
            <w:r>
              <w:rPr/>
              <w:t>​</w:t>
            </w:r>
          </w:p>
        </w:tc>
        <w:tc>
          <w:tcPr>
            <w:tcW w:w="1506"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pPr>
            <w:r>
              <w:rPr/>
              <w:t>​</w:t>
            </w:r>
          </w:p>
        </w:tc>
        <w:tc>
          <w:tcPr>
            <w:tcW w:w="799"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pPr>
            <w:r>
              <w:rPr/>
              <w:t>​</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Baseline ISS7 (mean)</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16.42</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15.70</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15.44</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15.61</w:t>
            </w:r>
          </w:p>
        </w:tc>
      </w:tr>
      <w:tr>
        <w:trPr/>
        <w:tc>
          <w:tcPr>
            <w:tcW w:w="4864"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1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-8.62</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-5.47</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-6.32</w:t>
            </w:r>
          </w:p>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(CI: -8.50, -4.13),</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-6.21</w:t>
            </w:r>
          </w:p>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(CI: -8.38, -4.04),</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p&lt;0.0001</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-3.16</w:t>
            </w:r>
          </w:p>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(CI: -5.41, -0.91),</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p=0.0061</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Responder Analyses/Clinical Responses</w:t>
            </w:r>
          </w:p>
        </w:tc>
      </w:tr>
      <w:tr>
        <w:trPr/>
        <w:tc>
          <w:tcPr>
            <w:tcW w:w="486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UAS7=0 (Complete Control)</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51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51.1%</w:t>
            </w:r>
          </w:p>
        </w:tc>
        <w:tc>
          <w:tcPr>
            <w:tcW w:w="150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4864"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UAS7≤6 (Well-controlled)</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w:t>
            </w:r>
          </w:p>
        </w:tc>
        <w:tc>
          <w:tcPr>
            <w:tcW w:w="151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59.6%</w:t>
            </w:r>
          </w:p>
        </w:tc>
        <w:tc>
          <w:tcPr>
            <w:tcW w:w="1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UAS7, HSS7 and ISS7 data were analyzed using ANCOVA model and multiple imputation.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Patients on study continued to receive barzolvolimab for up to 52 weeks. Long term treatment data were presented in September at the European Academy of Dermatology &amp; Venereology (EADV) Congress 2024 and quality of life data were presented in March at the AAAAI Annual Meeting 2025. The data demonstrated a sustained and deepening disease efficacy, a well tolerated safety profile, greatly improved urticaria control and reduced disease impact on quality of life over a 52 week treatment period.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UAS7 (weekly urticaria activity score), previously shown to be statistically significantly vs placebo at Week 12, were noted as early as Week 1 and were sustained or deepened at Week 52.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16, patients receiving low dose barzolvolimab (75 mg) or placebo were transitioned to barzolvolimab 150 mg or 300 mg; after crossover, these patients experienced similar clinically meaningful disease response as the rest of the study population.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of patients treated with barzolvolimab 150 mg Q4W and 52% of patients treated with 300 mg Q8W had a complete response (no itch/hives; UAS7=0) at Week 52. These responses were observed early and sustained through 52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of patients treated with barzolvolimab 150 mg Q4W and 68% of patients treated with 300 mg Q8W had well controlled (UAS7&lt;6) disease at Week 52.</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sustained improvement in urticaria control (UCT) and quality of life (DLQI) were observed in patients with CSU refractory to antihistamines. Up to 82% of patients reported that CSU symptoms no longer had an impact on their quality of life at Week 52 and up to 95% of patients reported meaningful improvement in quality of life based on DLQI at Week 52. Up to 82% of patients reported well-controlled urticaria based on UCT, and approximately half of patients reported complete control at Week 52.</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of 2025, 52 week data on angioedema activity and additional measures of angioedema control were presented at the EAACI 2025 Congress. Barzolvolimab continued to demonstrate robust, durable and deepening improvements in angioedema symptoms over the treatment period. At Week 52, an 86% mean reduction from baseline was reported for 150 mg Q4W arm and an 82% reduction was reported for the 300 mg Q8W. Up to 77% of patients treated with barzolvolimab who had angioedema at baseline were angioedema free (AAS7=0) at Week 52, which we subsequently announced remained at up to 64% seven months after last dose. Patients treated with barzolvolimab were angioedema free up to 72% of the time over the 52 week treatment period. Up to 87% of patients reported clinically meaningful improvement (&gt;8 point) in AAS7 at Week 52.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of 2025, long term follow up data from the Phase 2 CSU study were presented at the EAACI 2025 Congress. At Week 76, seven months after completion of dosing, patients continue to experience profound clinical benefit on study. Key highlights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UAS7 mean change from baseline at Week 76 was -20.42 for patients treated with 150 mg Q4W and -21.10 for patients treated with 300 mg Q8W.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of patients treated with barzolvolimab 150 mg Q4W and 35% of patients treated with 300 mg Q8W had a complete response (no itch/hives; UAS7=0)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of patients treated with barzolvolimab 150 mg Q4W and 47% of patients treated with 300 mg Q8W had well controlled disease (UAS7≤6) at Week 76.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 and achieving complete response is directly correlated to the greatest improvements in quality of life for patients.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and improvements in quality of life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76 weeks. No new safety signals were identified 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at EADV 2025, data were presented demonstrating rapid and strong efficacy regardless of baseline immunoglobulin E (IgE) levels. In November 2025, at the American College of Allergy, Asthma &amp; Immunology’s Annual Scientific (ACAAI) Meeting, data were presented demonstrating that barzolvolimab leads to rapid and profound improvements in UCT7 scores with sustained disease control off treatment.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After completion of the 52 week treatment period, patients on study will continue to be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The primary endpoint analysis will be performed when all patients have completed the placebo controlled portion of the study at 24 weeks. Enrollment to the studies was completed in February 2026 and topline data will be available in Q4 2026. 1,939 patients were enrolled—the largest program conducted in antihistamine refractory CSU, including patients with advanced therapy experienced/refractory CSU. The studies included 43 countries and over 500 sites.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 global Phase 3b long term extension (LTE) study has been established for patient entry after completion of the EMBARQ - CSU Phase 3 trials. The study will consist of 2 Groups: Group 1 (Observation Group), containing patients whose disease remains well controlled (UAS7&lt;16) and Group 2 (Barzolvolimab Retreatment Group) containing patients whose disease is currently moderate to severe (UAS7≥16). Patients in Group 2 will receive up to an additional year of treatment with barzolvolimab. Patients in the observation group (Group 1) whose CSU flares to a UAS7&gt;/=16 in the first 6 months of the LTE will also be able to receive treatment.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 Summary of Phase 1 and Phase 2 Data Presented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Rapid (as early as 1 week) and durable responses were observed in patients as assessed by provocation testing.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Data from this study were reported in Allergy (Nov 2022) and across multiple medical meetings, including the GA²LEN Global Urticaria Forum (GUF) in December and the European Academy of Allergy and Clinical Immunology (EAACI) Annual Congress in June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recently completed a Phase 2 study in patients with CIndU who remain symptomatic despite antihistamine therapy. The study was conducted at approximately 85 sites across approximately 12 countries. The randomized, double-blind, placebo-controlled, parallel group Phase 2 study evaluated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entered a follow-up phase for an additional 24 weeks. In addition, the study included the option for patients who had symptoms following the treatment phase, including patients who were on placebo, to enroll in an open label extension where all patients received 300 mg of barzolvolimab every 8 weeks. The primary endpoint of the study was the percentage of patients with a negative provocation test at Week 12. Secondary endpoints included safety and other assessments of clinical activity including CTT (Critical Temperature Threshold), CFT (Critical Friction Threshold) and WI-NRS (Worst itch numeric rating scale).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Patients on study had poorly controlled disease on initial provocation testing.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also reflected poorly controlled disease.</w:t>
      </w:r>
    </w:p>
    <w:tbl>
      <w:tblPr>
        <w:tblW w:w="10205" w:type="dxa"/>
        <w:jc w:val="left"/>
        <w:tblInd w:w="0" w:type="dxa"/>
        <w:tblLayout w:type="fixed"/>
        <w:tblCellMar>
          <w:top w:w="0" w:type="dxa"/>
          <w:left w:w="0" w:type="dxa"/>
          <w:bottom w:w="0" w:type="dxa"/>
          <w:right w:w="0" w:type="dxa"/>
        </w:tblCellMar>
      </w:tblPr>
      <w:tblGrid>
        <w:gridCol w:w="5159"/>
        <w:gridCol w:w="750"/>
        <w:gridCol w:w="750"/>
        <w:gridCol w:w="646"/>
        <w:gridCol w:w="346"/>
        <w:gridCol w:w="862"/>
        <w:gridCol w:w="862"/>
        <w:gridCol w:w="830"/>
      </w:tblGrid>
      <w:tr>
        <w:trPr/>
        <w:tc>
          <w:tcPr>
            <w:tcW w:w="5159" w:type="dxa"/>
            <w:tcBorders/>
            <w:vAlign w:val="center"/>
          </w:tcPr>
          <w:p>
            <w:pPr>
              <w:pStyle w:val="TableContents"/>
              <w:bidi w:val="0"/>
              <w:spacing w:before="0" w:after="283"/>
              <w:ind w:left="0" w:right="0" w:hanging="0"/>
              <w:jc w:val="left"/>
              <w:rPr>
                <w:sz w:val="4"/>
                <w:szCs w:val="4"/>
              </w:rPr>
            </w:pPr>
            <w:r>
              <w:rPr>
                <w:sz w:val="4"/>
                <w:szCs w:val="4"/>
              </w:rPr>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750" w:type="dxa"/>
            <w:tcBorders/>
            <w:vAlign w:val="center"/>
          </w:tcPr>
          <w:p>
            <w:pPr>
              <w:pStyle w:val="TableContents"/>
              <w:bidi w:val="0"/>
              <w:spacing w:before="0" w:after="283"/>
              <w:ind w:left="0" w:right="0" w:hanging="0"/>
              <w:jc w:val="left"/>
              <w:rPr>
                <w:sz w:val="4"/>
                <w:szCs w:val="4"/>
              </w:rPr>
            </w:pPr>
            <w:r>
              <w:rPr>
                <w:sz w:val="4"/>
                <w:szCs w:val="4"/>
              </w:rPr>
            </w:r>
          </w:p>
        </w:tc>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283"/>
              <w:ind w:left="0" w:right="0" w:hanging="0"/>
              <w:jc w:val="left"/>
              <w:rPr>
                <w:sz w:val="4"/>
                <w:szCs w:val="4"/>
              </w:rPr>
            </w:pPr>
            <w:r>
              <w:rPr>
                <w:sz w:val="4"/>
                <w:szCs w:val="4"/>
              </w:rPr>
            </w:r>
          </w:p>
        </w:tc>
        <w:tc>
          <w:tcPr>
            <w:tcW w:w="862" w:type="dxa"/>
            <w:tcBorders/>
            <w:vAlign w:val="center"/>
          </w:tcPr>
          <w:p>
            <w:pPr>
              <w:pStyle w:val="TableContents"/>
              <w:bidi w:val="0"/>
              <w:spacing w:before="0" w:after="283"/>
              <w:ind w:left="0" w:right="0" w:hanging="0"/>
              <w:jc w:val="left"/>
              <w:rPr>
                <w:sz w:val="4"/>
                <w:szCs w:val="4"/>
              </w:rPr>
            </w:pPr>
            <w:r>
              <w:rPr>
                <w:sz w:val="4"/>
                <w:szCs w:val="4"/>
              </w:rPr>
            </w:r>
          </w:p>
        </w:tc>
        <w:tc>
          <w:tcPr>
            <w:tcW w:w="830"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8"/>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Summary of Clinical Assessments at Week 12</w:t>
            </w:r>
          </w:p>
        </w:tc>
      </w:tr>
      <w:tr>
        <w:trPr/>
        <w:tc>
          <w:tcPr>
            <w:tcW w:w="51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4" w:before="0" w:after="0"/>
              <w:ind w:left="0" w:right="0" w:hanging="0"/>
              <w:jc w:val="center"/>
              <w:rPr/>
            </w:pPr>
            <w:r>
              <w:rPr/>
              <w:t>​</w:t>
            </w:r>
          </w:p>
        </w:tc>
        <w:tc>
          <w:tcPr>
            <w:tcW w:w="214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Cold Urticaria</w:t>
            </w:r>
          </w:p>
        </w:tc>
        <w:tc>
          <w:tcPr>
            <w:tcW w:w="34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lineRule="auto" w:line="304" w:before="0" w:after="0"/>
              <w:ind w:left="0" w:right="0" w:hanging="0"/>
              <w:jc w:val="center"/>
              <w:rPr/>
            </w:pPr>
            <w:r>
              <w:rPr/>
              <w:t>  ​ ​ ​</w:t>
            </w:r>
          </w:p>
        </w:tc>
        <w:tc>
          <w:tcPr>
            <w:tcW w:w="255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Symptomatic Dermographism</w:t>
            </w:r>
          </w:p>
        </w:tc>
      </w:tr>
      <w:tr>
        <w:trPr/>
        <w:tc>
          <w:tcPr>
            <w:tcW w:w="5159"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All measurements at</w:t>
              <w:br/>
              <w:t>Week 12</w:t>
            </w:r>
          </w:p>
        </w:tc>
        <w:tc>
          <w:tcPr>
            <w:tcW w:w="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150 mg</w:t>
              <w:br/>
              <w:t>q4w</w:t>
              <w:br/>
              <w:t>(n=32)</w:t>
            </w:r>
          </w:p>
        </w:tc>
        <w:tc>
          <w:tcPr>
            <w:tcW w:w="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300 mg</w:t>
              <w:br/>
              <w:t>q8w</w:t>
              <w:br/>
              <w:t>(n=32)</w:t>
            </w:r>
          </w:p>
        </w:tc>
        <w:tc>
          <w:tcPr>
            <w:tcW w:w="64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Placebo</w:t>
              <w:br/>
              <w:t>(n=32)</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lineRule="auto" w:line="304" w:before="0" w:after="0"/>
              <w:ind w:left="0" w:right="0" w:hanging="0"/>
              <w:jc w:val="center"/>
              <w:rPr/>
            </w:pPr>
            <w:r>
              <w:rPr/>
              <w:t>​</w:t>
            </w:r>
          </w:p>
        </w:tc>
        <w:tc>
          <w:tcPr>
            <w:tcW w:w="86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150 mg</w:t>
              <w:br/>
              <w:t xml:space="preserve">q4w </w:t>
              <w:br/>
              <w:t>(n=33)</w:t>
            </w:r>
          </w:p>
        </w:tc>
        <w:tc>
          <w:tcPr>
            <w:tcW w:w="86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300 mg</w:t>
              <w:br/>
              <w:t>q8w</w:t>
              <w:br/>
              <w:t>(n=33)</w:t>
            </w:r>
          </w:p>
        </w:tc>
        <w:tc>
          <w:tcPr>
            <w:tcW w:w="83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Placebo</w:t>
              <w:br/>
              <w:t>(n=31)</w:t>
            </w:r>
          </w:p>
        </w:tc>
      </w:tr>
      <w:tr>
        <w:trPr/>
        <w:tc>
          <w:tcPr>
            <w:tcW w:w="51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b/>
                <w:sz w:val="16"/>
              </w:rPr>
              <w:t>Primary endpoint:</w:t>
            </w:r>
            <w:r>
              <w:rPr>
                <w:rFonts w:ascii="Times New Roman;Times;serif" w:hAnsi="Times New Roman;Times;serif"/>
                <w:sz w:val="16"/>
              </w:rPr>
              <w:t xml:space="preserve"> % of patients with negative provocation test (complete response)</w:t>
            </w:r>
          </w:p>
        </w:tc>
        <w:tc>
          <w:tcPr>
            <w:tcW w:w="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46.9%</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p=0.0023</w:t>
            </w:r>
          </w:p>
        </w:tc>
        <w:tc>
          <w:tcPr>
            <w:tcW w:w="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53.1%</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p=0.0011</w:t>
            </w:r>
          </w:p>
        </w:tc>
        <w:tc>
          <w:tcPr>
            <w:tcW w:w="6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12.5%</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lineRule="auto" w:line="304" w:before="0" w:after="0"/>
              <w:ind w:left="0" w:right="0" w:hanging="0"/>
              <w:jc w:val="center"/>
              <w:rPr/>
            </w:pPr>
            <w:r>
              <w:rPr/>
              <w:t>​</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57.6%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42.4%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p=0.0003</w:t>
            </w:r>
          </w:p>
        </w:tc>
        <w:tc>
          <w:tcPr>
            <w:tcW w:w="8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3.2%</w:t>
            </w:r>
          </w:p>
        </w:tc>
      </w:tr>
      <w:tr>
        <w:trPr/>
        <w:tc>
          <w:tcPr>
            <w:tcW w:w="5159"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 of patients with complete or partial response per provocation test</w:t>
            </w:r>
          </w:p>
        </w:tc>
        <w:tc>
          <w:tcPr>
            <w:tcW w:w="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62.5%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p=0.0118</w:t>
            </w:r>
          </w:p>
        </w:tc>
        <w:tc>
          <w:tcPr>
            <w:tcW w:w="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75%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p=0.0006</w:t>
            </w:r>
          </w:p>
        </w:tc>
        <w:tc>
          <w:tcPr>
            <w:tcW w:w="64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31.3%</w:t>
            </w:r>
          </w:p>
        </w:tc>
        <w:tc>
          <w:tcPr>
            <w:tcW w:w="34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lineRule="auto" w:line="304" w:before="0" w:after="0"/>
              <w:ind w:left="0" w:right="0" w:hanging="0"/>
              <w:jc w:val="center"/>
              <w:rPr/>
            </w:pPr>
            <w:r>
              <w:rPr/>
              <w:t>​</w:t>
            </w:r>
          </w:p>
        </w:tc>
        <w:tc>
          <w:tcPr>
            <w:tcW w:w="86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66.6%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6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57.5%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p=0.0002</w:t>
            </w:r>
          </w:p>
        </w:tc>
        <w:tc>
          <w:tcPr>
            <w:tcW w:w="83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12.9%</w:t>
            </w:r>
          </w:p>
        </w:tc>
      </w:tr>
      <w:tr>
        <w:trPr/>
        <w:tc>
          <w:tcPr>
            <w:tcW w:w="51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Improvement in Critical Temperature (CTT) and Critical Friction (CFT) Thresholds</w:t>
            </w:r>
          </w:p>
        </w:tc>
        <w:tc>
          <w:tcPr>
            <w:tcW w:w="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60" w:hanging="0"/>
              <w:jc w:val="center"/>
              <w:rPr>
                <w:rFonts w:ascii="Times New Roman;Times;serif" w:hAnsi="Times New Roman;Times;serif"/>
                <w:sz w:val="16"/>
              </w:rPr>
            </w:pPr>
            <w:r>
              <w:rPr>
                <w:rFonts w:ascii="Times New Roman;Times;serif" w:hAnsi="Times New Roman;Times;serif"/>
                <w:sz w:val="16"/>
              </w:rPr>
              <w:t xml:space="preserve">-8.82°C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60" w:hanging="0"/>
              <w:jc w:val="center"/>
              <w:rPr>
                <w:rFonts w:ascii="Times New Roman;Times;serif" w:hAnsi="Times New Roman;Times;serif"/>
                <w:sz w:val="16"/>
              </w:rPr>
            </w:pPr>
            <w:r>
              <w:rPr>
                <w:rFonts w:ascii="Times New Roman;Times;serif" w:hAnsi="Times New Roman;Times;serif"/>
                <w:sz w:val="16"/>
              </w:rPr>
              <w:t xml:space="preserve">-9.61°C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6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-0.30°C</w:t>
            </w:r>
          </w:p>
        </w:tc>
        <w:tc>
          <w:tcPr>
            <w:tcW w:w="346" w:type="dxa"/>
            <w:tcBorders>
              <w:left w:val="single" w:sz="2" w:space="0" w:color="000000"/>
              <w:right w:val="single" w:sz="2" w:space="0" w:color="000000"/>
            </w:tcBorders>
            <w:tcMar>
              <w:left w:w="28" w:type="dxa"/>
              <w:right w:w="28" w:type="dxa"/>
            </w:tcMar>
            <w:vAlign w:val="center"/>
          </w:tcPr>
          <w:p>
            <w:pPr>
              <w:pStyle w:val="TableContents"/>
              <w:bidi w:val="0"/>
              <w:spacing w:lineRule="auto" w:line="304" w:before="0" w:after="0"/>
              <w:ind w:left="0" w:right="0" w:hanging="0"/>
              <w:jc w:val="center"/>
              <w:rPr/>
            </w:pPr>
            <w:r>
              <w:rPr/>
              <w:t>​</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60" w:hanging="0"/>
              <w:jc w:val="center"/>
              <w:rPr>
                <w:rFonts w:ascii="Times New Roman;Times;serif" w:hAnsi="Times New Roman;Times;serif"/>
                <w:sz w:val="16"/>
              </w:rPr>
            </w:pPr>
            <w:r>
              <w:rPr>
                <w:rFonts w:ascii="Times New Roman;Times;serif" w:hAnsi="Times New Roman;Times;serif"/>
                <w:sz w:val="16"/>
              </w:rPr>
              <w:t xml:space="preserve">-2.46 pins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60" w:hanging="0"/>
              <w:jc w:val="center"/>
              <w:rPr>
                <w:rFonts w:ascii="Times New Roman;Times;serif" w:hAnsi="Times New Roman;Times;serif"/>
                <w:sz w:val="16"/>
              </w:rPr>
            </w:pPr>
            <w:r>
              <w:rPr>
                <w:rFonts w:ascii="Times New Roman;Times;serif" w:hAnsi="Times New Roman;Times;serif"/>
                <w:sz w:val="16"/>
              </w:rPr>
              <w:t xml:space="preserve">-2.27 pins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p=0.0002</w:t>
            </w:r>
          </w:p>
        </w:tc>
        <w:tc>
          <w:tcPr>
            <w:tcW w:w="8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-0.82 pins</w:t>
            </w:r>
          </w:p>
        </w:tc>
      </w:tr>
      <w:tr>
        <w:trPr/>
        <w:tc>
          <w:tcPr>
            <w:tcW w:w="5159"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pBdr/>
              <w:bidi w:val="0"/>
              <w:spacing w:lineRule="auto" w:line="304" w:before="0" w:after="0"/>
              <w:ind w:left="0" w:right="0" w:hanging="0"/>
              <w:jc w:val="left"/>
              <w:rPr>
                <w:rFonts w:ascii="Times New Roman;Times;serif" w:hAnsi="Times New Roman;Times;serif"/>
                <w:sz w:val="16"/>
              </w:rPr>
            </w:pPr>
            <w:r>
              <w:rPr>
                <w:rFonts w:ascii="Times New Roman;Times;serif" w:hAnsi="Times New Roman;Times;serif"/>
                <w:sz w:val="16"/>
              </w:rPr>
              <w:t>% of patients with Urticaria Control Test &gt;12</w:t>
            </w:r>
          </w:p>
        </w:tc>
        <w:tc>
          <w:tcPr>
            <w:tcW w:w="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58.6%</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p=0.0048</w:t>
            </w:r>
          </w:p>
        </w:tc>
        <w:tc>
          <w:tcPr>
            <w:tcW w:w="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68.8%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64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31.0%</w:t>
            </w:r>
          </w:p>
        </w:tc>
        <w:tc>
          <w:tcPr>
            <w:tcW w:w="34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lineRule="auto" w:line="304" w:before="0" w:after="0"/>
              <w:ind w:left="0" w:right="0" w:hanging="0"/>
              <w:jc w:val="center"/>
              <w:rPr/>
            </w:pPr>
            <w:r>
              <w:rPr/>
              <w:t>​</w:t>
            </w:r>
          </w:p>
        </w:tc>
        <w:tc>
          <w:tcPr>
            <w:tcW w:w="86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54.8%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p=0.0015</w:t>
            </w:r>
          </w:p>
        </w:tc>
        <w:tc>
          <w:tcPr>
            <w:tcW w:w="86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 xml:space="preserve">65.5% </w:t>
            </w:r>
          </w:p>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p&lt;0.0001</w:t>
            </w:r>
          </w:p>
        </w:tc>
        <w:tc>
          <w:tcPr>
            <w:tcW w:w="83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32.0%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2025, quality of life data were presented at the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Patients on study continued to receive barzolvolimab for up to 20 weeks. Data from this longer term treatment period were presented in November 2025 at the ACAAI Annual Scientific Meeting. The data demonstrated sustained efficacy and a favorable safety profile over the 20 week placebo controlled treatment period. Key highlights at 20 weeks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66% of patients with ColdU and 49% of patients with SD obtained a complete response compared to 16% and 10% of patients on placebo,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78% of patients with ColdU and 58% of patients with SD obtained a partial or complete response compared to 25% and 16% of patients on placebo,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Marked improvement in critical temperature threshold (from baseline values of 18.7°C and 20.7°C to Week 20 values of 10.7°C and 9.2°C for barzolvolimab 150 mg Q4W and 300 mg Q8W, respectively compared to baseline values of 18.6°C to Week 20 values of 18.2°C for placebo) and friction thresholds (from baseline values of 3.6 and 3.6 pins to 1.5 and 1.4 pins for barzolvolimab 150 mg Q4W and 300 mg Q8W, respectively compared to baseline values of 3.6 pins to 2.9 pins for placebo) were observed over the course of the 20 week treatment period. Sustained improvement in itch reduction at the time of provocation testing (WI-NRSprovo) was also observed at Week 20.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completing the treatment period, patients were eligible to enter a 24 week open label extension (OLE) upon resumption/continuation of symptoms. Consistent with the clinical endpoint results at Week 20, placebo-treated patients entered the OLE at a faster rate compared to barzolvolimab-treated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over the 20 week treatment period consistent with previous studies. There was no difference between active treatment (2%) and placebo groups (3%) in rate of discontinuations due to adverse events. Most adverse events for patients on study drug were grade 1 (mild), mechanism related (KIT) and, as demonstrated in previous studies, expected to be reversible. The most common adverse events occurring in greater than 10% of patients in any treatment group through Week 20 were hair color changes (18%; Grade 1, n=22 / Grade 2, n=2) and neutropenia (12%; Grade 1, n=9 / Grade 2, n=6). Neutropenia was transient and there was no association with infections.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CIndU. In December 2025, we initiated a Phase 3 study of barzolvolimab in adult patients with ColdU and SD who remain symptomatic despite H1 antihistamine treatment. The Phase 3 trial (EMBARQ-ColdU and SD) is a randomized, double-blind, placebo-controlled, parallel group, global Phase 3 study (approximately 75 clinical trial sites across 7 countries) where approximately 240 participants will be enrolled to 2 separate cohorts (differentiated by subtype) to include approximately 120 participants with ColdU and 120 participants with SD. Participants in each cohort will be randomized in a 1:1 ratio to one of two treatment arms: cohort 1: barzolvolimab 150 mg every 4 weeks (Q4W) following a loading dose of 450 mg on Day 1 or cohort 2: matching placebo for 24 weeks. The primary endpoint of the study will evaluate the percentage of patients with complete response (negative provocation test) at Week 12 as assessed by the TempTest® in ColdU and the FricTest® in SD. After completing the treatment period, participants will continue to be followed for 16 weeks.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single IV dose of 3.0 mg/kg barzolvolimab resulted in rapid and durable reductions in itch and healing of skin lesions in patients with moderate to severe PN and that barzolvolimab was generally well tolerated.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6 which was distinct from both the 1.5 mg/kg barzolvolimab and placebo arms.</w:t>
            </w:r>
          </w:p>
        </w:tc>
      </w:tr>
    </w:tbl>
    <w:tbl>
      <w:tblPr>
        <w:tblW w:w="6774" w:type="dxa"/>
        <w:jc w:val="left"/>
        <w:tblInd w:w="0" w:type="dxa"/>
        <w:tblLayout w:type="fixed"/>
        <w:tblCellMar>
          <w:top w:w="28" w:type="dxa"/>
          <w:left w:w="28" w:type="dxa"/>
          <w:bottom w:w="28" w:type="dxa"/>
          <w:right w:w="28" w:type="dxa"/>
        </w:tblCellMar>
      </w:tblPr>
      <w:tblGrid>
        <w:gridCol w:w="961"/>
        <w:gridCol w:w="721"/>
        <w:gridCol w:w="721"/>
        <w:gridCol w:w="721"/>
        <w:gridCol w:w="721"/>
        <w:gridCol w:w="721"/>
        <w:gridCol w:w="721"/>
        <w:gridCol w:w="721"/>
        <w:gridCol w:w="766"/>
      </w:tblGrid>
      <w:tr>
        <w:trPr/>
        <w:tc>
          <w:tcPr>
            <w:tcW w:w="6774" w:type="dxa"/>
            <w:gridSpan w:val="9"/>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≥4-point decrease in WI-NRS</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3</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5</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6</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71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tc>
      </w:tr>
    </w:tbl>
    <w:tbl>
      <w:tblPr>
        <w:tblW w:w="3980" w:type="dxa"/>
        <w:jc w:val="left"/>
        <w:tblInd w:w="0" w:type="dxa"/>
        <w:tblLayout w:type="fixed"/>
        <w:tblCellMar>
          <w:top w:w="28" w:type="dxa"/>
          <w:left w:w="28" w:type="dxa"/>
          <w:bottom w:w="28" w:type="dxa"/>
          <w:right w:w="28" w:type="dxa"/>
        </w:tblCellMar>
      </w:tblPr>
      <w:tblGrid>
        <w:gridCol w:w="961"/>
        <w:gridCol w:w="811"/>
        <w:gridCol w:w="721"/>
        <w:gridCol w:w="721"/>
        <w:gridCol w:w="766"/>
      </w:tblGrid>
      <w:tr>
        <w:trPr/>
        <w:tc>
          <w:tcPr>
            <w:tcW w:w="3980"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IGA 0/1</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0</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noBreakHyphen/>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includes approximately 75 clinical trial centers worldwide, including the United States. Enrollment was completed in December 2025. Topline data from the study is expected in summer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Atopic Dermatitis (AD)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well‐defined, reliable, sensitive and valid scale for evaluating worst itch intensity in adults with moderate‐to‐severe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includes approximately 40 clinical trial centers in the United States. Enrollment was completed in January 2026. Topline data from the study is expected in late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2025, we announced the discontinuation of development in eosinophilic esophagitis (EoE), a chronic inflammatory disease of the esophagus, based on interim results from a Phase 2 study. Identifying the key drivers of EoE has challenged the field and research has suggested that mast cells could play an important role in the disease pathogenesis. We designed this study to determine if barzolvolimab could deplete mucosal (intraepithelial) mast cells and, in turn, improve clinical outcomes in EoE. The primary endpoint of the study, absolute change from baseline to Week 12 in peak esophageal intraepithelial mast cell count was met, but the profound mast cell depletion observed did not result in improvement in EoE symptoms or endoscopic assessment of disease activity compared to placebo. Consistent with previously reported studies, barzolvolimab demonstrated a favorable safety and tolerability profile. Based on these results, further development in EoE was discontinued. The results do support future development with KIT- or SCF-targeted therapies in other GI indications where mucosal mast cells are believed to play an important role.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CDX-622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reduce clearance (YTE). In preclinical studies, CDX-622 inhibits TSLP and SCF with similar potency to both its respective parental mAbs and comparator mAbs </w:t>
      </w:r>
      <w:r>
        <w:rPr>
          <w:rFonts w:ascii="Times New Roman;Times;serif" w:hAnsi="Times New Roman;Times;serif"/>
          <w:i/>
          <w:sz w:val="20"/>
        </w:rPr>
        <w:t>in vitro</w:t>
      </w:r>
      <w:r>
        <w:rPr>
          <w:rFonts w:ascii="Times New Roman;Times;serif" w:hAnsi="Times New Roman;Times;serif"/>
          <w:sz w:val="20"/>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2024, we initiated a Phase 1 study of CDX-622 in healthy volunteers and enrollment was completed in January 2026. The Phase 1a clinical trial is a three-part, randomized, double-blind, placebo-controlled, dose escalation study designed to assess the safety, pharmacokinetics, and pharmacodynamics of CDX-622 in up to 80 healthy participants. A single dose of CDX-622 or placebo was administered intravenously (IV) once during Part 1. In Part 2, CDX-622 or placebo was administered IV every 2 weeks (Q2W) for up to 6 weeks following the first dose, for a total of 4 doses. In Part 3, a single dose of CDX-622 or placebo was administered subcutaneously once. Participants are followed for 12 weeks in all Parts following the last dose of study drug. The pharmacodynamic biomarkers from blood and skin will be highly informative on the ability of CDX-622 to engage and neutralize SCF and TSLP.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presented positive data from the Phase 1 single ascending dose portion of the study (Part 1) at the CIA (Collegium Internationale Allergologicum) Biennial Symposium in October 2025. CDX-622 was well tolerated with no dose limiting toxicities and no emergent events related to systemic KIT inhibition. CDX-622 exhibited a good pharmacokinetic profile and induced rapid and sustained dose dependent reductions in serum tryptase, indicative of mast cell inhibition and depletion. The multiple ascending doses portion of the study (Part 2) and subcutaneous administration (Part 3) are ongoing with data expected in the third quarter of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2026, we initiated an open-label, single-dose Phase 1 proof of mechanism study to assess the safety, pharmacodynamics, and pharmacokinetics of CDX-622 in adults with mild to moderate asthma. Participants will receive a single IV infusion of CDX-622 and be followed for 12 weeks. PD effects of CDX-622 on fractional exhaled nitric oxide (FeNO), absolute eosinophil count (AEC) and serum biomarkers, including TSLP- and SCF-related biomarkers, will be evaluated.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significant accounting policies are described in Note 2 to the financial statements included in Item 8 of this Form 10-K.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record contingent consideration resulting from a business combination at its fair value on the acquisition date. We determine the fair value of the contingent consideration based primarily on the following factors:</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probability of success of clinical events or regulatory approvals;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probability of success of meeting clinical and commercial milestones; and</w:t>
            </w:r>
          </w:p>
        </w:tc>
      </w:tr>
    </w:tbl>
    <w:tbl>
      <w:tblPr>
        <w:tblW w:w="1701" w:type="dxa"/>
        <w:jc w:val="left"/>
        <w:tblInd w:w="0" w:type="dxa"/>
        <w:tblLayout w:type="fixed"/>
        <w:tblCellMar>
          <w:top w:w="28" w:type="dxa"/>
          <w:left w:w="28" w:type="dxa"/>
          <w:bottom w:w="28" w:type="dxa"/>
          <w:right w:w="28" w:type="dxa"/>
        </w:tblCellMar>
      </w:tblPr>
      <w:tblGrid>
        <w:gridCol w:w="124"/>
        <w:gridCol w:w="256"/>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contingent consideration arose in connection with our acquisition of Kolltan. On a quarterly basis, we revalue these obligations and record increases or decreases in their fair value as an adjustment to operating earnings. As of December 31, 2025, the fair value of our contingent consideration was $0.0 million.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Revenues are recognized when performance obligations under agreements or contracts are satisfied, in an amount that reflects the consideration the Company expects to be entitled to in exchange for those services.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determines revenue recognition through the following steps:</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Revenue for the Company is also derived from manufacturing and research and development arrangements. The Company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Intangible and Long-Lived Assets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evaluate the recoverability of our long-lived assets, including property and equipment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costs to complete the in-process projects;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probability of success of clinical events or regulatory approvals;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cash flows from product sales resulting from completed products and in-process projects; and</w:t>
            </w:r>
          </w:p>
        </w:tc>
      </w:tr>
    </w:tbl>
    <w:tbl>
      <w:tblPr>
        <w:tblW w:w="1656" w:type="dxa"/>
        <w:jc w:val="left"/>
        <w:tblInd w:w="0" w:type="dxa"/>
        <w:tblLayout w:type="fixed"/>
        <w:tblCellMar>
          <w:top w:w="28" w:type="dxa"/>
          <w:left w:w="28" w:type="dxa"/>
          <w:bottom w:w="28" w:type="dxa"/>
          <w:right w:w="28" w:type="dxa"/>
        </w:tblCellMar>
      </w:tblPr>
      <w:tblGrid>
        <w:gridCol w:w="124"/>
        <w:gridCol w:w="256"/>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We accrue the cost of services rendered in connection with CRO and CDMO activities based on our estimate of costs incurred. We maintain regular communication with our CROs and CDMOs to assess the reasonableness of our estimates. Differences between actual expenses and estimated expenses recorded have not been material and are adjusted for in the period in which they become known.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record stock-based compensation expense for all stock-based awards made to employees, consultants and non-employee directors based on the estimated fair values of the stock-based awards expected to vest at the grant date and adjust, if necessary, to reflect actual forfeitures. Our estimates of employee, consultant and non-employee director stock option values rely on estimates of future uncertain events. Significant assumptions include the use of historical volatility to estimate the expected stock price volatility. We also estimate expected term based on historical exercise patterns. For consultant and non-employee director grants, we may elect to use the contractual term as the expected term in the option-pricing model. Actual volatility and lives of options may be significantly different from our estimates. Compensation expense for all stock-based awards is recognized using the straight-line method over the term of vesting or performance.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Year Ended December 31, 2025 compared with Year Ended December 31, 2024</w:t>
      </w:r>
    </w:p>
    <w:p>
      <w:pPr>
        <w:pStyle w:val="TextBody"/>
        <w:bidi w:val="0"/>
        <w:spacing w:before="0" w:after="0"/>
        <w:ind w:left="0" w:right="0" w:hanging="0"/>
        <w:jc w:val="left"/>
        <w:rPr/>
      </w:pPr>
      <w:r>
        <w:rPr/>
        <w:t>​</w:t>
      </w:r>
    </w:p>
    <w:tbl>
      <w:tblPr>
        <w:tblW w:w="9793" w:type="dxa"/>
        <w:jc w:val="left"/>
        <w:tblInd w:w="0" w:type="dxa"/>
        <w:tblLayout w:type="fixed"/>
        <w:tblCellMar>
          <w:top w:w="0" w:type="dxa"/>
          <w:left w:w="0" w:type="dxa"/>
          <w:bottom w:w="0" w:type="dxa"/>
          <w:right w:w="0" w:type="dxa"/>
        </w:tblCellMar>
      </w:tblPr>
      <w:tblGrid>
        <w:gridCol w:w="4006"/>
        <w:gridCol w:w="346"/>
        <w:gridCol w:w="211"/>
        <w:gridCol w:w="901"/>
        <w:gridCol w:w="346"/>
        <w:gridCol w:w="211"/>
        <w:gridCol w:w="901"/>
        <w:gridCol w:w="346"/>
        <w:gridCol w:w="211"/>
        <w:gridCol w:w="781"/>
        <w:gridCol w:w="346"/>
        <w:gridCol w:w="871"/>
        <w:gridCol w:w="31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543810" cy="175260"/>
                      <wp:effectExtent l="0" t="0" r="0" b="0"/>
                      <wp:wrapNone/>
                      <wp:docPr id="54" name="Frame53"/>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2135" cy="175260"/>
                      <wp:effectExtent l="0" t="0" r="0" b="0"/>
                      <wp:wrapNone/>
                      <wp:docPr id="57" name="Frame5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72135" cy="175260"/>
                      <wp:effectExtent l="0" t="0" r="0" b="0"/>
                      <wp:wrapNone/>
                      <wp:docPr id="60" name="Frame5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53085" cy="175260"/>
                      <wp:effectExtent l="0" t="0" r="0" b="0"/>
                      <wp:wrapNone/>
                      <wp:docPr id="65" name="Frame6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0660" cy="175260"/>
                      <wp:effectExtent l="0" t="0" r="0" b="0"/>
                      <wp:wrapNone/>
                      <wp:docPr id="66" name="Frame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979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2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Product development and licensing agreements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Contracts and grants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revenues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(5,475)</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operating expenses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86,814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loss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92,289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 and other income, net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(8,605)</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100,894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$100.9 million increase in net loss for the year ended December 31, 2025, as compared to the year ended December 31, 2024, was primarily due to an increase in research and development expenses related to barzolvolimab and a decrease in investment and other income,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$5.6 million decrease in contracts and grants revenue for the year ended December 31, 2025, as compared to the year ended December 31, 2024, was primarily due to a decrease in services performed under our manufacturing and research and development agreements with Rockefeller University. We expect revenue to decrease over the next twelve months as a result of a decrease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services expected to be performed under our contract manufacturing and research and development agreements with Rockefeller University,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hanging="0"/>
        <w:jc w:val="left"/>
        <w:rPr/>
      </w:pPr>
      <w:r>
        <w:rPr/>
        <w:t>​</w:t>
      </w:r>
    </w:p>
    <w:tbl>
      <w:tblPr>
        <w:tblW w:w="6643" w:type="dxa"/>
        <w:jc w:val="left"/>
        <w:tblInd w:w="0" w:type="dxa"/>
        <w:tblLayout w:type="fixed"/>
        <w:tblCellMar>
          <w:top w:w="0" w:type="dxa"/>
          <w:left w:w="0" w:type="dxa"/>
          <w:bottom w:w="0" w:type="dxa"/>
          <w:right w:w="0" w:type="dxa"/>
        </w:tblCellMar>
      </w:tblPr>
      <w:tblGrid>
        <w:gridCol w:w="1861"/>
        <w:gridCol w:w="346"/>
        <w:gridCol w:w="211"/>
        <w:gridCol w:w="781"/>
        <w:gridCol w:w="346"/>
        <w:gridCol w:w="211"/>
        <w:gridCol w:w="676"/>
        <w:gridCol w:w="346"/>
        <w:gridCol w:w="211"/>
        <w:gridCol w:w="676"/>
        <w:gridCol w:w="346"/>
        <w:gridCol w:w="31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181735" cy="175260"/>
                      <wp:effectExtent l="0" t="0" r="0" b="0"/>
                      <wp:wrapNone/>
                      <wp:docPr id="67" name="Frame66"/>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70" name="Frame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29260" cy="175260"/>
                      <wp:effectExtent l="0" t="0" r="0" b="0"/>
                      <wp:wrapNone/>
                      <wp:docPr id="76" name="Frame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0660" cy="175260"/>
                      <wp:effectExtent l="0" t="0" r="0" b="0"/>
                      <wp:wrapNone/>
                      <wp:docPr id="78" name="Frame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0660" cy="175260"/>
                      <wp:effectExtent l="0" t="0" r="0" b="0"/>
                      <wp:wrapNone/>
                      <wp:docPr id="79" name="Frame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15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6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5,298</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70,492</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$5.3 million increase in personnel expenses for the year ended December 31, 2025, as compared to the year ended December 31, 2024, was primarily due to higher stock-based compensation expense and an increase in employee headcount. We expect personnel expenses to increase over the next twelve months as a result of additional headcount to support the expanded development of barzolvolimab.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$0.4 million increase in laboratory supply expenses for the year ended December 31, 2025, as compared to the year ended December 31, 2024, was primarily due to higher laboratory materials and supplies purchases. We expect laboratory supplies expenses to remain relatively consistent over the next twelve months, although there may be fluctuations on a quarterly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year ended December 31, 2025 were relatively consistent with the year ended December 31, 2024. In September 2025, we signed a new lease in New Haven, Connecticut to which we will relocate our existing New Haven operations to in 2026. We expect facility expenses to increase over the next twelve months, although there may be fluctuations on a quarterly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$70.5 million increase in product development expenses for the year ended December 31, 2025, as compared to the year ended December 31, 2024, was primarily due to increases in barzolvolimab clinical trial and contract manufacturing expenses. We expect product development expenses to increase over the next twelve months as a result of the expanded development of barzolvolimab,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$5.3 million increase in general and administrative expenses for the year ended December 31, 2025, as compared to the year ended December 31, 2024, was primarily due to an increase in employee headcount and barzolvolimab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$8.6 million decrease in investment and other income, net for the year ended December 31, 2025, as compared to the year ended December 31, 2024, was primarily due to lower levels of cash and investment balances. We expect investment and other income to decrease over the next twelve months due to lower levels of cash and investment balances, although there may be fluctuations on a quarterly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Year Ended December 31, 2024 compared with Year Ended December 31, 2023</w:t>
      </w:r>
    </w:p>
    <w:p>
      <w:pPr>
        <w:pStyle w:val="TextBody"/>
        <w:bidi w:val="0"/>
        <w:spacing w:before="0" w:after="0"/>
        <w:ind w:left="0" w:right="0" w:hanging="0"/>
        <w:jc w:val="left"/>
        <w:rPr/>
      </w:pPr>
      <w:r>
        <w:rPr/>
        <w:t>​</w:t>
      </w:r>
    </w:p>
    <w:tbl>
      <w:tblPr>
        <w:tblW w:w="9853" w:type="dxa"/>
        <w:jc w:val="left"/>
        <w:tblInd w:w="0" w:type="dxa"/>
        <w:tblLayout w:type="fixed"/>
        <w:tblCellMar>
          <w:top w:w="0" w:type="dxa"/>
          <w:left w:w="0" w:type="dxa"/>
          <w:bottom w:w="0" w:type="dxa"/>
          <w:right w:w="0" w:type="dxa"/>
        </w:tblCellMar>
      </w:tblPr>
      <w:tblGrid>
        <w:gridCol w:w="4006"/>
        <w:gridCol w:w="346"/>
        <w:gridCol w:w="226"/>
        <w:gridCol w:w="901"/>
        <w:gridCol w:w="346"/>
        <w:gridCol w:w="226"/>
        <w:gridCol w:w="901"/>
        <w:gridCol w:w="346"/>
        <w:gridCol w:w="226"/>
        <w:gridCol w:w="796"/>
        <w:gridCol w:w="346"/>
        <w:gridCol w:w="871"/>
        <w:gridCol w:w="31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543810" cy="175260"/>
                      <wp:effectExtent l="0" t="0" r="0" b="0"/>
                      <wp:wrapNone/>
                      <wp:docPr id="80" name="Frame79"/>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3510" cy="175260"/>
                      <wp:effectExtent l="0" t="0" r="0" b="0"/>
                      <wp:wrapNone/>
                      <wp:docPr id="82" name="Frame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72135" cy="175260"/>
                      <wp:effectExtent l="0" t="0" r="0" b="0"/>
                      <wp:wrapNone/>
                      <wp:docPr id="83" name="Frame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3510" cy="175260"/>
                      <wp:effectExtent l="0" t="0" r="0" b="0"/>
                      <wp:wrapNone/>
                      <wp:docPr id="85" name="Frame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72135" cy="175260"/>
                      <wp:effectExtent l="0" t="0" r="0" b="0"/>
                      <wp:wrapNone/>
                      <wp:docPr id="86" name="Frame8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3510" cy="175260"/>
                      <wp:effectExtent l="0" t="0" r="0" b="0"/>
                      <wp:wrapNone/>
                      <wp:docPr id="88" name="Frame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05460" cy="175260"/>
                      <wp:effectExtent l="0" t="0" r="0" b="0"/>
                      <wp:wrapNone/>
                      <wp:docPr id="89" name="Frame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53085" cy="175260"/>
                      <wp:effectExtent l="0" t="0" r="0" b="0"/>
                      <wp:wrapNone/>
                      <wp:docPr id="91" name="Frame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0660" cy="175260"/>
                      <wp:effectExtent l="0" t="0" r="0" b="0"/>
                      <wp:wrapNone/>
                      <wp:docPr id="92" name="Frame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0" w:type="dxa"/>
            <w:gridSpan w:val="5"/>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 Ended</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Increase/</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(Decrease)</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16" w:type="dxa"/>
            <w:tcBorders/>
            <w:vAlign w:val="center"/>
          </w:tcPr>
          <w:p>
            <w:pPr>
              <w:pStyle w:val="TableContents"/>
              <w:bidi w:val="0"/>
              <w:spacing w:before="0" w:after="0"/>
              <w:ind w:left="0" w:right="0" w:hanging="0"/>
              <w:jc w:val="left"/>
              <w:rPr/>
            </w:pPr>
            <w:r>
              <w:rPr/>
              <w:t>​</w:t>
            </w:r>
          </w:p>
        </w:tc>
      </w:tr>
      <w:tr>
        <w:trPr/>
        <w:tc>
          <w:tcPr>
            <w:tcW w:w="985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0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Product development and licensing agreements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Contracts and grants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revenues </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163,550</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118,011</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45,539</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38,548</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30,914</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7,634</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related loss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operating expenses </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202,098</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161,425</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40,673</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loss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(195,078)</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(154,542)</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40,536</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 and other income, net </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37,215</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13,113</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(157,863)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(141,429)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16,434</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$16.4 million increase in net loss for the year ended December 31, 2024, as compared to the year ended December 31, 2023, was primarily due to increases in research and development and general and administrative expenses, partially offset by the $12.5 million litigation settlement related loss recorded in 2023 and an increase in investment and other income,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$0.4 million increase in contracts and grants revenue for the year ended December 31, 2024, as compared to the year ended December 31, 2023, was primarily due to an increase in services performed under our manufacturing and research and development agreements with Rockefeller University.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583" w:type="dxa"/>
        <w:jc w:val="left"/>
        <w:tblInd w:w="0" w:type="dxa"/>
        <w:tblLayout w:type="fixed"/>
        <w:tblCellMar>
          <w:top w:w="0" w:type="dxa"/>
          <w:left w:w="0" w:type="dxa"/>
          <w:bottom w:w="0" w:type="dxa"/>
          <w:right w:w="0" w:type="dxa"/>
        </w:tblCellMar>
      </w:tblPr>
      <w:tblGrid>
        <w:gridCol w:w="1906"/>
        <w:gridCol w:w="346"/>
        <w:gridCol w:w="211"/>
        <w:gridCol w:w="676"/>
        <w:gridCol w:w="346"/>
        <w:gridCol w:w="211"/>
        <w:gridCol w:w="676"/>
        <w:gridCol w:w="346"/>
        <w:gridCol w:w="211"/>
        <w:gridCol w:w="676"/>
        <w:gridCol w:w="346"/>
        <w:gridCol w:w="316"/>
        <w:gridCol w:w="31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10310" cy="175260"/>
                      <wp:effectExtent l="0" t="0" r="0" b="0"/>
                      <wp:wrapNone/>
                      <wp:docPr id="93" name="Frame92"/>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9" name="Frame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2"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0660" cy="175260"/>
                      <wp:effectExtent l="0" t="0" r="0" b="0"/>
                      <wp:wrapNone/>
                      <wp:docPr id="104" name="Frame1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0660" cy="175260"/>
                      <wp:effectExtent l="0" t="0" r="0" b="0"/>
                      <wp:wrapNone/>
                      <wp:docPr id="105" name="Frame1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Year Ended</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December 31,</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(Decrease)</w:t>
            </w:r>
          </w:p>
        </w:tc>
        <w:tc>
          <w:tcPr>
            <w:tcW w:w="316" w:type="dxa"/>
            <w:tcBorders/>
            <w:vAlign w:val="center"/>
          </w:tcPr>
          <w:p>
            <w:pPr>
              <w:pStyle w:val="TableContents"/>
              <w:bidi w:val="0"/>
              <w:spacing w:before="0" w:after="0"/>
              <w:ind w:left="0" w:right="0" w:hanging="0"/>
              <w:jc w:val="left"/>
              <w:rPr>
                <w:color w:val="231F20"/>
              </w:rPr>
            </w:pPr>
            <w:r>
              <w:rPr>
                <w:color w:val="231F20"/>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46" w:type="dxa"/>
            <w:tcBorders/>
            <w:vAlign w:val="center"/>
          </w:tcPr>
          <w:p>
            <w:pPr>
              <w:pStyle w:val="TableContents"/>
              <w:bidi w:val="0"/>
              <w:spacing w:before="0" w:after="0"/>
              <w:ind w:left="0" w:right="0" w:hanging="0"/>
              <w:jc w:val="left"/>
              <w:rPr/>
            </w:pPr>
            <w:r>
              <w:rPr/>
              <w:t>  ​ ​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16" w:type="dxa"/>
            <w:tcBorders/>
            <w:vAlign w:val="center"/>
          </w:tcPr>
          <w:p>
            <w:pPr>
              <w:pStyle w:val="TableContents"/>
              <w:bidi w:val="0"/>
              <w:spacing w:before="0" w:after="0"/>
              <w:ind w:left="0" w:right="0" w:hanging="0"/>
              <w:jc w:val="left"/>
              <w:rPr/>
            </w:pPr>
            <w:r>
              <w:rPr/>
              <w:t>​</w:t>
            </w:r>
          </w:p>
        </w:tc>
      </w:tr>
      <w:tr>
        <w:trPr/>
        <w:tc>
          <w:tcPr>
            <w:tcW w:w="658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211" w:type="dxa"/>
            <w:tcBorders/>
            <w:vAlign w:val="center"/>
          </w:tcPr>
          <w:p>
            <w:pPr>
              <w:pStyle w:val="TableContents"/>
              <w:bidi w:val="0"/>
              <w:spacing w:before="0" w:after="0"/>
              <w:ind w:left="0" w:right="0" w:hanging="0"/>
              <w:jc w:val="left"/>
              <w:rPr>
                <w:color w:val="231F20"/>
              </w:rPr>
            </w:pPr>
            <w:r>
              <w:rPr>
                <w:color w:val="231F20"/>
              </w:rPr>
              <w:t>​</w:t>
            </w:r>
          </w:p>
        </w:tc>
        <w:tc>
          <w:tcPr>
            <w:tcW w:w="676" w:type="dxa"/>
            <w:tcBorders/>
            <w:vAlign w:val="center"/>
          </w:tcPr>
          <w:p>
            <w:pPr>
              <w:pStyle w:val="TableContents"/>
              <w:bidi w:val="0"/>
              <w:spacing w:before="0" w:after="0"/>
              <w:ind w:left="0" w:right="0" w:hanging="0"/>
              <w:jc w:val="left"/>
              <w:rPr>
                <w:color w:val="231F20"/>
              </w:rPr>
            </w:pPr>
            <w:r>
              <w:rPr>
                <w:color w:val="231F20"/>
              </w:rPr>
              <w:t>​</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316" w:type="dxa"/>
            <w:tcBorders/>
            <w:vAlign w:val="center"/>
          </w:tcPr>
          <w:p>
            <w:pPr>
              <w:pStyle w:val="TableContents"/>
              <w:bidi w:val="0"/>
              <w:spacing w:before="0" w:after="0"/>
              <w:ind w:left="0" w:right="0" w:hanging="0"/>
              <w:jc w:val="left"/>
              <w:rPr>
                <w:color w:val="231F20"/>
              </w:rPr>
            </w:pPr>
            <w:r>
              <w:rPr>
                <w:color w:val="231F20"/>
              </w:rPr>
              <w:t>​</w:t>
            </w:r>
          </w:p>
        </w:tc>
        <w:tc>
          <w:tcPr>
            <w:tcW w:w="316" w:type="dxa"/>
            <w:tcBorders/>
            <w:vAlign w:val="center"/>
          </w:tcPr>
          <w:p>
            <w:pPr>
              <w:pStyle w:val="TableContents"/>
              <w:bidi w:val="0"/>
              <w:spacing w:before="0" w:after="0"/>
              <w:ind w:left="0" w:right="0" w:hanging="0"/>
              <w:jc w:val="left"/>
              <w:rPr>
                <w:color w:val="231F20"/>
              </w:rPr>
            </w:pPr>
            <w:r>
              <w:rPr>
                <w:color w:val="231F20"/>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Personnel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Laboratory supplies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Facility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Product development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w:t>
            </w:r>
          </w:p>
        </w:tc>
        <w:tc>
          <w:tcPr>
            <w:tcW w:w="3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$11.8 million increase in personnel expenses for the year ended December 31, 2024, as compared to the year ended December 31, 2023, was primarily due to higher stock-based compensation expense and an increase in employee headcount.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$0.3 million increase in laboratory supply expenses for the year ended December 31, 2024, as compared to the year ended December 31, 2023, was primarily due to higher laboratory services, materials and supplies purchases.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year ended December 31, 2024 were relatively consistent with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$31.3 million increase in product development expenses for the year ended December 31, 2024, as compared to the year ended December 31, 2023, was primarily due to an increase in barzolvolimab clinical trial expenses, partially offset by a decrease in barzolvolimab contract manufacturing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$7.6 million increase in general and administrative expenses for the year ended December 31, 2024, as compared to the year ended December 31, 2023, was primarily due to higher stock-based compensation and barzolvolimab commercial planning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 Settlement Related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fourth quarter of 2023, we announced positive topline results from our Phase 2 clinical trial of barzolvolimab in patients with moderate to severe CSU, which satisfied the requirement of “successful completion” of a Phase 2 Clinical Trial of barzolvolimab such that we were obligated to make the applicable milestone payment under the Settlement Agreement with SRS in the amount of $12.5 million. During the fourth quarter of 2023, we paid the $12.5 million milestone in cash and recorded a litigation settlement related loss of $12.5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$24.1 million increase in investment and other income, net for the year ended December 31, 2024, as compared to the year ended December 31, 2023, was primarily due to higher levels of cash as a result of our November 2023 and March 2024 underwritten public offerings.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 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commercial planning;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240"/>
        <w:ind w:left="0" w:right="0" w:firstLine="360"/>
        <w:jc w:val="left"/>
        <w:rPr>
          <w:rFonts w:ascii="Times New Roman;Times;serif" w:hAnsi="Times New Roman;Times;serif"/>
          <w:sz w:val="20"/>
        </w:rPr>
      </w:pPr>
      <w:bookmarkStart w:id="47" w:name="_Hlk91156432"/>
      <w:bookmarkEnd w:id="47"/>
      <w:r>
        <w:rPr>
          <w:rFonts w:ascii="Times New Roman;Times;serif" w:hAnsi="Times New Roman;Times;serif"/>
          <w:sz w:val="20"/>
        </w:rPr>
        <w:t>At December 31, 2025, our principal sources of liquidity consisted of cash, cash equivalents and marketable securities of $518.6 million. We have had recurring losses and incurred a loss of $258.8 million for the year ended December 31, 2025. Net cash used in operations for the year ended December 31, 2025 was $210.9 million. We believe that the cash, cash equivalents and marketable securities at December 31, 2025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our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was $210.9 million for the year ended December 31, 2025 compared to $157.8 million for the year ended December 31, 2024. The increase in net cash used in operating activities was primarily due to an increase in research and development expenses and a decrease in investment income as a result of lower levels of cash, partially offset by a decrease in prepayments to clinical research and contract manufacturing organizations. We expect that cash used in operating activities will increase over the next twelve months as a result of the expanded development of barzolvolimab.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was $157.8 million for the year ended December 31, 2024 compared to $107.3 million for the year ended December 31, 2023. The increase in net cash used in operating activities was primarily due to increases in research and development and general and administrative expenses and an increase in advance payments to clinical research and contract manufacturing organizations, partially offset by an increase in investment income as a result of higher levels of cash and a decrease in payments made under the Settlement Agreement with SRS.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investing activities was $209.1 million for the year ended December 31, 2025 compared to net cash used in investing activities of $290.1 million for the year ended December 31, 2024. The increase in net cash provided by investing activities was primarily due to net sales and maturities of marketable securities of $211.8 million for the year ended December 31, 2025 as compared to net purchases of marketable securities of $288.2 million for the year ended December 31, 2024. We expect that cash provided by investing activities will increase over the next twelve months as we fund our operations through the combination of net proceeds from the sales and maturities of marketable securities, cash provided by financing activities and/or new partnerships, although there may be significant fluctuations on a quarterly basis based on the amount of cash provided by financing activities and/or new partnerships.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investing activities was $290.1 million for the year ended December 31, 2024 compared to $105.8 million for the year ended December 31, 2023. The increase in net cash used in investing activities was primarily due to net purchases of marketable securities of $288.2 million for the year ended December 31, 2024 as compared to $104.0 million for the year ended December 31,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was $2.4 million for the year ended December 31, 2025 compared to $441.4 million for the year ended December 31, 2024. The decrease in net cash provided by financing activities was primarily due to a decrease in net proceeds from stock issuances.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was $441.4 million for the year ended December 31, 2024 compared to $218.5 million for the year ended December 31, 2023. The increase in net cash provided by financing activities was primarily due to an increase in net proceeds from stock issuances.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2023, we filed an automatic shelf registration statement with the SEC to register for sale any combination of the types of securities described in the shelf registration statement, including shares of our common stock. Also in November 2023, we issued 8,538,750 shares of our common stock in an underwritten public offering resulting in net proceeds of $216.2 million, after deducting underwriting fees and offering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26, 2024, we entered into a controlled equity offering sales agreement (“ATM Agreement”) with Cantor Fitzgerald &amp; Co. (“Cantor”) to allow us to issue and sell shares of our common stock from time to time through Cantor, acting as agent. At December 31, 2025, we had registered $300.0 million of our common stock to be sold pursuant to the ATM Agreement, all of which remained unsold as of that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2024, we issued 9,798,000 shares of our common stock in an underwritten public offering resulting in net proceeds of $432.3 million, after deducting underwriting fees and offering expenses.</w:t>
      </w:r>
    </w:p>
    <w:p>
      <w:pPr>
        <w:pStyle w:val="TextBody"/>
        <w:bidi w:val="0"/>
        <w:spacing w:before="0" w:after="240"/>
        <w:ind w:left="0" w:right="0" w:hanging="0"/>
        <w:jc w:val="left"/>
        <w:rPr>
          <w:rFonts w:ascii="Times New Roman;Times;serif" w:hAnsi="Times New Roman;Times;serif"/>
          <w:b/>
          <w:sz w:val="20"/>
        </w:rPr>
      </w:pPr>
      <w:bookmarkStart w:id="48" w:name="Item7AQUANTITATIVEANDQUALITATIVE_388458"/>
      <w:bookmarkStart w:id="49" w:name="_d5467c81_cf09_4c68_a62d_1ca2c69d952a"/>
      <w:bookmarkEnd w:id="48"/>
      <w:bookmarkEnd w:id="49"/>
      <w:r>
        <w:rPr>
          <w:rFonts w:ascii="Times New Roman;Times;serif" w:hAnsi="Times New Roman;Times;serif"/>
          <w:b/>
          <w:sz w:val="20"/>
        </w:rPr>
        <w:t>Item 7A.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balance sheet of cash and cash equivalents, accounts receivables and accounts payable approximates fair value at December 31, 2025 due to the short-term maturities of these instruments.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0" w:name="Item8FINANCIALSTATEMENTS_953180"/>
      <w:bookmarkStart w:id="51" w:name="_f4b3ea6b_cddc_4c64_b03d_ca3cda439956"/>
      <w:bookmarkEnd w:id="50"/>
      <w:bookmarkEnd w:id="51"/>
      <w:r>
        <w:rPr>
          <w:rFonts w:ascii="Times New Roman;Times;serif" w:hAnsi="Times New Roman;Times;serif"/>
          <w:b/>
          <w:i w:val="false"/>
          <w:caps w:val="false"/>
          <w:smallCaps w:val="false"/>
          <w:sz w:val="20"/>
        </w:rPr>
        <w:t>Item 8.</w:t>
      </w:r>
      <w:r>
        <w:rPr>
          <w:rFonts w:ascii="Times New Roman;Times;serif" w:hAnsi="Times New Roman;Times;serif"/>
          <w:sz w:val="20"/>
        </w:rPr>
        <w:t xml:space="preserve"> </w:t>
      </w:r>
      <w:r>
        <w:rPr>
          <w:rFonts w:ascii="Times New Roman;Times;serif" w:hAnsi="Times New Roman;Times;serif"/>
          <w:b/>
          <w:sz w:val="20"/>
        </w:rPr>
        <w:t>FINANCIAL STATEMENTS AND SUPPLEMENTARY DATA</w:t>
      </w:r>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the Board of Directors and Stockholders of Celldex Therapeutics, Inc.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audited the accompanying consolidated balance sheets of Celldex Therapeutics, Inc. and its subsidiary (the “Company”) as of December 31, 2025 and 2024, and the related consolidated statements of operations and comprehensive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for Opinions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regarding prevention or timely detection of unauthorized acquisition, use, or disposition of the company’s assets that could have a material effect on the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 and Accruals Related to Clinical Research Organization and Contract Development and Manufacturing Organization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described in Notes 2 and 10 to the consolidated financial statements, 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 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Management accrues the cost of services rendered in connection with CRO and CDMO activities based on their estimate of costs incurred. Management maintains regular communication with their CROs and CDMOs to assess the reasonableness of its estimates. Research and development expenses for the year ended December 31, 2025 were $245.1 million, the majority of which related to CRO and CDMO activities. Within accrued expenses, total accrued research and development contract costs as of December 31, 2025 amounted to $33.3 million, a majority of which related to CRO and CDMO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principal consideration for our determination that performing procedures relating to research and development expenses and accruals related to CRO and CDMO activities is a critical audit matter is a high degree of auditor effort in performing procedures related to the Company’s research and development expenses and accruals.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estimated research and development accruals, including those related to CRO and CDMO activities. These procedures also included, among others, (i) testing management’s process for developing the estimate of research and development accruals related to CROs and CDMOs, (ii) evaluating the appropriateness of the methods used by management to develop the estimate, (iii) testing, on a sample basis, the completeness and accuracy of costs incurred for services that have been performed and for which the Company has been invoiced by comparing amounts to CRO and CDMO contracts and invoices, and evaluating the reasonableness of the cost incurred for the services for which the Company has not yet been invoiced by comparing estimated amounts to information received from the CROs and CDMOs, and (iv) testing, on a sample basis, classification of research and development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 PricewaterhouseCoopers LLP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Boston, Massachusetts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25,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2008.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2" w:name="_bd0a3277_adde_4dba_b205_1f223b32471e"/>
      <w:bookmarkEnd w:id="52"/>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 w:name="Tc_JwuZ0VABd0eECDEJ6jZwNQ_32_5"/>
      <w:bookmarkStart w:id="54" w:name="Tc_VBmpzWZ2-ECkyWrvryvRwA_32_2"/>
      <w:bookmarkStart w:id="55" w:name="Tc_Y3VSI6MpfE-SycL5nP6giw_32_0"/>
      <w:bookmarkStart w:id="56" w:name="Tc_irHL_5UIIEGvm5eU24__8g_31_0"/>
      <w:bookmarkStart w:id="57" w:name="Tc_IgV8ObdgdUG0AJufo_shfQ_30_0"/>
      <w:bookmarkStart w:id="58" w:name="Tc_UabYok8A4ECa_PSJG4-gzQ_29_0"/>
      <w:bookmarkStart w:id="59" w:name="Tc_M4PltnNfCEiAoeZO1gSNXA_28_0"/>
      <w:bookmarkStart w:id="60" w:name="Tc_gYl2uENx90aW7UEF2PWKww_27_0"/>
      <w:bookmarkStart w:id="61" w:name="Tc_CHGpG888-EaMUl7g9KBxgw_26_0"/>
      <w:bookmarkStart w:id="62" w:name="Tc_CLyvKyLvI0KFcOWs66-gOQ_25_0"/>
      <w:bookmarkStart w:id="63" w:name="Tc_5rTv9jpdbUWV81ipqc5BvQ_24_0"/>
      <w:bookmarkStart w:id="64" w:name="Tc_rtL50ZP0kUSiTMw_WezV2w_23_0"/>
      <w:bookmarkStart w:id="65" w:name="Tc_mWpYwYJFPEGD27wlGAXyFw_22_0"/>
      <w:bookmarkStart w:id="66" w:name="Tc_Z4K_ygBmG0qqXE1XfNIadA_21_0"/>
      <w:bookmarkStart w:id="67" w:name="Tc_1oxMF4SdfUe-y-xH08E8qA_20_0"/>
      <w:bookmarkStart w:id="68" w:name="Tc_GYE--6Z-AkiKZIGX_ef3sw_19_0"/>
      <w:bookmarkStart w:id="69" w:name="Tc_M6lmvo__gUq_ZYpUK145ug_18_0"/>
      <w:bookmarkStart w:id="70" w:name="Tc_X3RF2yoqnkqrHMaqH67LuA_17_0"/>
      <w:bookmarkStart w:id="71" w:name="Tc_triEXjymC06N4w_nP8UDbg_16_5"/>
      <w:bookmarkStart w:id="72" w:name="Tc_4htxuSl05US6jCpnqZk0fQ_16_2"/>
      <w:bookmarkStart w:id="73" w:name="Tc_9d-vnLjXVEmE8J79PT_4ww_16_0"/>
      <w:bookmarkStart w:id="74" w:name="Tc_2pwJ9nrDa0mv671fbRaE0w_15_0"/>
      <w:bookmarkStart w:id="75" w:name="Tc_TxRJDP2a10uOKS4GydDECA_14_0"/>
      <w:bookmarkStart w:id="76" w:name="Tc_-r9wiDisKEOb-RJIQCKk3Q_13_5"/>
      <w:bookmarkStart w:id="77" w:name="Tc_AFu1AOnDRUSEOkwj5DBrTw_13_2"/>
      <w:bookmarkStart w:id="78" w:name="Tc_bvVpLrKTEkuPAHednCasqA_13_0"/>
      <w:bookmarkStart w:id="79" w:name="Tc_u0_HV2OK8k-XocJwgXX4zw_12_0"/>
      <w:bookmarkStart w:id="80" w:name="Tc_ecieXuLUCUqdt6TvO-KelA_11_0"/>
      <w:bookmarkStart w:id="81" w:name="Tc_3de9j7rObkSmNlwSU84quw_10_0"/>
      <w:bookmarkStart w:id="82" w:name="Tc_tiHo_ro0b0-8FNngnfJ7QQ_9_0"/>
      <w:bookmarkStart w:id="83" w:name="Tc_6f1KQArHtEe6znOzXBzwNg_8_0"/>
      <w:bookmarkStart w:id="84" w:name="Tc_zfO-CIhbtkuAASICh3eh4g_7_0"/>
      <w:bookmarkStart w:id="85" w:name="Tc_ITNDsAiQ106gtfaeP5l2jQ_6_0"/>
      <w:bookmarkStart w:id="86" w:name="Tc_Dzq8SmYNj0OhI4OI_YH7cg_5_0"/>
      <w:bookmarkStart w:id="87" w:name="Tc_2Rw_6ttnXk2Ae_hphFz38w_4_5"/>
      <w:bookmarkStart w:id="88" w:name="Tc_RQ4L796abU2oegci4pMNJQ_4_2"/>
      <w:bookmarkStart w:id="89" w:name="Tc_M4jeBzCkMUyHvH8ZExJn5A_4_0"/>
      <w:bookmarkStart w:id="90" w:name="Tc_ckGGEs4RpkuIumDw727GVQ_3_0"/>
      <w:bookmarkStart w:id="91" w:name="Tc_b525GWo1fEmn44AKojSBBQ_2_0"/>
      <w:bookmarkStart w:id="92" w:name="Tc_icIyHsnugUOqixnc_BcK1w_1_5"/>
      <w:bookmarkStart w:id="93" w:name="Tc_ZUsVI2wbk0aXIXFdI57HcQ_1_2"/>
      <w:bookmarkStart w:id="94" w:name="_3104edf3_c3f7_4eb3_b72d_c2d40c9bfd2c"/>
      <w:bookmarkStart w:id="95" w:name="Tc_JwuZ0VABd0eECDEJ6jZwNQ_32_5"/>
      <w:bookmarkStart w:id="96" w:name="Tc_VBmpzWZ2-ECkyWrvryvRwA_32_2"/>
      <w:bookmarkStart w:id="97" w:name="Tc_Y3VSI6MpfE-SycL5nP6giw_32_0"/>
      <w:bookmarkStart w:id="98" w:name="Tc_irHL_5UIIEGvm5eU24__8g_31_0"/>
      <w:bookmarkStart w:id="99" w:name="Tc_IgV8ObdgdUG0AJufo_shfQ_30_0"/>
      <w:bookmarkStart w:id="100" w:name="Tc_UabYok8A4ECa_PSJG4-gzQ_29_0"/>
      <w:bookmarkStart w:id="101" w:name="Tc_M4PltnNfCEiAoeZO1gSNXA_28_0"/>
      <w:bookmarkStart w:id="102" w:name="Tc_gYl2uENx90aW7UEF2PWKww_27_0"/>
      <w:bookmarkStart w:id="103" w:name="Tc_CHGpG888-EaMUl7g9KBxgw_26_0"/>
      <w:bookmarkStart w:id="104" w:name="Tc_CLyvKyLvI0KFcOWs66-gOQ_25_0"/>
      <w:bookmarkStart w:id="105" w:name="Tc_5rTv9jpdbUWV81ipqc5BvQ_24_0"/>
      <w:bookmarkStart w:id="106" w:name="Tc_rtL50ZP0kUSiTMw_WezV2w_23_0"/>
      <w:bookmarkStart w:id="107" w:name="Tc_mWpYwYJFPEGD27wlGAXyFw_22_0"/>
      <w:bookmarkStart w:id="108" w:name="Tc_Z4K_ygBmG0qqXE1XfNIadA_21_0"/>
      <w:bookmarkStart w:id="109" w:name="Tc_1oxMF4SdfUe-y-xH08E8qA_20_0"/>
      <w:bookmarkStart w:id="110" w:name="Tc_GYE--6Z-AkiKZIGX_ef3sw_19_0"/>
      <w:bookmarkStart w:id="111" w:name="Tc_M6lmvo__gUq_ZYpUK145ug_18_0"/>
      <w:bookmarkStart w:id="112" w:name="Tc_X3RF2yoqnkqrHMaqH67LuA_17_0"/>
      <w:bookmarkStart w:id="113" w:name="Tc_triEXjymC06N4w_nP8UDbg_16_5"/>
      <w:bookmarkStart w:id="114" w:name="Tc_4htxuSl05US6jCpnqZk0fQ_16_2"/>
      <w:bookmarkStart w:id="115" w:name="Tc_9d-vnLjXVEmE8J79PT_4ww_16_0"/>
      <w:bookmarkStart w:id="116" w:name="Tc_2pwJ9nrDa0mv671fbRaE0w_15_0"/>
      <w:bookmarkStart w:id="117" w:name="Tc_TxRJDP2a10uOKS4GydDECA_14_0"/>
      <w:bookmarkStart w:id="118" w:name="Tc_-r9wiDisKEOb-RJIQCKk3Q_13_5"/>
      <w:bookmarkStart w:id="119" w:name="Tc_AFu1AOnDRUSEOkwj5DBrTw_13_2"/>
      <w:bookmarkStart w:id="120" w:name="Tc_bvVpLrKTEkuPAHednCasqA_13_0"/>
      <w:bookmarkStart w:id="121" w:name="Tc_u0_HV2OK8k-XocJwgXX4zw_12_0"/>
      <w:bookmarkStart w:id="122" w:name="Tc_ecieXuLUCUqdt6TvO-KelA_11_0"/>
      <w:bookmarkStart w:id="123" w:name="Tc_3de9j7rObkSmNlwSU84quw_10_0"/>
      <w:bookmarkStart w:id="124" w:name="Tc_tiHo_ro0b0-8FNngnfJ7QQ_9_0"/>
      <w:bookmarkStart w:id="125" w:name="Tc_6f1KQArHtEe6znOzXBzwNg_8_0"/>
      <w:bookmarkStart w:id="126" w:name="Tc_zfO-CIhbtkuAASICh3eh4g_7_0"/>
      <w:bookmarkStart w:id="127" w:name="Tc_ITNDsAiQ106gtfaeP5l2jQ_6_0"/>
      <w:bookmarkStart w:id="128" w:name="Tc_Dzq8SmYNj0OhI4OI_YH7cg_5_0"/>
      <w:bookmarkStart w:id="129" w:name="Tc_2Rw_6ttnXk2Ae_hphFz38w_4_5"/>
      <w:bookmarkStart w:id="130" w:name="Tc_RQ4L796abU2oegci4pMNJQ_4_2"/>
      <w:bookmarkStart w:id="131" w:name="Tc_M4jeBzCkMUyHvH8ZExJn5A_4_0"/>
      <w:bookmarkStart w:id="132" w:name="Tc_ckGGEs4RpkuIumDw727GVQ_3_0"/>
      <w:bookmarkStart w:id="133" w:name="Tc_b525GWo1fEmn44AKojSBBQ_2_0"/>
      <w:bookmarkStart w:id="134" w:name="Tc_icIyHsnugUOqixnc_BcK1w_1_5"/>
      <w:bookmarkStart w:id="135" w:name="Tc_ZUsVI2wbk0aXIXFdI57HcQ_1_2"/>
      <w:bookmarkStart w:id="136" w:name="_3104edf3_c3f7_4eb3_b72d_c2d40c9bfd2c"/>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6466"/>
        <w:gridCol w:w="346"/>
        <w:gridCol w:w="263"/>
        <w:gridCol w:w="1238"/>
        <w:gridCol w:w="346"/>
        <w:gridCol w:w="261"/>
        <w:gridCol w:w="1285"/>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105910" cy="175260"/>
                      <wp:effectExtent l="0" t="0" r="0" b="0"/>
                      <wp:wrapNone/>
                      <wp:docPr id="106" name="Frame105"/>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67005" cy="175260"/>
                      <wp:effectExtent l="0" t="0" r="0" b="0"/>
                      <wp:wrapNone/>
                      <wp:docPr id="108" name="Frame10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86130" cy="175260"/>
                      <wp:effectExtent l="0" t="0" r="0" b="0"/>
                      <wp:wrapNone/>
                      <wp:docPr id="109" name="Frame108"/>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5735" cy="175260"/>
                      <wp:effectExtent l="0" t="0" r="0" b="0"/>
                      <wp:wrapNone/>
                      <wp:docPr id="111" name="Frame11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815975" cy="175260"/>
                      <wp:effectExtent l="0" t="0" r="0" b="0"/>
                      <wp:wrapNone/>
                      <wp:docPr id="112" name="Frame111"/>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2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489,702</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12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14,076</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21,178</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534,664</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747,159</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5,334</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12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9,747</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582,983</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792,340</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2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47,029</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33,842</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12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liabilities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39,501</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55,818</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45,335</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 (Note 15)</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2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December 31, 2025 and 2024</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123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w:t>
            </w:r>
          </w:p>
        </w:tc>
        <w:tc>
          <w:tcPr>
            <w:tcW w:w="128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297,000,000 shares authorized; 66,549,442 and 66,374,549 shares issued and outstanding at December 31, 2025 and 2024, respectively</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right"/>
              <w:rPr/>
            </w:pPr>
            <w:r>
              <w:rPr/>
              <w:t>​</w:t>
            </w:r>
          </w:p>
        </w:tc>
        <w:tc>
          <w:tcPr>
            <w:tcW w:w="12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2,337,453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right"/>
              <w:rPr/>
            </w:pPr>
            <w:r>
              <w:rPr/>
              <w:t>​</w:t>
            </w:r>
          </w:p>
        </w:tc>
        <w:tc>
          <w:tcPr>
            <w:tcW w:w="12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3,626</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(1,813,981)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r>
      <w:tr>
        <w:trPr/>
        <w:tc>
          <w:tcPr>
            <w:tcW w:w="64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527,165</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6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582,983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792,340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7" w:name="_bd6f80d1_ed0a_427c_85d5_0e46445afd25"/>
      <w:bookmarkEnd w:id="137"/>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8" w:name="Tc_E8e5-DEOREiQ4jCA-2NFUg_21_8"/>
      <w:bookmarkStart w:id="139" w:name="Tc__Fcei-UCik-bnyaRZlNajA_21_5"/>
      <w:bookmarkStart w:id="140" w:name="Tc_BRmMhP3zVUOxoddvj_Rulg_21_2"/>
      <w:bookmarkStart w:id="141" w:name="Tc_AjuJVF6qQkKDfCdODGAPUg_21_0"/>
      <w:bookmarkStart w:id="142" w:name="Tc_rnxZL9Nd2U6VL4rnASTzMg_20_0"/>
      <w:bookmarkStart w:id="143" w:name="Tc_qQ35RR6hF06SZwqeiIITBg_19_0"/>
      <w:bookmarkStart w:id="144" w:name="Tc_wGL8n4gwq0Sx3hFQ689hIw_18_8"/>
      <w:bookmarkStart w:id="145" w:name="Tc__Fi-eb1TRkiXAp-8215qCg_18_5"/>
      <w:bookmarkStart w:id="146" w:name="Tc_z4Va73ocDUuPXo0ZUhBG2g_18_2"/>
      <w:bookmarkStart w:id="147" w:name="Tc_oqgKI7cmwkS6-zRzeLHIYQ_18_0"/>
      <w:bookmarkStart w:id="148" w:name="Tc_dZx9344H1Ei3QPsMwnnkOw_17_0"/>
      <w:bookmarkStart w:id="149" w:name="Tc_6mkQ84nKfECRSYnMnK24aw_16_0"/>
      <w:bookmarkStart w:id="150" w:name="Tc_kplP0A0gMU-FNLeChOSi4w_15_8"/>
      <w:bookmarkStart w:id="151" w:name="Tc_tkjCGfczAkGmKnjvzghBkA_15_5"/>
      <w:bookmarkStart w:id="152" w:name="Tc__FIbAQ0p106qZXCnwf7LXw_15_2"/>
      <w:bookmarkStart w:id="153" w:name="Tc__hEGkh9nWkeK_o4C9Ij3oQ_15_0"/>
      <w:bookmarkStart w:id="154" w:name="Tc_pTCf98a7U02MBsK1O-3CfQ_14_8"/>
      <w:bookmarkStart w:id="155" w:name="Tc_U7Mfbo3pbEmnmjAxJU_pXg_14_5"/>
      <w:bookmarkStart w:id="156" w:name="Tc_FKGdSKuS_E2x1IfBqu2QpQ_14_2"/>
      <w:bookmarkStart w:id="157" w:name="Tc_WtLiV4rl20Sand0YP-1R_g_14_0"/>
      <w:bookmarkStart w:id="158" w:name="Tc_Pt2byQgDFEebq5qQM0i11g_13_0"/>
      <w:bookmarkStart w:id="159" w:name="Tc_q4miB8zIy0KPNaLP5oaGBw_12_0"/>
      <w:bookmarkStart w:id="160" w:name="Tc__d1QU8q-K0CKEOm9GrGtYw_11_0"/>
      <w:bookmarkStart w:id="161" w:name="Tc_3T21VNprYEeq1X8kf3j1Xw_10_6"/>
      <w:bookmarkStart w:id="162" w:name="Tc_3tzXHxNpaUyKsIRcW19BZw_10_3"/>
      <w:bookmarkStart w:id="163" w:name="Tc_ExcPHmEsP0C0xDdpsjasug_10_0"/>
      <w:bookmarkStart w:id="164" w:name="Tc_tVnQwgdUkkKBiCX7pb0pwA_9_0"/>
      <w:bookmarkStart w:id="165" w:name="Tc_wZ_S0e_OAkS1-QzKmMM0pg_8_0"/>
      <w:bookmarkStart w:id="166" w:name="Tc_SQMessXmjEG5RLcoSycu3w_7_0"/>
      <w:bookmarkStart w:id="167" w:name="Tc_GQ7D7i8Yb0usuyKlGE5sbQ_6_0"/>
      <w:bookmarkStart w:id="168" w:name="Tc_9vCvDpCfkE2sqhtJ_MIx2Q_5_0"/>
      <w:bookmarkStart w:id="169" w:name="Tc_V56L0V__9kysfVsbG11wUw_4_8"/>
      <w:bookmarkStart w:id="170" w:name="Tc_lXNflyAHwkSS2T62lTvJaA_4_5"/>
      <w:bookmarkStart w:id="171" w:name="Tc_s4CaTmi3GUeAbW_s27Difw_4_2"/>
      <w:bookmarkStart w:id="172" w:name="Tc_5PTa3WQjOk2GUftFKzU2uQ_4_0"/>
      <w:bookmarkStart w:id="173" w:name="Tc_BdeJ7bL_ukKMSlpZXnVpPg_3_0"/>
      <w:bookmarkStart w:id="174" w:name="Tc_SY6vGTnxOkyiWBU13JCMRw_2_8"/>
      <w:bookmarkStart w:id="175" w:name="Tc_Cx_bWP70Y0O3M_jwNpGKwA_2_5"/>
      <w:bookmarkStart w:id="176" w:name="Tc_o_H_Sv4rq0SRNuISluldYA_2_2"/>
      <w:bookmarkStart w:id="177" w:name="Tc_NAmzGfN37U6zubyncICcPQ_1_8"/>
      <w:bookmarkStart w:id="178" w:name="Tc_4WWva2xxVUOYXUJegAnPCg_1_5"/>
      <w:bookmarkStart w:id="179" w:name="Tc_aq46yWb3q0i2SJ2jyH34nQ_1_2"/>
      <w:bookmarkStart w:id="180" w:name="_d666833f_e7b9_49ab_a539_956457d450a7"/>
      <w:bookmarkStart w:id="181" w:name="_f4a46e5c_fbc6_4ce6_9329_d137b47ef911"/>
      <w:bookmarkStart w:id="182" w:name="Tc_E8e5-DEOREiQ4jCA-2NFUg_21_8"/>
      <w:bookmarkStart w:id="183" w:name="Tc__Fcei-UCik-bnyaRZlNajA_21_5"/>
      <w:bookmarkStart w:id="184" w:name="Tc_BRmMhP3zVUOxoddvj_Rulg_21_2"/>
      <w:bookmarkStart w:id="185" w:name="Tc_AjuJVF6qQkKDfCdODGAPUg_21_0"/>
      <w:bookmarkStart w:id="186" w:name="Tc_rnxZL9Nd2U6VL4rnASTzMg_20_0"/>
      <w:bookmarkStart w:id="187" w:name="Tc_qQ35RR6hF06SZwqeiIITBg_19_0"/>
      <w:bookmarkStart w:id="188" w:name="Tc_wGL8n4gwq0Sx3hFQ689hIw_18_8"/>
      <w:bookmarkStart w:id="189" w:name="Tc__Fi-eb1TRkiXAp-8215qCg_18_5"/>
      <w:bookmarkStart w:id="190" w:name="Tc_z4Va73ocDUuPXo0ZUhBG2g_18_2"/>
      <w:bookmarkStart w:id="191" w:name="Tc_oqgKI7cmwkS6-zRzeLHIYQ_18_0"/>
      <w:bookmarkStart w:id="192" w:name="Tc_dZx9344H1Ei3QPsMwnnkOw_17_0"/>
      <w:bookmarkStart w:id="193" w:name="Tc_6mkQ84nKfECRSYnMnK24aw_16_0"/>
      <w:bookmarkStart w:id="194" w:name="Tc_kplP0A0gMU-FNLeChOSi4w_15_8"/>
      <w:bookmarkStart w:id="195" w:name="Tc_tkjCGfczAkGmKnjvzghBkA_15_5"/>
      <w:bookmarkStart w:id="196" w:name="Tc__FIbAQ0p106qZXCnwf7LXw_15_2"/>
      <w:bookmarkStart w:id="197" w:name="Tc__hEGkh9nWkeK_o4C9Ij3oQ_15_0"/>
      <w:bookmarkStart w:id="198" w:name="Tc_pTCf98a7U02MBsK1O-3CfQ_14_8"/>
      <w:bookmarkStart w:id="199" w:name="Tc_U7Mfbo3pbEmnmjAxJU_pXg_14_5"/>
      <w:bookmarkStart w:id="200" w:name="Tc_FKGdSKuS_E2x1IfBqu2QpQ_14_2"/>
      <w:bookmarkStart w:id="201" w:name="Tc_WtLiV4rl20Sand0YP-1R_g_14_0"/>
      <w:bookmarkStart w:id="202" w:name="Tc_Pt2byQgDFEebq5qQM0i11g_13_0"/>
      <w:bookmarkStart w:id="203" w:name="Tc_q4miB8zIy0KPNaLP5oaGBw_12_0"/>
      <w:bookmarkStart w:id="204" w:name="Tc__d1QU8q-K0CKEOm9GrGtYw_11_0"/>
      <w:bookmarkStart w:id="205" w:name="Tc_3T21VNprYEeq1X8kf3j1Xw_10_6"/>
      <w:bookmarkStart w:id="206" w:name="Tc_3tzXHxNpaUyKsIRcW19BZw_10_3"/>
      <w:bookmarkStart w:id="207" w:name="Tc_ExcPHmEsP0C0xDdpsjasug_10_0"/>
      <w:bookmarkStart w:id="208" w:name="Tc_tVnQwgdUkkKBiCX7pb0pwA_9_0"/>
      <w:bookmarkStart w:id="209" w:name="Tc_wZ_S0e_OAkS1-QzKmMM0pg_8_0"/>
      <w:bookmarkStart w:id="210" w:name="Tc_SQMessXmjEG5RLcoSycu3w_7_0"/>
      <w:bookmarkStart w:id="211" w:name="Tc_GQ7D7i8Yb0usuyKlGE5sbQ_6_0"/>
      <w:bookmarkStart w:id="212" w:name="Tc_9vCvDpCfkE2sqhtJ_MIx2Q_5_0"/>
      <w:bookmarkStart w:id="213" w:name="Tc_V56L0V__9kysfVsbG11wUw_4_8"/>
      <w:bookmarkStart w:id="214" w:name="Tc_lXNflyAHwkSS2T62lTvJaA_4_5"/>
      <w:bookmarkStart w:id="215" w:name="Tc_s4CaTmi3GUeAbW_s27Difw_4_2"/>
      <w:bookmarkStart w:id="216" w:name="Tc_5PTa3WQjOk2GUftFKzU2uQ_4_0"/>
      <w:bookmarkStart w:id="217" w:name="Tc_BdeJ7bL_ukKMSlpZXnVpPg_3_0"/>
      <w:bookmarkStart w:id="218" w:name="Tc_SY6vGTnxOkyiWBU13JCMRw_2_8"/>
      <w:bookmarkStart w:id="219" w:name="Tc_Cx_bWP70Y0O3M_jwNpGKwA_2_5"/>
      <w:bookmarkStart w:id="220" w:name="Tc_o_H_Sv4rq0SRNuISluldYA_2_2"/>
      <w:bookmarkStart w:id="221" w:name="Tc_NAmzGfN37U6zubyncICcPQ_1_8"/>
      <w:bookmarkStart w:id="222" w:name="Tc_4WWva2xxVUOYXUJegAnPCg_1_5"/>
      <w:bookmarkStart w:id="223" w:name="Tc_aq46yWb3q0i2SJ2jyH34nQ_1_2"/>
      <w:bookmarkStart w:id="224" w:name="_d666833f_e7b9_49ab_a539_956457d450a7"/>
      <w:bookmarkStart w:id="225" w:name="_f4a46e5c_fbc6_4ce6_9329_d137b47ef91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10205" w:type="dxa"/>
        <w:jc w:val="left"/>
        <w:tblInd w:w="0" w:type="dxa"/>
        <w:tblLayout w:type="fixed"/>
        <w:tblCellMar>
          <w:top w:w="0" w:type="dxa"/>
          <w:left w:w="0" w:type="dxa"/>
          <w:bottom w:w="0" w:type="dxa"/>
          <w:right w:w="0" w:type="dxa"/>
        </w:tblCellMar>
      </w:tblPr>
      <w:tblGrid>
        <w:gridCol w:w="4619"/>
        <w:gridCol w:w="346"/>
        <w:gridCol w:w="301"/>
        <w:gridCol w:w="1200"/>
        <w:gridCol w:w="346"/>
        <w:gridCol w:w="301"/>
        <w:gridCol w:w="1200"/>
        <w:gridCol w:w="346"/>
        <w:gridCol w:w="297"/>
        <w:gridCol w:w="1249"/>
      </w:tblGrid>
      <w:tr>
        <w:trPr/>
        <w:tc>
          <w:tcPr>
            <w:tcW w:w="4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933065" cy="175260"/>
                      <wp:effectExtent l="0" t="0" r="0" b="0"/>
                      <wp:wrapNone/>
                      <wp:docPr id="113" name="Frame112"/>
                      <a:graphic xmlns:a="http://schemas.openxmlformats.org/drawingml/2006/main">
                        <a:graphicData uri="http://schemas.microsoft.com/office/word/2010/wordprocessingShape">
                          <wps:wsp>
                            <wps:cNvSpPr txBox="1"/>
                            <wps:spPr>
                              <a:xfrm>
                                <a:off x="0" y="0"/>
                                <a:ext cx="293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1135" cy="175260"/>
                      <wp:effectExtent l="0" t="0" r="0" b="0"/>
                      <wp:wrapNone/>
                      <wp:docPr id="115" name="Frame11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62000" cy="175260"/>
                      <wp:effectExtent l="0" t="0" r="0" b="0"/>
                      <wp:wrapNone/>
                      <wp:docPr id="116" name="Frame115"/>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1135" cy="175260"/>
                      <wp:effectExtent l="0" t="0" r="0" b="0"/>
                      <wp:wrapNone/>
                      <wp:docPr id="118" name="Frame11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62000" cy="175260"/>
                      <wp:effectExtent l="0" t="0" r="0" b="0"/>
                      <wp:wrapNone/>
                      <wp:docPr id="119" name="Frame118"/>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8595" cy="175260"/>
                      <wp:effectExtent l="0" t="0" r="0" b="0"/>
                      <wp:wrapNone/>
                      <wp:docPr id="121" name="Frame12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93115" cy="175260"/>
                      <wp:effectExtent l="0" t="0" r="0" b="0"/>
                      <wp:wrapNone/>
                      <wp:docPr id="122" name="Frame121"/>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46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righ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245,074</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righ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163,550</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righ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118,011</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righ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43,838</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righ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38,548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righ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30,914</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related loss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288,912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202,098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161,425</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righ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(287,367)</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righ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(195,078)</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righ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(154,542)</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28,610</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37,215</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13,113</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(258,757)</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(157,863)</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(141,429)</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and diluted net loss per common share </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66,422</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64,395</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48,449</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(258,757)</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(157,863)</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(141,429)</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46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w:t>
            </w:r>
          </w:p>
        </w:tc>
      </w:tr>
      <w:tr>
        <w:trPr/>
        <w:tc>
          <w:tcPr>
            <w:tcW w:w="46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(258,445)</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(157,857)</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(139,381)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6" w:name="_7d872ff1_6867_438e_a3a2_f01df209184f"/>
      <w:bookmarkEnd w:id="226"/>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7" w:name="Tc_VSbbBfA6q0eGEcUKPcGoeg_22_16"/>
      <w:bookmarkStart w:id="228" w:name="Tc_9K2Qqg0ouUyv3_jw5xqHwA_22_13"/>
      <w:bookmarkStart w:id="229" w:name="Tc_-BtLEUW4BUmqkwviSHFs4A_22_10"/>
      <w:bookmarkStart w:id="230" w:name="Tc_hgvv9ILLeUWFJqnjV38FMQ_22_7"/>
      <w:bookmarkStart w:id="231" w:name="Tc_HyoSMnm5kEGiVNW25Xb3rA_22_4"/>
      <w:bookmarkStart w:id="232" w:name="Tc_naH0WQxaXUK7Xuw4jOUBbA_22_0"/>
      <w:bookmarkStart w:id="233" w:name="Tc_79Ryemri6kGHnog9I01hlQ_21_11"/>
      <w:bookmarkStart w:id="234" w:name="Tc_du9_ypnbOkC2-OipIyMxJQ_21_8"/>
      <w:bookmarkStart w:id="235" w:name="Tc_7p-j43xMS0qv-Ow7i2jZkw_21_5"/>
      <w:bookmarkStart w:id="236" w:name="Tc_0BHvZdeRwEOsCLsq6c0XNg_21_2"/>
      <w:bookmarkStart w:id="237" w:name="Tc_lPX_WZvth0SHkFus4v4yhw_21_0"/>
      <w:bookmarkStart w:id="238" w:name="Tc_K8ItHvlYYEekAb-eAYO5kg_20_14"/>
      <w:bookmarkStart w:id="239" w:name="Tc_CD7yXwY2fUKxyFmX18rXyg_20_8"/>
      <w:bookmarkStart w:id="240" w:name="Tc_1nJflZri1EWXvRxth_NBIw_20_5"/>
      <w:bookmarkStart w:id="241" w:name="Tc_S2x69R7GD0qe5p-6AsUvLQ_20_2"/>
      <w:bookmarkStart w:id="242" w:name="Tc_dHBjaDYvZ0CD72tcm8dvuw_20_0"/>
      <w:bookmarkStart w:id="243" w:name="Tc_XVdxi0VQhUmknrkfpW3kow_19_14"/>
      <w:bookmarkStart w:id="244" w:name="Tc_JE8gXkwMCE-qbuR3fiWr-A_19_11"/>
      <w:bookmarkStart w:id="245" w:name="Tc_fGOZZlT66keaUbtiV0Yxxw_19_5"/>
      <w:bookmarkStart w:id="246" w:name="Tc_lbJGQlcdiU6emaK76Pr0NA_19_2"/>
      <w:bookmarkStart w:id="247" w:name="Tc_nCYlEAPt606Cc71Ortmi3A_19_0"/>
      <w:bookmarkStart w:id="248" w:name="Tc_VotSDOtpi0a8Z92QplH4mg_18_14"/>
      <w:bookmarkStart w:id="249" w:name="Tc_-xuK_s6NOkOq98G1h5Vs3w_18_11"/>
      <w:bookmarkStart w:id="250" w:name="Tc_OdYje0M-jEmbLx-FpmVc1w_18_0"/>
      <w:bookmarkStart w:id="251" w:name="Tc_OpOUtkKQ90K0rBaRp1dhjA_17_16"/>
      <w:bookmarkStart w:id="252" w:name="Tc_pf1Gi7EPGEKrj7fzP0Fr8A_17_13"/>
      <w:bookmarkStart w:id="253" w:name="Tc_HPwyM7CctEuWTFI4AtAsOw_17_10"/>
      <w:bookmarkStart w:id="254" w:name="Tc_4EXb8Xt6vkiZ6Hs2_fsWzQ_17_7"/>
      <w:bookmarkStart w:id="255" w:name="Tc_fZO5lsVGbEitfnxxAJiVVw_17_4"/>
      <w:bookmarkStart w:id="256" w:name="Tc_sJVUAS_woEuZkZJwdXtIpw_17_0"/>
      <w:bookmarkStart w:id="257" w:name="Tc_nOOvpjMN1UygqygwQUVRaQ_16_11"/>
      <w:bookmarkStart w:id="258" w:name="Tc_GcCBGTZGnUmWuufx0--YmA_16_8"/>
      <w:bookmarkStart w:id="259" w:name="Tc_rLrousa-DEy8r5YkaUpy1A_16_5"/>
      <w:bookmarkStart w:id="260" w:name="Tc_TWIYx90yU0G8bR42xLaZ3A_16_2"/>
      <w:bookmarkStart w:id="261" w:name="Tc_KD0ZM65hJk2UZr4uTiz1sg_16_0"/>
      <w:bookmarkStart w:id="262" w:name="Tc_At3-lCvJ-kCE8EJiTlvBmQ_15_14"/>
      <w:bookmarkStart w:id="263" w:name="Tc_DibXEehdM0mVpMSGlHbNSQ_15_8"/>
      <w:bookmarkStart w:id="264" w:name="Tc_nYHpR1KT-0WXPF_wAui51g_15_5"/>
      <w:bookmarkStart w:id="265" w:name="Tc_bv9hKYRckkqFRovCalFhRQ_15_2"/>
      <w:bookmarkStart w:id="266" w:name="Tc_C6Wn-2WZ_EGcCKqM_skzOQ_15_0"/>
      <w:bookmarkStart w:id="267" w:name="Tc_ejOqCliFskSStxtPs9AD-w_14_14"/>
      <w:bookmarkStart w:id="268" w:name="Tc_Tb5Y3lzQLUqlvHgfxeXIfQ_14_11"/>
      <w:bookmarkStart w:id="269" w:name="Tc_5fHjhRBX4US6S8u8l3VPOg_14_5"/>
      <w:bookmarkStart w:id="270" w:name="Tc_zQQ589awGkCYog3IogkRqA_14_2"/>
      <w:bookmarkStart w:id="271" w:name="Tc_gWhPwSUDn0i-cJrNYQYZiA_14_0"/>
      <w:bookmarkStart w:id="272" w:name="Tc_IqH_GnryfEyZDZS-UFQEkw_13_14"/>
      <w:bookmarkStart w:id="273" w:name="Tc_QssODhGBxEKjXrToYjvvKA_13_11"/>
      <w:bookmarkStart w:id="274" w:name="Tc_D7qLVfh5aE-ND-EETEZXPw_13_0"/>
      <w:bookmarkStart w:id="275" w:name="Tc_AWG-dcNZT0O5qWd8ZorUaw_12_14"/>
      <w:bookmarkStart w:id="276" w:name="Tc_XHiENvJqz06ve_Y8r5z1ng_12_11"/>
      <w:bookmarkStart w:id="277" w:name="Tc_zpV4esvzY0SX5dq-suUeTg_12_5"/>
      <w:bookmarkStart w:id="278" w:name="Tc_63WjTadnJ0aphns6m3KPFw_12_0"/>
      <w:bookmarkStart w:id="279" w:name="Tc_ik7tBZA4x0SIgk7kv3qPqQ_11_16"/>
      <w:bookmarkStart w:id="280" w:name="Tc_Yco9ivcyCEOi9WLZ8QBd5A_11_13"/>
      <w:bookmarkStart w:id="281" w:name="Tc_RCNw6YPDXkiqbSeIt3YJLQ_11_10"/>
      <w:bookmarkStart w:id="282" w:name="Tc_4pUFES7oyU2F7KOHhF_6EQ_11_7"/>
      <w:bookmarkStart w:id="283" w:name="Tc_AAG5ecNt2EqAcbiUg9UhhA_11_4"/>
      <w:bookmarkStart w:id="284" w:name="Tc_lC0avwSOikW_wVJb3T7CBA_11_0"/>
      <w:bookmarkStart w:id="285" w:name="Tc_-J1S4whtGkOFNbHuL1CWPQ_10_11"/>
      <w:bookmarkStart w:id="286" w:name="Tc_mdA-noJTCUmjAsDgWjdI3w_10_8"/>
      <w:bookmarkStart w:id="287" w:name="Tc_h1j1h6CmmkGFj8zSNVwEOQ_10_5"/>
      <w:bookmarkStart w:id="288" w:name="Tc_z7fK_Cb2T0G8EHwU27Uqyw_10_2"/>
      <w:bookmarkStart w:id="289" w:name="Tc_PH0u1yYzCUyYAxRXNCdyWQ_10_0"/>
      <w:bookmarkStart w:id="290" w:name="Tc_AonHfimHHE-0Y1VHGem6rA_9_14"/>
      <w:bookmarkStart w:id="291" w:name="Tc_om3GWhEjAkyRtEFwI0XkEw_9_8"/>
      <w:bookmarkStart w:id="292" w:name="Tc_o7LE3QRdOECbJu22E3YRZg_9_5"/>
      <w:bookmarkStart w:id="293" w:name="Tc_5puNLMakgkaYbOSW8Fb0OQ_9_2"/>
      <w:bookmarkStart w:id="294" w:name="Tc_fENj-erWXkKoAO5F6Iia3A_9_0"/>
      <w:bookmarkStart w:id="295" w:name="Tc_cD0DeRZBB0uE_WrApadeOw_8_14"/>
      <w:bookmarkStart w:id="296" w:name="Tc__YcejMrl6UGs2g5uoninqQ_8_11"/>
      <w:bookmarkStart w:id="297" w:name="Tc_cbJJIuPLH0iYoXAEkI7Xyw_8_5"/>
      <w:bookmarkStart w:id="298" w:name="Tc_MToAtAypDkG6NLl9yyNL8A_8_2"/>
      <w:bookmarkStart w:id="299" w:name="Tc_0ZkgDEUZ6E-AvBX0ZoFZMA_8_0"/>
      <w:bookmarkStart w:id="300" w:name="Tc_wbqws8IE5k28BZhJiuI-pw_7_14"/>
      <w:bookmarkStart w:id="301" w:name="Tc_npgzVS1u1kSC2JIAnKpVXg_7_11"/>
      <w:bookmarkStart w:id="302" w:name="Tc_3HswsX3fH0KKjxpVZxY7Sw_7_0"/>
      <w:bookmarkStart w:id="303" w:name="Tc_WtL0TNL6i0KBY-HqUZKfBw_6_14"/>
      <w:bookmarkStart w:id="304" w:name="Tc_CQeatwBEYE6U7Q7xvPX1Rg_6_11"/>
      <w:bookmarkStart w:id="305" w:name="Tc_bvVFnZoTNUGyu2N2obMLXw_6_5"/>
      <w:bookmarkStart w:id="306" w:name="Tc_9TJ5p9_F-k26dGLYppN6zQ_6_0"/>
      <w:bookmarkStart w:id="307" w:name="Tc_ByjJCtd8A0Cjbr9ahadAXw_5_16"/>
      <w:bookmarkStart w:id="308" w:name="Tc_Z41GEZFWZUqnlWgqckBUvQ_5_13"/>
      <w:bookmarkStart w:id="309" w:name="Tc_vF_9asJtJk6mvGaO_r2hFw_5_10"/>
      <w:bookmarkStart w:id="310" w:name="Tc_SOi7FIvqfE63T9H-PIUvig_5_7"/>
      <w:bookmarkStart w:id="311" w:name="Tc_HMiIQsgvXUSRE-qVgcQ9Zg_5_4"/>
      <w:bookmarkStart w:id="312" w:name="Tc_H2_yb5gsgEShhiEW0iRHmw_5_0"/>
      <w:bookmarkStart w:id="313" w:name="Tc_YuSjaLenVEmGrpjxXu-dFg_4_16"/>
      <w:bookmarkStart w:id="314" w:name="Tc_nz0igz4BB0yCC4PowkgN9g_4_13"/>
      <w:bookmarkStart w:id="315" w:name="Tc_34nKmeREe0GMDr6vq6TCIQ_4_10"/>
      <w:bookmarkStart w:id="316" w:name="Tc_MVayf-BowUC6Cg2kKKAPUQ_4_7"/>
      <w:bookmarkStart w:id="317" w:name="Tc_yvHKKjLVjkKbQKfKveRwaA_4_4"/>
      <w:bookmarkStart w:id="318" w:name="Tc_WC4K_yWwWkWT-PyO3f2klg_4_2"/>
      <w:bookmarkStart w:id="319" w:name="Tc_iKNnlSnbIEOZwn7k7RGy2A_3_16"/>
      <w:bookmarkStart w:id="320" w:name="Tc_7hfqkunKoUidpugeN9rUmw_3_13"/>
      <w:bookmarkStart w:id="321" w:name="Tc_lkz-2NI-TECwi65kqA658g_3_10"/>
      <w:bookmarkStart w:id="322" w:name="Tc_t45hqUMhEk22wD-rGDRmuA_3_7"/>
      <w:bookmarkStart w:id="323" w:name="Tc_uEmYnQ5zKE68p_l3riq12w_3_4"/>
      <w:bookmarkStart w:id="324" w:name="Tc_rQ4kSgQ_tkSFW05IRwBp_Q_3_2"/>
      <w:bookmarkStart w:id="325" w:name="Tc_ecNxx9fo2E-dCLTcccb3dg_2_16"/>
      <w:bookmarkStart w:id="326" w:name="Tc_m8kFwztOFE6Us3UMAFXL9g_2_10"/>
      <w:bookmarkStart w:id="327" w:name="Tc_cUaUq54mVESh1Rq42TMFiw_2_7"/>
      <w:bookmarkStart w:id="328" w:name="Tc_b1fKJdfr50aLUCDWEEgJtA_2_4"/>
      <w:bookmarkStart w:id="329" w:name="Tc_TERl5nW_m02hPlY0Je8AkA_2_2"/>
      <w:bookmarkStart w:id="330" w:name="Tc_L8b58FGhbkiWGn2mo_Yzqg_1_10"/>
      <w:bookmarkStart w:id="331" w:name="_336b7bb1_04c1_4023_9364_0058d7310eeb"/>
      <w:bookmarkStart w:id="332" w:name="Tc_VSbbBfA6q0eGEcUKPcGoeg_22_16"/>
      <w:bookmarkStart w:id="333" w:name="Tc_9K2Qqg0ouUyv3_jw5xqHwA_22_13"/>
      <w:bookmarkStart w:id="334" w:name="Tc_-BtLEUW4BUmqkwviSHFs4A_22_10"/>
      <w:bookmarkStart w:id="335" w:name="Tc_hgvv9ILLeUWFJqnjV38FMQ_22_7"/>
      <w:bookmarkStart w:id="336" w:name="Tc_HyoSMnm5kEGiVNW25Xb3rA_22_4"/>
      <w:bookmarkStart w:id="337" w:name="Tc_naH0WQxaXUK7Xuw4jOUBbA_22_0"/>
      <w:bookmarkStart w:id="338" w:name="Tc_79Ryemri6kGHnog9I01hlQ_21_11"/>
      <w:bookmarkStart w:id="339" w:name="Tc_du9_ypnbOkC2-OipIyMxJQ_21_8"/>
      <w:bookmarkStart w:id="340" w:name="Tc_7p-j43xMS0qv-Ow7i2jZkw_21_5"/>
      <w:bookmarkStart w:id="341" w:name="Tc_0BHvZdeRwEOsCLsq6c0XNg_21_2"/>
      <w:bookmarkStart w:id="342" w:name="Tc_lPX_WZvth0SHkFus4v4yhw_21_0"/>
      <w:bookmarkStart w:id="343" w:name="Tc_K8ItHvlYYEekAb-eAYO5kg_20_14"/>
      <w:bookmarkStart w:id="344" w:name="Tc_CD7yXwY2fUKxyFmX18rXyg_20_8"/>
      <w:bookmarkStart w:id="345" w:name="Tc_1nJflZri1EWXvRxth_NBIw_20_5"/>
      <w:bookmarkStart w:id="346" w:name="Tc_S2x69R7GD0qe5p-6AsUvLQ_20_2"/>
      <w:bookmarkStart w:id="347" w:name="Tc_dHBjaDYvZ0CD72tcm8dvuw_20_0"/>
      <w:bookmarkStart w:id="348" w:name="Tc_XVdxi0VQhUmknrkfpW3kow_19_14"/>
      <w:bookmarkStart w:id="349" w:name="Tc_JE8gXkwMCE-qbuR3fiWr-A_19_11"/>
      <w:bookmarkStart w:id="350" w:name="Tc_fGOZZlT66keaUbtiV0Yxxw_19_5"/>
      <w:bookmarkStart w:id="351" w:name="Tc_lbJGQlcdiU6emaK76Pr0NA_19_2"/>
      <w:bookmarkStart w:id="352" w:name="Tc_nCYlEAPt606Cc71Ortmi3A_19_0"/>
      <w:bookmarkStart w:id="353" w:name="Tc_VotSDOtpi0a8Z92QplH4mg_18_14"/>
      <w:bookmarkStart w:id="354" w:name="Tc_-xuK_s6NOkOq98G1h5Vs3w_18_11"/>
      <w:bookmarkStart w:id="355" w:name="Tc_OdYje0M-jEmbLx-FpmVc1w_18_0"/>
      <w:bookmarkStart w:id="356" w:name="Tc_OpOUtkKQ90K0rBaRp1dhjA_17_16"/>
      <w:bookmarkStart w:id="357" w:name="Tc_pf1Gi7EPGEKrj7fzP0Fr8A_17_13"/>
      <w:bookmarkStart w:id="358" w:name="Tc_HPwyM7CctEuWTFI4AtAsOw_17_10"/>
      <w:bookmarkStart w:id="359" w:name="Tc_4EXb8Xt6vkiZ6Hs2_fsWzQ_17_7"/>
      <w:bookmarkStart w:id="360" w:name="Tc_fZO5lsVGbEitfnxxAJiVVw_17_4"/>
      <w:bookmarkStart w:id="361" w:name="Tc_sJVUAS_woEuZkZJwdXtIpw_17_0"/>
      <w:bookmarkStart w:id="362" w:name="Tc_nOOvpjMN1UygqygwQUVRaQ_16_11"/>
      <w:bookmarkStart w:id="363" w:name="Tc_GcCBGTZGnUmWuufx0--YmA_16_8"/>
      <w:bookmarkStart w:id="364" w:name="Tc_rLrousa-DEy8r5YkaUpy1A_16_5"/>
      <w:bookmarkStart w:id="365" w:name="Tc_TWIYx90yU0G8bR42xLaZ3A_16_2"/>
      <w:bookmarkStart w:id="366" w:name="Tc_KD0ZM65hJk2UZr4uTiz1sg_16_0"/>
      <w:bookmarkStart w:id="367" w:name="Tc_At3-lCvJ-kCE8EJiTlvBmQ_15_14"/>
      <w:bookmarkStart w:id="368" w:name="Tc_DibXEehdM0mVpMSGlHbNSQ_15_8"/>
      <w:bookmarkStart w:id="369" w:name="Tc_nYHpR1KT-0WXPF_wAui51g_15_5"/>
      <w:bookmarkStart w:id="370" w:name="Tc_bv9hKYRckkqFRovCalFhRQ_15_2"/>
      <w:bookmarkStart w:id="371" w:name="Tc_C6Wn-2WZ_EGcCKqM_skzOQ_15_0"/>
      <w:bookmarkStart w:id="372" w:name="Tc_ejOqCliFskSStxtPs9AD-w_14_14"/>
      <w:bookmarkStart w:id="373" w:name="Tc_Tb5Y3lzQLUqlvHgfxeXIfQ_14_11"/>
      <w:bookmarkStart w:id="374" w:name="Tc_5fHjhRBX4US6S8u8l3VPOg_14_5"/>
      <w:bookmarkStart w:id="375" w:name="Tc_zQQ589awGkCYog3IogkRqA_14_2"/>
      <w:bookmarkStart w:id="376" w:name="Tc_gWhPwSUDn0i-cJrNYQYZiA_14_0"/>
      <w:bookmarkStart w:id="377" w:name="Tc_IqH_GnryfEyZDZS-UFQEkw_13_14"/>
      <w:bookmarkStart w:id="378" w:name="Tc_QssODhGBxEKjXrToYjvvKA_13_11"/>
      <w:bookmarkStart w:id="379" w:name="Tc_D7qLVfh5aE-ND-EETEZXPw_13_0"/>
      <w:bookmarkStart w:id="380" w:name="Tc_AWG-dcNZT0O5qWd8ZorUaw_12_14"/>
      <w:bookmarkStart w:id="381" w:name="Tc_XHiENvJqz06ve_Y8r5z1ng_12_11"/>
      <w:bookmarkStart w:id="382" w:name="Tc_zpV4esvzY0SX5dq-suUeTg_12_5"/>
      <w:bookmarkStart w:id="383" w:name="Tc_63WjTadnJ0aphns6m3KPFw_12_0"/>
      <w:bookmarkStart w:id="384" w:name="Tc_ik7tBZA4x0SIgk7kv3qPqQ_11_16"/>
      <w:bookmarkStart w:id="385" w:name="Tc_Yco9ivcyCEOi9WLZ8QBd5A_11_13"/>
      <w:bookmarkStart w:id="386" w:name="Tc_RCNw6YPDXkiqbSeIt3YJLQ_11_10"/>
      <w:bookmarkStart w:id="387" w:name="Tc_4pUFES7oyU2F7KOHhF_6EQ_11_7"/>
      <w:bookmarkStart w:id="388" w:name="Tc_AAG5ecNt2EqAcbiUg9UhhA_11_4"/>
      <w:bookmarkStart w:id="389" w:name="Tc_lC0avwSOikW_wVJb3T7CBA_11_0"/>
      <w:bookmarkStart w:id="390" w:name="Tc_-J1S4whtGkOFNbHuL1CWPQ_10_11"/>
      <w:bookmarkStart w:id="391" w:name="Tc_mdA-noJTCUmjAsDgWjdI3w_10_8"/>
      <w:bookmarkStart w:id="392" w:name="Tc_h1j1h6CmmkGFj8zSNVwEOQ_10_5"/>
      <w:bookmarkStart w:id="393" w:name="Tc_z7fK_Cb2T0G8EHwU27Uqyw_10_2"/>
      <w:bookmarkStart w:id="394" w:name="Tc_PH0u1yYzCUyYAxRXNCdyWQ_10_0"/>
      <w:bookmarkStart w:id="395" w:name="Tc_AonHfimHHE-0Y1VHGem6rA_9_14"/>
      <w:bookmarkStart w:id="396" w:name="Tc_om3GWhEjAkyRtEFwI0XkEw_9_8"/>
      <w:bookmarkStart w:id="397" w:name="Tc_o7LE3QRdOECbJu22E3YRZg_9_5"/>
      <w:bookmarkStart w:id="398" w:name="Tc_5puNLMakgkaYbOSW8Fb0OQ_9_2"/>
      <w:bookmarkStart w:id="399" w:name="Tc_fENj-erWXkKoAO5F6Iia3A_9_0"/>
      <w:bookmarkStart w:id="400" w:name="Tc_cD0DeRZBB0uE_WrApadeOw_8_14"/>
      <w:bookmarkStart w:id="401" w:name="Tc__YcejMrl6UGs2g5uoninqQ_8_11"/>
      <w:bookmarkStart w:id="402" w:name="Tc_cbJJIuPLH0iYoXAEkI7Xyw_8_5"/>
      <w:bookmarkStart w:id="403" w:name="Tc_MToAtAypDkG6NLl9yyNL8A_8_2"/>
      <w:bookmarkStart w:id="404" w:name="Tc_0ZkgDEUZ6E-AvBX0ZoFZMA_8_0"/>
      <w:bookmarkStart w:id="405" w:name="Tc_wbqws8IE5k28BZhJiuI-pw_7_14"/>
      <w:bookmarkStart w:id="406" w:name="Tc_npgzVS1u1kSC2JIAnKpVXg_7_11"/>
      <w:bookmarkStart w:id="407" w:name="Tc_3HswsX3fH0KKjxpVZxY7Sw_7_0"/>
      <w:bookmarkStart w:id="408" w:name="Tc_WtL0TNL6i0KBY-HqUZKfBw_6_14"/>
      <w:bookmarkStart w:id="409" w:name="Tc_CQeatwBEYE6U7Q7xvPX1Rg_6_11"/>
      <w:bookmarkStart w:id="410" w:name="Tc_bvVFnZoTNUGyu2N2obMLXw_6_5"/>
      <w:bookmarkStart w:id="411" w:name="Tc_9TJ5p9_F-k26dGLYppN6zQ_6_0"/>
      <w:bookmarkStart w:id="412" w:name="Tc_ByjJCtd8A0Cjbr9ahadAXw_5_16"/>
      <w:bookmarkStart w:id="413" w:name="Tc_Z41GEZFWZUqnlWgqckBUvQ_5_13"/>
      <w:bookmarkStart w:id="414" w:name="Tc_vF_9asJtJk6mvGaO_r2hFw_5_10"/>
      <w:bookmarkStart w:id="415" w:name="Tc_SOi7FIvqfE63T9H-PIUvig_5_7"/>
      <w:bookmarkStart w:id="416" w:name="Tc_HMiIQsgvXUSRE-qVgcQ9Zg_5_4"/>
      <w:bookmarkStart w:id="417" w:name="Tc_H2_yb5gsgEShhiEW0iRHmw_5_0"/>
      <w:bookmarkStart w:id="418" w:name="Tc_YuSjaLenVEmGrpjxXu-dFg_4_16"/>
      <w:bookmarkStart w:id="419" w:name="Tc_nz0igz4BB0yCC4PowkgN9g_4_13"/>
      <w:bookmarkStart w:id="420" w:name="Tc_34nKmeREe0GMDr6vq6TCIQ_4_10"/>
      <w:bookmarkStart w:id="421" w:name="Tc_MVayf-BowUC6Cg2kKKAPUQ_4_7"/>
      <w:bookmarkStart w:id="422" w:name="Tc_yvHKKjLVjkKbQKfKveRwaA_4_4"/>
      <w:bookmarkStart w:id="423" w:name="Tc_WC4K_yWwWkWT-PyO3f2klg_4_2"/>
      <w:bookmarkStart w:id="424" w:name="Tc_iKNnlSnbIEOZwn7k7RGy2A_3_16"/>
      <w:bookmarkStart w:id="425" w:name="Tc_7hfqkunKoUidpugeN9rUmw_3_13"/>
      <w:bookmarkStart w:id="426" w:name="Tc_lkz-2NI-TECwi65kqA658g_3_10"/>
      <w:bookmarkStart w:id="427" w:name="Tc_t45hqUMhEk22wD-rGDRmuA_3_7"/>
      <w:bookmarkStart w:id="428" w:name="Tc_uEmYnQ5zKE68p_l3riq12w_3_4"/>
      <w:bookmarkStart w:id="429" w:name="Tc_rQ4kSgQ_tkSFW05IRwBp_Q_3_2"/>
      <w:bookmarkStart w:id="430" w:name="Tc_ecNxx9fo2E-dCLTcccb3dg_2_16"/>
      <w:bookmarkStart w:id="431" w:name="Tc_m8kFwztOFE6Us3UMAFXL9g_2_10"/>
      <w:bookmarkStart w:id="432" w:name="Tc_cUaUq54mVESh1Rq42TMFiw_2_7"/>
      <w:bookmarkStart w:id="433" w:name="Tc_b1fKJdfr50aLUCDWEEgJtA_2_4"/>
      <w:bookmarkStart w:id="434" w:name="Tc_TERl5nW_m02hPlY0Je8AkA_2_2"/>
      <w:bookmarkStart w:id="435" w:name="Tc_L8b58FGhbkiWGn2mo_Yzqg_1_10"/>
      <w:bookmarkStart w:id="436" w:name="_336b7bb1_04c1_4023_9364_0058d7310eeb"/>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tbl>
      <w:tblPr>
        <w:tblW w:w="10205" w:type="dxa"/>
        <w:jc w:val="left"/>
        <w:tblInd w:w="0" w:type="dxa"/>
        <w:tblLayout w:type="fixed"/>
        <w:tblCellMar>
          <w:top w:w="0" w:type="dxa"/>
          <w:left w:w="0" w:type="dxa"/>
          <w:bottom w:w="0" w:type="dxa"/>
          <w:right w:w="0" w:type="dxa"/>
        </w:tblCellMar>
      </w:tblPr>
      <w:tblGrid>
        <w:gridCol w:w="1958"/>
        <w:gridCol w:w="346"/>
        <w:gridCol w:w="916"/>
        <w:gridCol w:w="346"/>
        <w:gridCol w:w="298"/>
        <w:gridCol w:w="528"/>
        <w:gridCol w:w="346"/>
        <w:gridCol w:w="196"/>
        <w:gridCol w:w="826"/>
        <w:gridCol w:w="346"/>
        <w:gridCol w:w="336"/>
        <w:gridCol w:w="880"/>
        <w:gridCol w:w="346"/>
        <w:gridCol w:w="196"/>
        <w:gridCol w:w="899"/>
        <w:gridCol w:w="346"/>
        <w:gridCol w:w="215"/>
        <w:gridCol w:w="881"/>
      </w:tblGrid>
      <w:tr>
        <w:trPr/>
        <w:tc>
          <w:tcPr>
            <w:tcW w:w="1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3330" cy="175260"/>
                      <wp:effectExtent l="0" t="0" r="0" b="0"/>
                      <wp:wrapNone/>
                      <wp:docPr id="123" name="Frame122"/>
                      <a:graphic xmlns:a="http://schemas.openxmlformats.org/drawingml/2006/main">
                        <a:graphicData uri="http://schemas.microsoft.com/office/word/2010/wordprocessingShape">
                          <wps:wsp>
                            <wps:cNvSpPr txBox="1"/>
                            <wps:spPr>
                              <a:xfrm>
                                <a:off x="0" y="0"/>
                                <a:ext cx="1243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81660" cy="175260"/>
                      <wp:effectExtent l="0" t="0" r="0" b="0"/>
                      <wp:wrapNone/>
                      <wp:docPr id="125" name="Frame1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89230" cy="175260"/>
                      <wp:effectExtent l="0" t="0" r="0" b="0"/>
                      <wp:wrapNone/>
                      <wp:docPr id="127" name="Frame12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35280" cy="175260"/>
                      <wp:effectExtent l="0" t="0" r="0" b="0"/>
                      <wp:wrapNone/>
                      <wp:docPr id="128" name="Frame127"/>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4460" cy="175260"/>
                      <wp:effectExtent l="0" t="0" r="0" b="0"/>
                      <wp:wrapNone/>
                      <wp:docPr id="130" name="Frame1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24510" cy="175260"/>
                      <wp:effectExtent l="0" t="0" r="0" b="0"/>
                      <wp:wrapNone/>
                      <wp:docPr id="131" name="Frame1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3360" cy="175260"/>
                      <wp:effectExtent l="0" t="0" r="0" b="0"/>
                      <wp:wrapNone/>
                      <wp:docPr id="133" name="Frame13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58800" cy="175260"/>
                      <wp:effectExtent l="0" t="0" r="0" b="0"/>
                      <wp:wrapNone/>
                      <wp:docPr id="134" name="Frame133"/>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6" name="Frame1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70865" cy="175260"/>
                      <wp:effectExtent l="0" t="0" r="0" b="0"/>
                      <wp:wrapNone/>
                      <wp:docPr id="137" name="Frame136"/>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6525" cy="175260"/>
                      <wp:effectExtent l="0" t="0" r="0" b="0"/>
                      <wp:wrapNone/>
                      <wp:docPr id="139" name="Frame13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59435" cy="175260"/>
                      <wp:effectExtent l="0" t="0" r="0" b="0"/>
                      <wp:wrapNone/>
                      <wp:docPr id="140" name="Frame139"/>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center"/>
              <w:rPr/>
            </w:pPr>
            <w:r>
              <w:rPr/>
              <w:t>​</w:t>
            </w:r>
          </w:p>
        </w:tc>
      </w:tr>
      <w:tr>
        <w:trPr/>
        <w:tc>
          <w:tcPr>
            <w:tcW w:w="19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2022</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47,200,695</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1,580,829</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(1,255,932)</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326,204</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143,932</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2,236</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2,236</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in underwritten offering, net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8,538,750</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216,213</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216,222</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23,890</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23,890</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2,048</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(141,429)</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(141,429)</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55,883,377</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1,823,168</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(1,397,361)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429,171</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693,172</w:t>
            </w:r>
          </w:p>
        </w:tc>
        <w:tc>
          <w:tcPr>
            <w:tcW w:w="34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9,151</w:t>
            </w:r>
          </w:p>
        </w:tc>
        <w:tc>
          <w:tcPr>
            <w:tcW w:w="346"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9,151</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in underwritten offering, net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9,798,000</w:t>
            </w:r>
          </w:p>
        </w:tc>
        <w:tc>
          <w:tcPr>
            <w:tcW w:w="346"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432,288</w:t>
            </w:r>
          </w:p>
        </w:tc>
        <w:tc>
          <w:tcPr>
            <w:tcW w:w="346"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righ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432,298</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34,242</w:t>
            </w:r>
          </w:p>
        </w:tc>
        <w:tc>
          <w:tcPr>
            <w:tcW w:w="346"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34,242</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right"/>
              <w:rPr/>
            </w:pPr>
            <w:r>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(157,863)</w:t>
            </w:r>
          </w:p>
        </w:tc>
        <w:tc>
          <w:tcPr>
            <w:tcW w:w="346" w:type="dxa"/>
            <w:tcBorders/>
            <w:vAlign w:val="center"/>
          </w:tcPr>
          <w:p>
            <w:pPr>
              <w:pStyle w:val="TableContents"/>
              <w:bidi w:val="0"/>
              <w:spacing w:before="0" w:after="0"/>
              <w:ind w:left="0" w:right="0" w:hanging="0"/>
              <w:jc w:val="righ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(157,863)</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66,374,549</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28"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2,298,849</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(1,555,224)</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747,005</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under stock option and employee stock purchase plans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174,893</w:t>
            </w:r>
          </w:p>
        </w:tc>
        <w:tc>
          <w:tcPr>
            <w:tcW w:w="34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52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2,387</w:t>
            </w:r>
          </w:p>
        </w:tc>
        <w:tc>
          <w:tcPr>
            <w:tcW w:w="346"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2,388</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right"/>
              <w:rPr/>
            </w:pPr>
            <w:r>
              <w:rPr/>
              <w:t>​</w:t>
            </w:r>
          </w:p>
        </w:tc>
        <w:tc>
          <w:tcPr>
            <w:tcW w:w="5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36,217</w:t>
            </w:r>
          </w:p>
        </w:tc>
        <w:tc>
          <w:tcPr>
            <w:tcW w:w="346" w:type="dxa"/>
            <w:tcBorders/>
            <w:shd w:fill="CCEEFF" w:val="clear"/>
            <w:vAlign w:val="center"/>
          </w:tcPr>
          <w:p>
            <w:pPr>
              <w:pStyle w:val="TableContents"/>
              <w:bidi w:val="0"/>
              <w:spacing w:before="0" w:after="0"/>
              <w:ind w:left="0" w:right="0" w:hanging="0"/>
              <w:jc w:val="right"/>
              <w:rPr/>
            </w:pPr>
            <w:r>
              <w:rPr/>
              <w:t>​</w:t>
            </w:r>
          </w:p>
        </w:tc>
        <w:tc>
          <w:tcPr>
            <w:tcW w:w="336" w:type="dxa"/>
            <w:tcBorders/>
            <w:shd w:fill="CCEEFF" w:val="clear"/>
            <w:vAlign w:val="center"/>
          </w:tcPr>
          <w:p>
            <w:pPr>
              <w:pStyle w:val="TableContents"/>
              <w:bidi w:val="0"/>
              <w:spacing w:before="0" w:after="0"/>
              <w:ind w:left="0" w:right="0" w:hanging="0"/>
              <w:jc w:val="righ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36,217</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98" w:type="dxa"/>
            <w:tcBorders/>
            <w:vAlign w:val="center"/>
          </w:tcPr>
          <w:p>
            <w:pPr>
              <w:pStyle w:val="TableContents"/>
              <w:bidi w:val="0"/>
              <w:spacing w:before="0" w:after="0"/>
              <w:ind w:left="0" w:right="0" w:hanging="0"/>
              <w:jc w:val="right"/>
              <w:rPr/>
            </w:pPr>
            <w:r>
              <w:rPr/>
              <w:t>​</w:t>
            </w:r>
          </w:p>
        </w:tc>
        <w:tc>
          <w:tcPr>
            <w:tcW w:w="5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36"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right"/>
              <w:rPr/>
            </w:pPr>
            <w:r>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w:t>
            </w:r>
          </w:p>
        </w:tc>
      </w:tr>
      <w:tr>
        <w:trPr/>
        <w:tc>
          <w:tcPr>
            <w:tcW w:w="19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(258,757)</w:t>
            </w:r>
          </w:p>
        </w:tc>
        <w:tc>
          <w:tcPr>
            <w:tcW w:w="346" w:type="dxa"/>
            <w:tcBorders/>
            <w:shd w:fill="CCEEFF" w:val="clear"/>
            <w:vAlign w:val="center"/>
          </w:tcPr>
          <w:p>
            <w:pPr>
              <w:pStyle w:val="TableContents"/>
              <w:bidi w:val="0"/>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(258,757)</w:t>
            </w:r>
          </w:p>
        </w:tc>
      </w:tr>
      <w:tr>
        <w:trPr/>
        <w:tc>
          <w:tcPr>
            <w:tcW w:w="195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66,549,442</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5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2,337,453</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(1,813,981)</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527,165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37" w:name="_84a45eb7_5000_4f08_b96a_0a549b475078"/>
      <w:bookmarkEnd w:id="437"/>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38" w:name="Tc_DVqA9U8kaEWAeeCFO9joDg_30_8"/>
      <w:bookmarkStart w:id="439" w:name="Tc_itTmJiiNJ0yJyyhA4aGFug_30_5"/>
      <w:bookmarkStart w:id="440" w:name="Tc_gQlSLMho6Uyy-FcBj_BKSg_30_2"/>
      <w:bookmarkStart w:id="441" w:name="Tc_dGR_p9LyeEKCirToRmefxA_30_0"/>
      <w:bookmarkStart w:id="442" w:name="Tc_AS7DTQfYoUKZwQzf63urcw_29_0"/>
      <w:bookmarkStart w:id="443" w:name="Tc_C0YXjvxspkCU2q2WKWkg_Q_28_8"/>
      <w:bookmarkStart w:id="444" w:name="Tc_gLQfJKY4ZE6JNf7dcxx5GA_28_5"/>
      <w:bookmarkStart w:id="445" w:name="Tc_KK1NdjXJoky4Gi3K9xxsnQ_28_2"/>
      <w:bookmarkStart w:id="446" w:name="Tc_G1rXB96X1EWUh9KFJkEtvg_28_0"/>
      <w:bookmarkStart w:id="447" w:name="Tc_d17IxHAe50GutK8opSYXdA_27_0"/>
      <w:bookmarkStart w:id="448" w:name="Tc_WvfeHTjGk0GW6V0YHl_p2A_26_0"/>
      <w:bookmarkStart w:id="449" w:name="Tc_duYJror1EE-6i4WD1VKHWw_25_0"/>
      <w:bookmarkStart w:id="450" w:name="Tc_yKe45pgaFUGLCAcCWumrCg_24_0"/>
      <w:bookmarkStart w:id="451" w:name="Tc_n9fAGxRplUa_8WOCq9bDpg_23_3"/>
      <w:bookmarkStart w:id="452" w:name="Tc_VyzlWd4LZUqTLsdIlXEukw_23_0"/>
      <w:bookmarkStart w:id="453" w:name="Tc_bQK-CF1bvUSOWgWdzbzU6A_22_0"/>
      <w:bookmarkStart w:id="454" w:name="Tc_EwPsNVhzIkeZ4pCcpazuqQ_21_0"/>
      <w:bookmarkStart w:id="455" w:name="Tc_4qo1Su2sZk6ALK5MbwAiqQ_20_0"/>
      <w:bookmarkStart w:id="456" w:name="Tc_97qlztVKSkawfLiInzi1Mw_19_0"/>
      <w:bookmarkStart w:id="457" w:name="Tc_UCCb2OU0sU-NdGIfiTx-8A_18_0"/>
      <w:bookmarkStart w:id="458" w:name="Tc_xEKJQ6bDtUOmaGEz6Nu8lQ_17_0"/>
      <w:bookmarkStart w:id="459" w:name="Tc_GmyjrIAM9kmKDcVBESxwyA_16_0"/>
      <w:bookmarkStart w:id="460" w:name="Tc_vPOlFsOQkkqOZLBOtkmRdg_15_0"/>
      <w:bookmarkStart w:id="461" w:name="Tc_pLYCB1jQd02VXnwV2mGG0w_14_0"/>
      <w:bookmarkStart w:id="462" w:name="Tc_on4c1ilSqEepIYhI32guCA_13_0"/>
      <w:bookmarkStart w:id="463" w:name="Tc_1NiYAtB-5Eq-sOumXIcAdg_12_0"/>
      <w:bookmarkStart w:id="464" w:name="Tc_5zufI7Va7kWwbmWwm0JNNg_11_0"/>
      <w:bookmarkStart w:id="465" w:name="Tc_G8t42R7xmkKeTENU0HnGwQ_10_0"/>
      <w:bookmarkStart w:id="466" w:name="Tc_ATTt4lrVSEupZzp3A-mTqg_9_0"/>
      <w:bookmarkStart w:id="467" w:name="Tc_GWgpMrw60Ui96QBeXZ25Fw_8_9"/>
      <w:bookmarkStart w:id="468" w:name="Tc_0nvRwmyR5keRaB4MpDoBPA_8_0"/>
      <w:bookmarkStart w:id="469" w:name="Tc_pq0m8IvpjkqYfhHHWSCVBQ_7_0"/>
      <w:bookmarkStart w:id="470" w:name="Tc_8VZsIe6JzkaMhtVhqsFBPA_6_0"/>
      <w:bookmarkStart w:id="471" w:name="Tc_hMprspTkEEKvTdQCquXlDg_5_0"/>
      <w:bookmarkStart w:id="472" w:name="Tc_EgMlpO0yGkWjovje2AyFsQ_4_8"/>
      <w:bookmarkStart w:id="473" w:name="Tc_78TKW6MBGEewbvqJj-UyPQ_4_5"/>
      <w:bookmarkStart w:id="474" w:name="Tc_Uo3BVUUVGkW4BV2_kHPdug_4_2"/>
      <w:bookmarkStart w:id="475" w:name="Tc_0s5FdOFYSE2zUxSxhLVVDQ_4_0"/>
      <w:bookmarkStart w:id="476" w:name="Tc_l2yJ8v3TuEufxZk572VdnQ_3_0"/>
      <w:bookmarkStart w:id="477" w:name="Tc_rl6DfoFqdESC9bJGQ576Pg_2_8"/>
      <w:bookmarkStart w:id="478" w:name="Tc_cwvm9iLpqUyqii2UTG2mHQ_2_5"/>
      <w:bookmarkStart w:id="479" w:name="Tc_vhiQwcd25U2AWatZrR8-yw_2_2"/>
      <w:bookmarkStart w:id="480" w:name="Tc_dXQup3mci0aZ1Av42ikqOA_1_8"/>
      <w:bookmarkStart w:id="481" w:name="Tc_yLM3LM6RuU67QpTAz-Eydg_1_5"/>
      <w:bookmarkStart w:id="482" w:name="Tc_10wPBg71EUyS1psC0sf9DA_1_2"/>
      <w:bookmarkStart w:id="483" w:name="_1cbb41a9_642f_4e0c_b7dc_ee478901e7a2"/>
      <w:bookmarkStart w:id="484" w:name="Tc_DVqA9U8kaEWAeeCFO9joDg_30_8"/>
      <w:bookmarkStart w:id="485" w:name="Tc_itTmJiiNJ0yJyyhA4aGFug_30_5"/>
      <w:bookmarkStart w:id="486" w:name="Tc_gQlSLMho6Uyy-FcBj_BKSg_30_2"/>
      <w:bookmarkStart w:id="487" w:name="Tc_dGR_p9LyeEKCirToRmefxA_30_0"/>
      <w:bookmarkStart w:id="488" w:name="Tc_AS7DTQfYoUKZwQzf63urcw_29_0"/>
      <w:bookmarkStart w:id="489" w:name="Tc_C0YXjvxspkCU2q2WKWkg_Q_28_8"/>
      <w:bookmarkStart w:id="490" w:name="Tc_gLQfJKY4ZE6JNf7dcxx5GA_28_5"/>
      <w:bookmarkStart w:id="491" w:name="Tc_KK1NdjXJoky4Gi3K9xxsnQ_28_2"/>
      <w:bookmarkStart w:id="492" w:name="Tc_G1rXB96X1EWUh9KFJkEtvg_28_0"/>
      <w:bookmarkStart w:id="493" w:name="Tc_d17IxHAe50GutK8opSYXdA_27_0"/>
      <w:bookmarkStart w:id="494" w:name="Tc_WvfeHTjGk0GW6V0YHl_p2A_26_0"/>
      <w:bookmarkStart w:id="495" w:name="Tc_duYJror1EE-6i4WD1VKHWw_25_0"/>
      <w:bookmarkStart w:id="496" w:name="Tc_yKe45pgaFUGLCAcCWumrCg_24_0"/>
      <w:bookmarkStart w:id="497" w:name="Tc_n9fAGxRplUa_8WOCq9bDpg_23_3"/>
      <w:bookmarkStart w:id="498" w:name="Tc_VyzlWd4LZUqTLsdIlXEukw_23_0"/>
      <w:bookmarkStart w:id="499" w:name="Tc_bQK-CF1bvUSOWgWdzbzU6A_22_0"/>
      <w:bookmarkStart w:id="500" w:name="Tc_EwPsNVhzIkeZ4pCcpazuqQ_21_0"/>
      <w:bookmarkStart w:id="501" w:name="Tc_4qo1Su2sZk6ALK5MbwAiqQ_20_0"/>
      <w:bookmarkStart w:id="502" w:name="Tc_97qlztVKSkawfLiInzi1Mw_19_0"/>
      <w:bookmarkStart w:id="503" w:name="Tc_UCCb2OU0sU-NdGIfiTx-8A_18_0"/>
      <w:bookmarkStart w:id="504" w:name="Tc_xEKJQ6bDtUOmaGEz6Nu8lQ_17_0"/>
      <w:bookmarkStart w:id="505" w:name="Tc_GmyjrIAM9kmKDcVBESxwyA_16_0"/>
      <w:bookmarkStart w:id="506" w:name="Tc_vPOlFsOQkkqOZLBOtkmRdg_15_0"/>
      <w:bookmarkStart w:id="507" w:name="Tc_pLYCB1jQd02VXnwV2mGG0w_14_0"/>
      <w:bookmarkStart w:id="508" w:name="Tc_on4c1ilSqEepIYhI32guCA_13_0"/>
      <w:bookmarkStart w:id="509" w:name="Tc_1NiYAtB-5Eq-sOumXIcAdg_12_0"/>
      <w:bookmarkStart w:id="510" w:name="Tc_5zufI7Va7kWwbmWwm0JNNg_11_0"/>
      <w:bookmarkStart w:id="511" w:name="Tc_G8t42R7xmkKeTENU0HnGwQ_10_0"/>
      <w:bookmarkStart w:id="512" w:name="Tc_ATTt4lrVSEupZzp3A-mTqg_9_0"/>
      <w:bookmarkStart w:id="513" w:name="Tc_GWgpMrw60Ui96QBeXZ25Fw_8_9"/>
      <w:bookmarkStart w:id="514" w:name="Tc_0nvRwmyR5keRaB4MpDoBPA_8_0"/>
      <w:bookmarkStart w:id="515" w:name="Tc_pq0m8IvpjkqYfhHHWSCVBQ_7_0"/>
      <w:bookmarkStart w:id="516" w:name="Tc_8VZsIe6JzkaMhtVhqsFBPA_6_0"/>
      <w:bookmarkStart w:id="517" w:name="Tc_hMprspTkEEKvTdQCquXlDg_5_0"/>
      <w:bookmarkStart w:id="518" w:name="Tc_EgMlpO0yGkWjovje2AyFsQ_4_8"/>
      <w:bookmarkStart w:id="519" w:name="Tc_78TKW6MBGEewbvqJj-UyPQ_4_5"/>
      <w:bookmarkStart w:id="520" w:name="Tc_Uo3BVUUVGkW4BV2_kHPdug_4_2"/>
      <w:bookmarkStart w:id="521" w:name="Tc_0s5FdOFYSE2zUxSxhLVVDQ_4_0"/>
      <w:bookmarkStart w:id="522" w:name="Tc_l2yJ8v3TuEufxZk572VdnQ_3_0"/>
      <w:bookmarkStart w:id="523" w:name="Tc_rl6DfoFqdESC9bJGQ576Pg_2_8"/>
      <w:bookmarkStart w:id="524" w:name="Tc_cwvm9iLpqUyqii2UTG2mHQ_2_5"/>
      <w:bookmarkStart w:id="525" w:name="Tc_vhiQwcd25U2AWatZrR8-yw_2_2"/>
      <w:bookmarkStart w:id="526" w:name="Tc_dXQup3mci0aZ1Av42ikqOA_1_8"/>
      <w:bookmarkStart w:id="527" w:name="Tc_yLM3LM6RuU67QpTAz-Eydg_1_5"/>
      <w:bookmarkStart w:id="528" w:name="Tc_10wPBg71EUyS1psC0sf9DA_1_2"/>
      <w:bookmarkStart w:id="529" w:name="_1cbb41a9_642f_4e0c_b7dc_ee478901e7a2"/>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tbl>
      <w:tblPr>
        <w:tblW w:w="10205" w:type="dxa"/>
        <w:jc w:val="left"/>
        <w:tblInd w:w="0" w:type="dxa"/>
        <w:tblLayout w:type="fixed"/>
        <w:tblCellMar>
          <w:top w:w="0" w:type="dxa"/>
          <w:left w:w="0" w:type="dxa"/>
          <w:bottom w:w="0" w:type="dxa"/>
          <w:right w:w="0" w:type="dxa"/>
        </w:tblCellMar>
      </w:tblPr>
      <w:tblGrid>
        <w:gridCol w:w="4619"/>
        <w:gridCol w:w="346"/>
        <w:gridCol w:w="301"/>
        <w:gridCol w:w="1200"/>
        <w:gridCol w:w="346"/>
        <w:gridCol w:w="301"/>
        <w:gridCol w:w="1200"/>
        <w:gridCol w:w="346"/>
        <w:gridCol w:w="297"/>
        <w:gridCol w:w="1249"/>
      </w:tblGrid>
      <w:tr>
        <w:trPr/>
        <w:tc>
          <w:tcPr>
            <w:tcW w:w="4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933065" cy="175260"/>
                      <wp:effectExtent l="0" t="0" r="0" b="0"/>
                      <wp:wrapNone/>
                      <wp:docPr id="141" name="Frame140"/>
                      <a:graphic xmlns:a="http://schemas.openxmlformats.org/drawingml/2006/main">
                        <a:graphicData uri="http://schemas.microsoft.com/office/word/2010/wordprocessingShape">
                          <wps:wsp>
                            <wps:cNvSpPr txBox="1"/>
                            <wps:spPr>
                              <a:xfrm>
                                <a:off x="0" y="0"/>
                                <a:ext cx="293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1135" cy="175260"/>
                      <wp:effectExtent l="0" t="0" r="0" b="0"/>
                      <wp:wrapNone/>
                      <wp:docPr id="143" name="Frame14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62000" cy="175260"/>
                      <wp:effectExtent l="0" t="0" r="0" b="0"/>
                      <wp:wrapNone/>
                      <wp:docPr id="144" name="Frame143"/>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91135" cy="175260"/>
                      <wp:effectExtent l="0" t="0" r="0" b="0"/>
                      <wp:wrapNone/>
                      <wp:docPr id="146" name="Frame14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62000" cy="175260"/>
                      <wp:effectExtent l="0" t="0" r="0" b="0"/>
                      <wp:wrapNone/>
                      <wp:docPr id="147" name="Frame146"/>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8595" cy="175260"/>
                      <wp:effectExtent l="0" t="0" r="0" b="0"/>
                      <wp:wrapNone/>
                      <wp:docPr id="149" name="Frame14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93115" cy="175260"/>
                      <wp:effectExtent l="0" t="0" r="0" b="0"/>
                      <wp:wrapNone/>
                      <wp:docPr id="150" name="Frame14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4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46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(258,757)</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(157,863)</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(141,429)</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3,008</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(15,749)</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(6,222)</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36,217</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34,242</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23,890</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left"/>
              <w:rPr/>
            </w:pPr>
            <w:r>
              <w:rPr/>
              <w:t>​</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8,706</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(19,887)</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11,031</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11,634</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(5,636)</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(210,945)</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(157,778)</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(107,291)</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596,288</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501,714</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320,597</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(384,502)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(789,924)</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(424,561)</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209,072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(290,129)</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(105,782)</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left"/>
              <w:rPr/>
            </w:pPr>
            <w:r>
              <w:rPr/>
              <w:t>​</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issuances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216,222</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9,151</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441,449</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218,458</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(6,458)</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28,871</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r>
      <w:tr>
        <w:trPr/>
        <w:tc>
          <w:tcPr>
            <w:tcW w:w="46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2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4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0" w:name="_43d71476_c2a4_4b41_bc88_6f72c02422dd"/>
      <w:bookmarkEnd w:id="530"/>
      <w:r>
        <w:rPr>
          <w:rFonts w:ascii="Times New Roman;Times;serif" w:hAnsi="Times New Roman;Times;serif"/>
          <w:b/>
          <w:sz w:val="20"/>
        </w:rPr>
        <w:t>CELLDEX THERAPEUTICS,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 and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Celldex Therapeutics, Inc. (the “Company” or “Celldex”) is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 The Company is primarily focusing its efforts and resources on the continued research and development of barzolvolimab (also referred to as CDX-0159) and CDX-622.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2025, the Company had cash, cash equivalents and marketable securities of $518.6 million. The Company has had recurring losses and incurred a loss of $258.8 million for the year ended December 31, 2025. Net cash used in operations for the year ended December 31, 2025 was $210.9 million. The Company believes that the cash, cash equivalents and marketable securities at the filing date of this Form 10-K will be sufficient to meet estimated working capital requirements and fund planned operations for at least the next twelve months from the date of issuance of these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due under the Settlement Agreement with Shareholder Representative Services LLC (“SRS”) (refer to Note 18),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31" w:name="_Hlk501180543"/>
      <w:bookmarkEnd w:id="531"/>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balance sheets and statements of operations and comprehensive loss, stockholders’ equity, and cash flows, are consolidated for the years ended December 31, 2025, 2024 and 2023. These consolidated financial statements reflect the operations of the Company and its wholly-owned subsidiary.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Segment</w:t>
      </w:r>
      <w:r>
        <w:rPr>
          <w:rFonts w:ascii="Times New Roman;Times;serif" w:hAnsi="Times New Roman;Times;serif"/>
          <w:sz w:val="20"/>
        </w:rPr>
        <w:t xml:space="preserve"> </w:t>
      </w:r>
      <w:r>
        <w:rPr>
          <w:rFonts w:ascii="Times New Roman;Times;serif" w:hAnsi="Times New Roman;Times;serif"/>
          <w:i/>
          <w:sz w:val="20"/>
        </w:rPr>
        <w:t>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is managed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reportable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32" w:name="Tc_C8sNxyF510yqw2jaI6JvmQ_9_8"/>
      <w:bookmarkStart w:id="533" w:name="Tc_S7x6gmigdk2flH8NcPx2xA_9_5"/>
      <w:bookmarkStart w:id="534" w:name="Tc_qa3yO7bfN06fe_CnAb_hdw_9_2"/>
      <w:bookmarkStart w:id="535" w:name="Tc_h8Mw_KaWuE-0UM9cDMaZNw_9_0"/>
      <w:bookmarkStart w:id="536" w:name="Tc_LnJG_xgSjk29HdAHWegTJg_8_0"/>
      <w:bookmarkStart w:id="537" w:name="Tc_kAIPbl2BiUiQUJzTFEo-1A_7_0"/>
      <w:bookmarkStart w:id="538" w:name="Tc_KbAJamJ_4keXA76eLL1gRw_6_0"/>
      <w:bookmarkStart w:id="539" w:name="Tc_7NIdTfQi_0iEHbieDXP8Vw_5_0"/>
      <w:bookmarkStart w:id="540" w:name="Tc_5-FHFRL5_k2Xyu41Bhsc4g_4_8"/>
      <w:bookmarkStart w:id="541" w:name="Tc_HcBi5_3OnkeHFw16FJEmQw_4_5"/>
      <w:bookmarkStart w:id="542" w:name="Tc_PVqPwkVExU-VbEAqs9Gt6A_4_2"/>
      <w:bookmarkStart w:id="543" w:name="Tc_mYZ7Fz_ozUqRUtIiRM4gmw_4_0"/>
      <w:bookmarkStart w:id="544" w:name="Tc_uivpjKWIdU60V7PKmYxDTA_3_2"/>
      <w:bookmarkStart w:id="545" w:name="Tc_Jd5FUKP-XU6dVXMqmT-N7w_2_8"/>
      <w:bookmarkStart w:id="546" w:name="Tc_mkTShVHpNkGG-7IMS3APag_2_5"/>
      <w:bookmarkStart w:id="547" w:name="Tc_xn-GC0K6U02CrJ0s5Q4rhw_2_2"/>
      <w:bookmarkStart w:id="548" w:name="Tc_cwWg_aZJJku0nHY4_LAOgA_1_8"/>
      <w:bookmarkStart w:id="549" w:name="Tc_PVED_WA42kijtrmVNvgehA_1_5"/>
      <w:bookmarkStart w:id="550" w:name="Tc_Kv2LUFm4YkWQZ6grqmV2Tg_1_2"/>
      <w:bookmarkStart w:id="551" w:name="_0cf34043_f0c1_4db6_8e62_0686d3ca04a0"/>
      <w:bookmarkStart w:id="552" w:name="Tc_t87pqDX3jkqlQZrjXm6H8Q_7_8"/>
      <w:bookmarkStart w:id="553" w:name="Tc_U9qydtB380G7248o9SRisw_7_5"/>
      <w:bookmarkStart w:id="554" w:name="Tc_Ai1lY68MzkO6sZiQec2SLw_7_2"/>
      <w:bookmarkStart w:id="555" w:name="Tc_MxOmE7B9d0OHfOtK-kPf-g_7_0"/>
      <w:bookmarkStart w:id="556" w:name="Tc_fdvCs91Fm0qvpq34iBi7_g_6_0"/>
      <w:bookmarkStart w:id="557" w:name="Tc_WTw6fRcnEEmpU3hMkrmZVg_5_0"/>
      <w:bookmarkStart w:id="558" w:name="Tc_dvoLgf-ZpEOayBvCgqIjFQ_4_8"/>
      <w:bookmarkStart w:id="559" w:name="Tc_wWceMNTmkkS7pcm7WD0VTw_4_5"/>
      <w:bookmarkStart w:id="560" w:name="Tc_QZXuAyYFx0qLHKUBkgCaXQ_4_2"/>
      <w:bookmarkStart w:id="561" w:name="Tc_a_etCH6cLEKDvfZZSPcI4Q_4_0"/>
      <w:bookmarkStart w:id="562" w:name="Tc_0d8XcrsJiESt2FTFv8Tisw_3_2"/>
      <w:bookmarkStart w:id="563" w:name="Tc_MtLxSiHwG061gOV20IT1uQ_2_8"/>
      <w:bookmarkStart w:id="564" w:name="Tc_qBCzc68RQ0mY-MinABnflA_2_5"/>
      <w:bookmarkStart w:id="565" w:name="Tc_jKv0n1jysUiW2tt7cF0TRA_2_2"/>
      <w:bookmarkStart w:id="566" w:name="Tc_QujS7CgQCEqNBRU_BccTkQ_1_8"/>
      <w:bookmarkStart w:id="567" w:name="Tc_JdXDja6t3UG5_tjXt12joA_1_5"/>
      <w:bookmarkStart w:id="568" w:name="Tc_HX-Ys9o93EGCBGMafOVNBw_1_2"/>
      <w:bookmarkStart w:id="569" w:name="_522200c8_6817_499b_9d95_eb4a44d47b9d"/>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r>
        <w:rPr>
          <w:rFonts w:ascii="Times New Roman;Times;serif" w:hAnsi="Times New Roman;Times;serif"/>
          <w:sz w:val="20"/>
        </w:rPr>
        <w:t>assets are located in the United States. The CODM does not receive asset information other than what is presented on the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is a summary of the Company’s research and development expenses disaggregated by program. The amounts disclosed reflect direct research and development costs and an allocation of indirect research and development costs to each program.</w:t>
      </w:r>
    </w:p>
    <w:p>
      <w:pPr>
        <w:pStyle w:val="TextBody"/>
        <w:bidi w:val="0"/>
        <w:spacing w:before="0" w:after="0"/>
        <w:ind w:left="0" w:right="0" w:hanging="0"/>
        <w:jc w:val="left"/>
        <w:rPr/>
      </w:pPr>
      <w:r>
        <w:rPr/>
        <w:t>​</w:t>
      </w:r>
    </w:p>
    <w:tbl>
      <w:tblPr>
        <w:tblW w:w="8437" w:type="dxa"/>
        <w:jc w:val="left"/>
        <w:tblInd w:w="0" w:type="dxa"/>
        <w:tblLayout w:type="fixed"/>
        <w:tblCellMar>
          <w:top w:w="0" w:type="dxa"/>
          <w:left w:w="0" w:type="dxa"/>
          <w:bottom w:w="0" w:type="dxa"/>
          <w:right w:w="0" w:type="dxa"/>
        </w:tblCellMar>
      </w:tblPr>
      <w:tblGrid>
        <w:gridCol w:w="2851"/>
        <w:gridCol w:w="346"/>
        <w:gridCol w:w="319"/>
        <w:gridCol w:w="1182"/>
        <w:gridCol w:w="346"/>
        <w:gridCol w:w="319"/>
        <w:gridCol w:w="1182"/>
        <w:gridCol w:w="346"/>
        <w:gridCol w:w="297"/>
        <w:gridCol w:w="1249"/>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10385" cy="175260"/>
                      <wp:effectExtent l="0" t="0" r="0" b="0"/>
                      <wp:wrapNone/>
                      <wp:docPr id="151" name="Frame150"/>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2565" cy="175260"/>
                      <wp:effectExtent l="0" t="0" r="0" b="0"/>
                      <wp:wrapNone/>
                      <wp:docPr id="153" name="Frame15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50570" cy="175260"/>
                      <wp:effectExtent l="0" t="0" r="0" b="0"/>
                      <wp:wrapNone/>
                      <wp:docPr id="154" name="Frame153"/>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2565" cy="175260"/>
                      <wp:effectExtent l="0" t="0" r="0" b="0"/>
                      <wp:wrapNone/>
                      <wp:docPr id="156" name="Frame15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50570" cy="175260"/>
                      <wp:effectExtent l="0" t="0" r="0" b="0"/>
                      <wp:wrapNone/>
                      <wp:docPr id="157" name="Frame15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8595" cy="175260"/>
                      <wp:effectExtent l="0" t="0" r="0" b="0"/>
                      <wp:wrapNone/>
                      <wp:docPr id="159" name="Frame15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93115" cy="175260"/>
                      <wp:effectExtent l="0" t="0" r="0" b="0"/>
                      <wp:wrapNone/>
                      <wp:docPr id="160" name="Frame15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843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4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46" w:type="dxa"/>
            <w:tcBorders/>
            <w:shd w:fill="CCEEFF" w:val="clear"/>
            <w:vAlign w:val="center"/>
          </w:tcPr>
          <w:p>
            <w:pPr>
              <w:pStyle w:val="TableContents"/>
              <w:bidi w:val="0"/>
              <w:spacing w:before="0" w:after="0"/>
              <w:ind w:left="0" w:right="0" w:hanging="0"/>
              <w:jc w:val="left"/>
              <w:rPr/>
            </w:pPr>
            <w:r>
              <w:rPr/>
              <w:t>  ​ ​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198,329</w:t>
            </w:r>
          </w:p>
        </w:tc>
        <w:tc>
          <w:tcPr>
            <w:tcW w:w="346" w:type="dxa"/>
            <w:tcBorders/>
            <w:shd w:fill="CCEEFF" w:val="clear"/>
            <w:vAlign w:val="center"/>
          </w:tcPr>
          <w:p>
            <w:pPr>
              <w:pStyle w:val="TableContents"/>
              <w:bidi w:val="0"/>
              <w:spacing w:before="0" w:after="0"/>
              <w:ind w:left="0" w:right="0" w:hanging="0"/>
              <w:jc w:val="left"/>
              <w:rPr/>
            </w:pPr>
            <w:r>
              <w:rPr/>
              <w:t>  ​ ​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123,750</w:t>
            </w:r>
          </w:p>
        </w:tc>
        <w:tc>
          <w:tcPr>
            <w:tcW w:w="346" w:type="dxa"/>
            <w:tcBorders/>
            <w:shd w:fill="CCEEFF" w:val="clear"/>
            <w:vAlign w:val="center"/>
          </w:tcPr>
          <w:p>
            <w:pPr>
              <w:pStyle w:val="TableContents"/>
              <w:bidi w:val="0"/>
              <w:spacing w:before="0" w:after="0"/>
              <w:ind w:left="0" w:right="0" w:hanging="0"/>
              <w:jc w:val="righ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79,913</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CDX-622</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18,958</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17,341</w:t>
            </w:r>
          </w:p>
        </w:tc>
        <w:tc>
          <w:tcPr>
            <w:tcW w:w="346"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16,299</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 (a)</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27,787</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22,459</w:t>
            </w:r>
          </w:p>
        </w:tc>
        <w:tc>
          <w:tcPr>
            <w:tcW w:w="346" w:type="dxa"/>
            <w:tcBorders/>
            <w:shd w:fill="CCEEFF" w:val="clear"/>
            <w:vAlign w:val="center"/>
          </w:tcPr>
          <w:p>
            <w:pPr>
              <w:pStyle w:val="TableContents"/>
              <w:bidi w:val="0"/>
              <w:spacing w:before="0" w:after="0"/>
              <w:ind w:left="0" w:right="0" w:hanging="0"/>
              <w:jc w:val="righ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21,799</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245,074</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163,550</w:t>
            </w:r>
          </w:p>
        </w:tc>
        <w:tc>
          <w:tcPr>
            <w:tcW w:w="346" w:type="dxa"/>
            <w:tcBorders/>
            <w:vAlign w:val="center"/>
          </w:tcPr>
          <w:p>
            <w:pPr>
              <w:pStyle w:val="TableContents"/>
              <w:bidi w:val="0"/>
              <w:spacing w:before="0" w:after="0"/>
              <w:ind w:left="0" w:right="0" w:hanging="0"/>
              <w:jc w:val="righ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118,011</w:t>
            </w:r>
          </w:p>
        </w:tc>
      </w:tr>
    </w:tbl>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Other program expenses primarily include research and development expenses related to early-stage programs, revenue-generating programs and discontinued programs.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is a summary of the Company’s research and development expenses disaggregated by nature.</w:t>
      </w:r>
    </w:p>
    <w:p>
      <w:pPr>
        <w:pStyle w:val="TextBody"/>
        <w:bidi w:val="0"/>
        <w:spacing w:before="0" w:after="0"/>
        <w:ind w:left="0" w:right="0" w:hanging="0"/>
        <w:jc w:val="left"/>
        <w:rPr/>
      </w:pPr>
      <w:r>
        <w:rPr/>
        <w:t>​</w:t>
      </w:r>
    </w:p>
    <w:tbl>
      <w:tblPr>
        <w:tblW w:w="7747" w:type="dxa"/>
        <w:jc w:val="left"/>
        <w:tblInd w:w="0" w:type="dxa"/>
        <w:tblLayout w:type="fixed"/>
        <w:tblCellMar>
          <w:top w:w="0" w:type="dxa"/>
          <w:left w:w="0" w:type="dxa"/>
          <w:bottom w:w="0" w:type="dxa"/>
          <w:right w:w="0" w:type="dxa"/>
        </w:tblCellMar>
      </w:tblPr>
      <w:tblGrid>
        <w:gridCol w:w="2161"/>
        <w:gridCol w:w="346"/>
        <w:gridCol w:w="319"/>
        <w:gridCol w:w="1182"/>
        <w:gridCol w:w="346"/>
        <w:gridCol w:w="319"/>
        <w:gridCol w:w="1182"/>
        <w:gridCol w:w="346"/>
        <w:gridCol w:w="297"/>
        <w:gridCol w:w="1249"/>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72235" cy="175260"/>
                      <wp:effectExtent l="0" t="0" r="0" b="0"/>
                      <wp:wrapNone/>
                      <wp:docPr id="161" name="Frame16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2565" cy="175260"/>
                      <wp:effectExtent l="0" t="0" r="0" b="0"/>
                      <wp:wrapNone/>
                      <wp:docPr id="163" name="Frame16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50570" cy="175260"/>
                      <wp:effectExtent l="0" t="0" r="0" b="0"/>
                      <wp:wrapNone/>
                      <wp:docPr id="164" name="Frame163"/>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2565" cy="175260"/>
                      <wp:effectExtent l="0" t="0" r="0" b="0"/>
                      <wp:wrapNone/>
                      <wp:docPr id="166" name="Frame16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50570" cy="175260"/>
                      <wp:effectExtent l="0" t="0" r="0" b="0"/>
                      <wp:wrapNone/>
                      <wp:docPr id="167" name="Frame166"/>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8595" cy="175260"/>
                      <wp:effectExtent l="0" t="0" r="0" b="0"/>
                      <wp:wrapNone/>
                      <wp:docPr id="169" name="Frame16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93115" cy="175260"/>
                      <wp:effectExtent l="0" t="0" r="0" b="0"/>
                      <wp:wrapNone/>
                      <wp:docPr id="170" name="Frame16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774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4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46" w:type="dxa"/>
            <w:tcBorders/>
            <w:shd w:fill="CCEEFF" w:val="clear"/>
            <w:vAlign w:val="center"/>
          </w:tcPr>
          <w:p>
            <w:pPr>
              <w:pStyle w:val="TableContents"/>
              <w:bidi w:val="0"/>
              <w:spacing w:before="0" w:after="0"/>
              <w:ind w:left="0" w:right="0" w:hanging="0"/>
              <w:jc w:val="left"/>
              <w:rPr/>
            </w:pPr>
            <w:r>
              <w:rPr/>
              <w:t>  ​ ​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57,204</w:t>
            </w:r>
          </w:p>
        </w:tc>
        <w:tc>
          <w:tcPr>
            <w:tcW w:w="346" w:type="dxa"/>
            <w:tcBorders/>
            <w:shd w:fill="CCEEFF" w:val="clear"/>
            <w:vAlign w:val="center"/>
          </w:tcPr>
          <w:p>
            <w:pPr>
              <w:pStyle w:val="TableContents"/>
              <w:bidi w:val="0"/>
              <w:spacing w:before="0" w:after="0"/>
              <w:ind w:left="0" w:right="0" w:hanging="0"/>
              <w:jc w:val="left"/>
              <w:rPr/>
            </w:pPr>
            <w:r>
              <w:rPr/>
              <w:t>  ​ ​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51,906</w:t>
            </w:r>
          </w:p>
        </w:tc>
        <w:tc>
          <w:tcPr>
            <w:tcW w:w="346" w:type="dxa"/>
            <w:tcBorders/>
            <w:shd w:fill="CCEEFF" w:val="clear"/>
            <w:vAlign w:val="center"/>
          </w:tcPr>
          <w:p>
            <w:pPr>
              <w:pStyle w:val="TableContents"/>
              <w:bidi w:val="0"/>
              <w:spacing w:before="0" w:after="0"/>
              <w:ind w:left="0" w:right="0" w:hanging="0"/>
              <w:jc w:val="left"/>
              <w:rPr/>
            </w:pPr>
            <w:r>
              <w:rPr/>
              <w:t>  ​ ​ ​</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5,997</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5,611</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5,094</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(b)</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161,096</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90,604</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59,319</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15,476</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10,335</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245,074</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163,550</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118,011</w:t>
            </w:r>
          </w:p>
        </w:tc>
      </w:tr>
    </w:tbl>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 Product development expenses include clinical investigator site fees, external trial monitoring costs, data accumulation costs, contracted research and outside clinical drug product manufacturing.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 Other expenses primarily include research and development consulting, insurance, licensing and software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the financial statements in conformity with accounting principles generally accepted in the United States of America (U.S. GAAP) requires management to make estimates and use assumptions that affect the reported amounts of assets and liabilities, the disclosure of contingent assets and liabilities at the dates of the financial statements and the reported amounts of revenues and expenses during the reporting period. Actual results could differ from those estimates.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considers all highly liquid investments purchased with a maturity date of 90 days or less at the date of purchase to be cash equivalents. Cash equivalents consist principally of money market funds and debt securities.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Marketable Securities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Each reporting period, the Company evaluates its investment portfolio to determine if any security is impaired and if an allowance for credit losses should be recorded. As part of this evaluation, the Company considers whether it has the ability and intent to hold the investment until recovery of its amortized cost basis and whether the decline in fair value is due to any credit related factors. If an impairment is the result of a credit loss, the Company recognizes an allowance for credit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70" w:name="_Hlk501181213"/>
      <w:bookmarkEnd w:id="570"/>
      <w:r>
        <w:rPr>
          <w:rFonts w:ascii="Times New Roman;Times;serif" w:hAnsi="Times New Roman;Times;serif"/>
          <w:sz w:val="20"/>
        </w:rPr>
        <w:t>losses. Realized gains and losses are determined on the specific identification method and are included in investment and other income, net.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Concentration of Credit Risk and of Significant Customers and Suppliers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Revenue from Rockefeller University represented 93%, 100% and 95% of total Company revenue for the years ended December 31, 2025,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relies on contract development &amp; manufacturing organizations (CDMOs) to manufacture drug substance and drug product as well as for future commercial supplies. The Company also relies on CDMOs for supply of raw materials as well as filling, packaging, storing and shipping our drug products. Some of the Company’s CDMOs are currently single source manufacturers.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2: Observable inputs other than Level 1 prices, such as quoted prices in active markets for similar assets or liabilities and quoted prices for identical assets or liabilities in markets that are not active.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3: Unobservable inputs based on the Company’s assessment of the assumptions that market participants would use in pricing the asset or liability.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Property and Equipment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Property and equipment are stated at cost and depreciated over the estimated useful lives of the related assets using the straight-line method. </w:t>
      </w:r>
      <w:r>
        <w:rPr>
          <w:rFonts w:ascii="Times New Roman;Times;serif" w:hAnsi="Times New Roman;Times;serif"/>
          <w:b w:val="false"/>
          <w:i w:val="false"/>
          <w:caps w:val="false"/>
          <w:smallCaps w:val="false"/>
          <w:sz w:val="20"/>
        </w:rPr>
        <w:t>Laboratory</w:t>
      </w:r>
      <w:r>
        <w:rPr>
          <w:rFonts w:ascii="Times New Roman;Times;serif" w:hAnsi="Times New Roman;Times;serif"/>
          <w:sz w:val="20"/>
        </w:rPr>
        <w:t xml:space="preserve"> equipment and office furniture and equipment are depreciated over five years, and computer equipment is depreciated over three years. Manufacturing equipment is depreciated over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operating leases of office, manufacturing and laboratory space, which have remaining lease terms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years and may include one or more options to renew or terminate early.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IPR&amp;D assets acquired in a business combination initially are recorded at fair value and accounted for as indefinite-lived intangible assets. The valuation model used to measure the fair value of the Company’s IPR&amp;D assets was primarily a discounted cash flow approach. The assumptions used in determining the fair value of the Company’s IPR&amp;D assets include (i) probability of success; (ii) probability of partnership; (iii) partnership milestones; and (iv) discount rate.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Impairment of Intangible and 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Revenues are recognized when performance obligations under agreements or contracts are satisfied, in an amount that reflects the consideration the Company expects to be entitled to in exchange for those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determines revenue recognition through the following steps:</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for the Company is also derived from manufacturing and research and development arrangements. The Company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contract liabilities result from arrangements where the Company has received payment in advance of performance under the contract. These amounts are included as deferred revenue within current portion of long-term liabilities on the consolidated balance sheets.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The Company accrues the cost of services rendered in connection with CRO and CDMO activities based on our estimate of costs incurred. The Company maintains regular communication with our CROs and CDMOs to assess the reasonableness of its estimates. Differences between actual expenses and estimated expenses recorded have not been material and are adjusted for in the period in which they become known.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Patent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records stock-based compensation expense for all stock-based awards made to employees, consultants and non-employee directors based on the estimated fair values of the stock-based awards expected to vest at the grant date and adjusts, if necessary, to reflect actual forfeitures. Compensation expense for all stock-based awards is recognized using the straight-line method over the term of vesting or performance.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Translation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unrealized gains and losses resulting from foreign currency translation are included in accumulated other comprehensive income. At December 31, 2025 and 2024, accumulated other comprehensive income includes a net unrealized gain related to foreign currency translation of $2.6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2025,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571" w:name="Tc_Xv52HKms7U-xbZCwQewlLw_3_0"/>
      <w:bookmarkStart w:id="572" w:name="Tc_N_PJJOWIRU2UNs3sM1yRLg_2_6"/>
      <w:bookmarkStart w:id="573" w:name="Tc_5NDdUBMrV0CedJhPH4F17Q_2_4"/>
      <w:bookmarkStart w:id="574" w:name="Tc_Xwqxnx9FCk-SuxKiaivNxQ_2_2"/>
      <w:bookmarkStart w:id="575" w:name="Tc_gBQU0XwkdEqZTcMD0DCcOQ_1_2"/>
      <w:bookmarkEnd w:id="571"/>
      <w:bookmarkEnd w:id="572"/>
      <w:bookmarkEnd w:id="573"/>
      <w:bookmarkEnd w:id="574"/>
      <w:bookmarkEnd w:id="575"/>
      <w:r>
        <w:rPr>
          <w:rFonts w:ascii="Times New Roman;Times;serif" w:hAnsi="Times New Roman;Times;serif"/>
          <w:i/>
          <w:sz w:val="20"/>
        </w:rPr>
        <w:t>Net Loss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5182" w:type="dxa"/>
        <w:jc w:val="left"/>
        <w:tblInd w:w="0" w:type="dxa"/>
        <w:tblLayout w:type="fixed"/>
        <w:tblCellMar>
          <w:top w:w="0" w:type="dxa"/>
          <w:left w:w="0" w:type="dxa"/>
          <w:bottom w:w="0" w:type="dxa"/>
          <w:right w:w="0" w:type="dxa"/>
        </w:tblCellMar>
      </w:tblPr>
      <w:tblGrid>
        <w:gridCol w:w="1246"/>
        <w:gridCol w:w="346"/>
        <w:gridCol w:w="931"/>
        <w:gridCol w:w="346"/>
        <w:gridCol w:w="931"/>
        <w:gridCol w:w="346"/>
        <w:gridCol w:w="103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91210" cy="175260"/>
                      <wp:effectExtent l="0" t="0" r="0" b="0"/>
                      <wp:wrapNone/>
                      <wp:docPr id="171" name="Frame17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3" name="Frame1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91185" cy="175260"/>
                      <wp:effectExtent l="0" t="0" r="0" b="0"/>
                      <wp:wrapNone/>
                      <wp:docPr id="175" name="Frame1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57860" cy="175260"/>
                      <wp:effectExtent l="0" t="0" r="0" b="0"/>
                      <wp:wrapNone/>
                      <wp:docPr id="177" name="Frame1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9,134,278</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7,540,109</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6,378,924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Newly-Adopted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The Company prospectively adopted this ASU for its fiscal year ended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w:t>
      </w:r>
      <w:r>
        <w:rPr>
          <w:rFonts w:ascii="Times New Roman;Times;serif" w:hAnsi="Times New Roman;Times;serif"/>
          <w:sz w:val="20"/>
        </w:rPr>
        <w:t>, which requires enhanced disclosures about specific types of expenses included in the expense captions presented on the face of the income statement. The standard is effective for annual reporting periods in fiscal years beginning after December 15, 2026, and interim reporting periods in fiscal years beginning after December 31, 2027, with early adoption permitted. The Company is currently evaluating the impact that the adoption of ASU 2024-03 may have on its expense disclosures in the notes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576" w:name="Tc_2mAQxxfY_EyvLu9R1JqkHw_8_8"/>
      <w:bookmarkStart w:id="577" w:name="Tc_9Nd7V9Et8UGo-Uogue29-g_8_5"/>
      <w:bookmarkStart w:id="578" w:name="Tc_odMx7G3BDkiEgHTE2FRk9g_8_2"/>
      <w:bookmarkStart w:id="579" w:name="Tc_08saUYUj10a3b5jSQ0KL8g_8_0"/>
      <w:bookmarkStart w:id="580" w:name="Tc_BeiAn4RpyEOV3BmK-hPtGQ_7_6"/>
      <w:bookmarkStart w:id="581" w:name="Tc_kbbJq5L8MkimVUEpFK25sA_7_0"/>
      <w:bookmarkStart w:id="582" w:name="Tc_LXCv-loyfkS2ZAURiSh08A_6_8"/>
      <w:bookmarkStart w:id="583" w:name="Tc_P8TwqL5q20qWiuyC-r6wrA_6_5"/>
      <w:bookmarkStart w:id="584" w:name="Tc_rH-J-b9ebUmNhWpgR-SKMA_6_2"/>
      <w:bookmarkStart w:id="585" w:name="Tc_7TH83J-QxUWbkSgLghEodA_6_0"/>
      <w:bookmarkStart w:id="586" w:name="Tc_AEMSP0pAIEitN-5JvuLQAw_5_2"/>
      <w:bookmarkStart w:id="587" w:name="Tc_nFdih30YqEKhMQtqEjltKA_4_8"/>
      <w:bookmarkStart w:id="588" w:name="Tc_skO5t7cWlki8kiZ-R26rIg_4_5"/>
      <w:bookmarkStart w:id="589" w:name="Tc_R694sXv1l0mlwQ_5cWcTXA_4_2"/>
      <w:bookmarkStart w:id="590" w:name="Tc_UaCQkUig2Ea4IQKICpDOPQ_3_5"/>
      <w:bookmarkStart w:id="591" w:name="Tc_IqFVqcV5-USkSU1wYqPErQ_3_2"/>
      <w:bookmarkStart w:id="592" w:name="Tc_FCyLxCN9yEeNO-NXKm3Eog_2_2"/>
      <w:bookmarkStart w:id="593" w:name="Tc_Z7E5jb8sXUK3pXTgnMq0Dg_1_2"/>
      <w:bookmarkStart w:id="594" w:name="_fc20e0e9_4f76_415b_8999_e95c22cd3306"/>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Fonts w:ascii="Times New Roman;Times;serif" w:hAnsi="Times New Roman;Times;serif"/>
          <w:b/>
          <w:sz w:val="20"/>
        </w:rPr>
        <w:t>(3) Accumulated Other Comprehensive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changes in accumulated other comprehensive income, which is reported as a component of stockholders’ equity, for the year ended December 31, 2025 are summarized below: </w:t>
      </w:r>
    </w:p>
    <w:p>
      <w:pPr>
        <w:pStyle w:val="TextBody"/>
        <w:bidi w:val="0"/>
        <w:spacing w:before="0" w:after="0"/>
        <w:ind w:left="0" w:right="0" w:hanging="0"/>
        <w:jc w:val="left"/>
        <w:rPr/>
      </w:pPr>
      <w:r>
        <w:rPr/>
        <w:t>​</w:t>
      </w:r>
    </w:p>
    <w:tbl>
      <w:tblPr>
        <w:tblW w:w="6698" w:type="dxa"/>
        <w:jc w:val="left"/>
        <w:tblInd w:w="0" w:type="dxa"/>
        <w:tblLayout w:type="fixed"/>
        <w:tblCellMar>
          <w:top w:w="0" w:type="dxa"/>
          <w:left w:w="0" w:type="dxa"/>
          <w:bottom w:w="0" w:type="dxa"/>
          <w:right w:w="0" w:type="dxa"/>
        </w:tblCellMar>
      </w:tblPr>
      <w:tblGrid>
        <w:gridCol w:w="2596"/>
        <w:gridCol w:w="346"/>
        <w:gridCol w:w="255"/>
        <w:gridCol w:w="691"/>
        <w:gridCol w:w="346"/>
        <w:gridCol w:w="332"/>
        <w:gridCol w:w="899"/>
        <w:gridCol w:w="346"/>
        <w:gridCol w:w="211"/>
        <w:gridCol w:w="67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48460" cy="175260"/>
                      <wp:effectExtent l="0" t="0" r="0" b="0"/>
                      <wp:wrapNone/>
                      <wp:docPr id="178" name="Frame17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1925" cy="175260"/>
                      <wp:effectExtent l="0" t="0" r="0" b="0"/>
                      <wp:wrapNone/>
                      <wp:docPr id="180" name="Frame17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8785" cy="175260"/>
                      <wp:effectExtent l="0" t="0" r="0" b="0"/>
                      <wp:wrapNone/>
                      <wp:docPr id="181" name="Frame1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0820" cy="175260"/>
                      <wp:effectExtent l="0" t="0" r="0" b="0"/>
                      <wp:wrapNone/>
                      <wp:docPr id="183" name="Frame18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70865" cy="175260"/>
                      <wp:effectExtent l="0" t="0" r="0" b="0"/>
                      <wp:wrapNone/>
                      <wp:docPr id="184" name="Frame18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87" name="Frame1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w:t>
            </w:r>
          </w:p>
        </w:tc>
        <w:tc>
          <w:tcPr>
            <w:tcW w:w="346" w:type="dxa"/>
            <w:tcBorders/>
            <w:vAlign w:val="center"/>
          </w:tcPr>
          <w:p>
            <w:pPr>
              <w:pStyle w:val="TableContents"/>
              <w:bidi w:val="0"/>
              <w:spacing w:before="0" w:after="0"/>
              <w:ind w:left="0" w:right="0" w:hanging="0"/>
              <w:jc w:val="center"/>
              <w:rPr/>
            </w:pPr>
            <w:r>
              <w:rPr/>
              <w:t>  ​ ​ ​</w:t>
            </w:r>
          </w:p>
        </w:tc>
        <w:tc>
          <w:tcPr>
            <w:tcW w:w="332"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on</w:t>
            </w:r>
          </w:p>
        </w:tc>
        <w:tc>
          <w:tcPr>
            <w:tcW w:w="34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89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9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5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gain</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years ended December 31, 2025,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95" w:name="_cd422204_a4a1_4969_801b_458575100113_3"/>
      <w:bookmarkStart w:id="596" w:name="_cd422204_a4a1_4969_801b_458575100113_2"/>
      <w:bookmarkStart w:id="597" w:name="_cd422204_a4a1_4969_801b_458575100113"/>
      <w:bookmarkStart w:id="598" w:name="_635f5879_8e5a_4a0d_9117_8db6b6a88fdc_3"/>
      <w:bookmarkStart w:id="599" w:name="_635f5879_8e5a_4a0d_9117_8db6b6a88fdc_2"/>
      <w:bookmarkStart w:id="600" w:name="_635f5879_8e5a_4a0d_9117_8db6b6a88fdc"/>
      <w:bookmarkStart w:id="601" w:name="_c72d6675_991b_471c_960c_c2c7bbe14534_3"/>
      <w:bookmarkStart w:id="602" w:name="_c72d6675_991b_471c_960c_c2c7bbe14534_2"/>
      <w:bookmarkStart w:id="603" w:name="_c72d6675_991b_471c_960c_c2c7bbe14534"/>
      <w:bookmarkStart w:id="604" w:name="_d1cff6eb_4524_4dfe_8be2_1de1c561cd16_3"/>
      <w:bookmarkStart w:id="605" w:name="_d1cff6eb_4524_4dfe_8be2_1de1c561cd16_2"/>
      <w:bookmarkStart w:id="606" w:name="_d1cff6eb_4524_4dfe_8be2_1de1c561cd16"/>
      <w:bookmarkStart w:id="607" w:name="_bd5e56c9_82ba_49b6_a528_d6d505ed3f71_3"/>
      <w:bookmarkStart w:id="608" w:name="_bd5e56c9_82ba_49b6_a528_d6d505ed3f71_2"/>
      <w:bookmarkStart w:id="609" w:name="_bd5e56c9_82ba_49b6_a528_d6d505ed3f71"/>
      <w:bookmarkStart w:id="610" w:name="_adedcc02_e2e1_415f_a663_7b782ec76ac0_3"/>
      <w:bookmarkStart w:id="611" w:name="_adedcc02_e2e1_415f_a663_7b782ec76ac0_2"/>
      <w:bookmarkStart w:id="612" w:name="_adedcc02_e2e1_415f_a663_7b782ec76ac0"/>
      <w:bookmarkStart w:id="613" w:name="_4e74378d_fdb7_4d3c_8c35_365f6fe560ce_3"/>
      <w:bookmarkStart w:id="614" w:name="_4e74378d_fdb7_4d3c_8c35_365f6fe560ce_2"/>
      <w:bookmarkStart w:id="615" w:name="_4e74378d_fdb7_4d3c_8c35_365f6fe560ce"/>
      <w:bookmarkStart w:id="616" w:name="_e36de7ca_47c9_4771_9f83_a192a4e0ec83_3"/>
      <w:bookmarkStart w:id="617" w:name="_e36de7ca_47c9_4771_9f83_a192a4e0ec83_2"/>
      <w:bookmarkStart w:id="618" w:name="_e36de7ca_47c9_4771_9f83_a192a4e0ec83"/>
      <w:bookmarkStart w:id="619" w:name="Tc_0oT6S590Ikeh1cCNJjURvQ_7_11"/>
      <w:bookmarkStart w:id="620" w:name="Tc_2319_q3_wkqAk0QQz1loSA_7_7"/>
      <w:bookmarkStart w:id="621" w:name="Tc_8GgSWRt1mkyr94NEKOtTIA_7_5"/>
      <w:bookmarkStart w:id="622" w:name="Tc_7TolA2A3dEWPlIS90DQJKA_7_2"/>
      <w:bookmarkStart w:id="623" w:name="Tc_Uft0ryxEMUyGEFLD8QVPPg_6_11"/>
      <w:bookmarkStart w:id="624" w:name="Tc_DOROqr2F_0GEDHcEwb0cFg_6_5"/>
      <w:bookmarkStart w:id="625" w:name="Tc_UYdkYpxdbU26s5tlQirB8w_6_0"/>
      <w:bookmarkStart w:id="626" w:name="Tc_XAOMnHh-okOQ_WjErTnWgg_5_11"/>
      <w:bookmarkStart w:id="627" w:name="Tc_XrpRW_Ep70yf2FIX6F0Ikg_5_7"/>
      <w:bookmarkStart w:id="628" w:name="Tc_L8wfri11cUadYb_2t-5LLw_5_5"/>
      <w:bookmarkStart w:id="629" w:name="Tc_AIhMfVqKQUSLXzPeGbPzLw_5_2"/>
      <w:bookmarkStart w:id="630" w:name="Tc_3oLoN_jMLkqukD6Xbo6_bg_5_0"/>
      <w:bookmarkStart w:id="631" w:name="Tc_t1XShef3wEeNJDPvyClI6g_4_0"/>
      <w:bookmarkStart w:id="632" w:name="Tc_giZeg4rZY0O4kNFswxec6g_3_2"/>
      <w:bookmarkStart w:id="633" w:name="Tc_lOCKvp5bP0mAVKvPn6ozvQ_2_10"/>
      <w:bookmarkStart w:id="634" w:name="Tc_MK2JL7Xhm0aGJWtPZ6qEFQ_2_7"/>
      <w:bookmarkStart w:id="635" w:name="Tc_ZqsLncMaY0CyXNwDqbgJhg_2_5"/>
      <w:bookmarkStart w:id="636" w:name="Tc_26W9UH8K9kuguI4OcoJqQA_2_2"/>
      <w:bookmarkStart w:id="637" w:name="Tc_s1di26HPOEKO95aeX9rIQA_1_2"/>
      <w:bookmarkStart w:id="638" w:name="_c1dd9bf4_66e1_4507_9fa1_38b070be1a18"/>
      <w:bookmarkStart w:id="639" w:name="Tc_Sdr5dOZOdkCYTbLzaYgAmQ_7_11"/>
      <w:bookmarkStart w:id="640" w:name="Tc__uD0d79cKECLkyvLWmaFYA_7_7"/>
      <w:bookmarkStart w:id="641" w:name="Tc_qVe6MWBze0WtE4_pF8CWdg_7_5"/>
      <w:bookmarkStart w:id="642" w:name="Tc_WyhxNnxtNkuFoaXXH43Pzw_7_2"/>
      <w:bookmarkStart w:id="643" w:name="Tc_ygcq_QL4mEeZzGUMqsMSDA_6_11"/>
      <w:bookmarkStart w:id="644" w:name="Tc_rFGiFsc5YkyVE44TRZb3mA_6_5"/>
      <w:bookmarkStart w:id="645" w:name="Tc_U2msIEsCUE-j4QjYIXL9sQ_6_0"/>
      <w:bookmarkStart w:id="646" w:name="Tc_91kLQZxHLkKDfYtX3KSuUQ_5_11"/>
      <w:bookmarkStart w:id="647" w:name="Tc_8IK2RxsZo0uoAn8NMyTY5g_5_7"/>
      <w:bookmarkStart w:id="648" w:name="Tc_BEhU-Q6UU06MHpOMxrbM1w_5_5"/>
      <w:bookmarkStart w:id="649" w:name="Tc_qpt7Rb_K1k6ScHOLg8c9OQ_5_2"/>
      <w:bookmarkStart w:id="650" w:name="Tc_3e6a6AZhn0adW8H_SX_Hng_5_0"/>
      <w:bookmarkStart w:id="651" w:name="Tc_gYfYhTEO5k6-K0tFqz_uXQ_4_0"/>
      <w:bookmarkStart w:id="652" w:name="Tc_yth3nRYx5U24KUE16j07WQ_3_2"/>
      <w:bookmarkStart w:id="653" w:name="Tc_e1AG6QbJEUSui_QCenn9fA_2_10"/>
      <w:bookmarkStart w:id="654" w:name="Tc_sxmNfhaoukewalSI68bDUg_2_7"/>
      <w:bookmarkStart w:id="655" w:name="Tc_JiYAvQIqx0m2t5Uuxfu7tw_2_5"/>
      <w:bookmarkStart w:id="656" w:name="Tc_QL9Ydlfmf0ilqZaQz1NjNA_2_2"/>
      <w:bookmarkStart w:id="657" w:name="Tc_L24PXapwe06s4n23JtDPWg_1_2"/>
      <w:bookmarkStart w:id="658" w:name="_c77d0949_850f_4d09_b8b1_dd58ee6ffbce"/>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Pr>
          <w:rFonts w:ascii="Times New Roman;Times;serif" w:hAnsi="Times New Roman;Times;serif"/>
          <w:b/>
          <w:sz w:val="20"/>
        </w:rPr>
        <w:t>(4) Fair Value Measurements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pPr>
      <w:r>
        <w:rPr/>
        <w:t>​</w:t>
      </w:r>
    </w:p>
    <w:tbl>
      <w:tblPr>
        <w:tblW w:w="8725" w:type="dxa"/>
        <w:jc w:val="left"/>
        <w:tblInd w:w="0" w:type="dxa"/>
        <w:tblLayout w:type="fixed"/>
        <w:tblCellMar>
          <w:top w:w="0" w:type="dxa"/>
          <w:left w:w="0" w:type="dxa"/>
          <w:bottom w:w="0" w:type="dxa"/>
          <w:right w:w="0" w:type="dxa"/>
        </w:tblCellMar>
      </w:tblPr>
      <w:tblGrid>
        <w:gridCol w:w="3541"/>
        <w:gridCol w:w="346"/>
        <w:gridCol w:w="319"/>
        <w:gridCol w:w="1182"/>
        <w:gridCol w:w="346"/>
        <w:gridCol w:w="631"/>
        <w:gridCol w:w="346"/>
        <w:gridCol w:w="211"/>
        <w:gridCol w:w="781"/>
        <w:gridCol w:w="34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248535" cy="175260"/>
                      <wp:effectExtent l="0" t="0" r="0" b="0"/>
                      <wp:wrapNone/>
                      <wp:docPr id="188" name="Frame187"/>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2565" cy="175260"/>
                      <wp:effectExtent l="0" t="0" r="0" b="0"/>
                      <wp:wrapNone/>
                      <wp:docPr id="190" name="Frame18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50570" cy="175260"/>
                      <wp:effectExtent l="0" t="0" r="0" b="0"/>
                      <wp:wrapNone/>
                      <wp:docPr id="191" name="Frame19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00685" cy="175260"/>
                      <wp:effectExtent l="0" t="0" r="0" b="0"/>
                      <wp:wrapNone/>
                      <wp:docPr id="193" name="Frame19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5935" cy="175260"/>
                      <wp:effectExtent l="0" t="0" r="0" b="0"/>
                      <wp:wrapNone/>
                      <wp:docPr id="196" name="Frame1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3185" cy="175260"/>
                      <wp:effectExtent l="0" t="0" r="0" b="0"/>
                      <wp:wrapNone/>
                      <wp:docPr id="198" name="Frame197"/>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46075" cy="175260"/>
                      <wp:effectExtent l="0" t="0" r="0" b="0"/>
                      <wp:wrapNone/>
                      <wp:docPr id="199" name="Frame198"/>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  ​ ​ ​</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72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38"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19,115</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19,115</w:t>
            </w:r>
          </w:p>
        </w:tc>
        <w:tc>
          <w:tcPr>
            <w:tcW w:w="34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489,702</w:t>
            </w:r>
          </w:p>
        </w:tc>
        <w:tc>
          <w:tcPr>
            <w:tcW w:w="34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508,817</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508,817</w:t>
            </w:r>
          </w:p>
        </w:tc>
        <w:tc>
          <w:tcPr>
            <w:tcW w:w="34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725" w:type="dxa"/>
        <w:jc w:val="left"/>
        <w:tblInd w:w="0" w:type="dxa"/>
        <w:tblLayout w:type="fixed"/>
        <w:tblCellMar>
          <w:top w:w="0" w:type="dxa"/>
          <w:left w:w="0" w:type="dxa"/>
          <w:bottom w:w="0" w:type="dxa"/>
          <w:right w:w="0" w:type="dxa"/>
        </w:tblCellMar>
      </w:tblPr>
      <w:tblGrid>
        <w:gridCol w:w="3541"/>
        <w:gridCol w:w="346"/>
        <w:gridCol w:w="319"/>
        <w:gridCol w:w="1182"/>
        <w:gridCol w:w="346"/>
        <w:gridCol w:w="631"/>
        <w:gridCol w:w="346"/>
        <w:gridCol w:w="211"/>
        <w:gridCol w:w="781"/>
        <w:gridCol w:w="346"/>
        <w:gridCol w:w="165"/>
        <w:gridCol w:w="51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48535" cy="175260"/>
                      <wp:effectExtent l="0" t="0" r="0" b="0"/>
                      <wp:wrapNone/>
                      <wp:docPr id="200" name="Frame19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2565" cy="175260"/>
                      <wp:effectExtent l="0" t="0" r="0" b="0"/>
                      <wp:wrapNone/>
                      <wp:docPr id="202" name="Frame20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50570" cy="175260"/>
                      <wp:effectExtent l="0" t="0" r="0" b="0"/>
                      <wp:wrapNone/>
                      <wp:docPr id="203" name="Frame202"/>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00685" cy="175260"/>
                      <wp:effectExtent l="0" t="0" r="0" b="0"/>
                      <wp:wrapNone/>
                      <wp:docPr id="205" name="Frame20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95935" cy="175260"/>
                      <wp:effectExtent l="0" t="0" r="0" b="0"/>
                      <wp:wrapNone/>
                      <wp:docPr id="208" name="Frame2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04775" cy="175260"/>
                      <wp:effectExtent l="0" t="0" r="0" b="0"/>
                      <wp:wrapNone/>
                      <wp:docPr id="210" name="Frame209"/>
                      <a:graphic xmlns:a="http://schemas.openxmlformats.org/drawingml/2006/main">
                        <a:graphicData uri="http://schemas.microsoft.com/office/word/2010/wordprocessingShape">
                          <wps:wsp>
                            <wps:cNvSpPr txBox="1"/>
                            <wps:spPr>
                              <a:xfrm>
                                <a:off x="0" y="0"/>
                                <a:ext cx="104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24485" cy="175260"/>
                      <wp:effectExtent l="0" t="0" r="0" b="0"/>
                      <wp:wrapNone/>
                      <wp:docPr id="211" name="Frame21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  ​ ​ ​</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65"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46" w:type="dxa"/>
            <w:tcBorders/>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72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38"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46" w:type="dxa"/>
            <w:tcBorders/>
            <w:vAlign w:val="center"/>
          </w:tcPr>
          <w:p>
            <w:pPr>
              <w:pStyle w:val="TableContents"/>
              <w:bidi w:val="0"/>
              <w:spacing w:before="0" w:after="0"/>
              <w:ind w:left="0" w:right="0" w:hanging="0"/>
              <w:jc w:val="left"/>
              <w:rPr/>
            </w:pPr>
            <w:r>
              <w:rPr/>
              <w:t>​</w:t>
            </w:r>
          </w:p>
        </w:tc>
        <w:tc>
          <w:tcPr>
            <w:tcW w:w="165"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4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46" w:type="dxa"/>
            <w:tcBorders/>
            <w:shd w:fill="CCEEFF" w:val="clear"/>
            <w:vAlign w:val="center"/>
          </w:tcPr>
          <w:p>
            <w:pPr>
              <w:pStyle w:val="TableContents"/>
              <w:bidi w:val="0"/>
              <w:spacing w:before="0" w:after="0"/>
              <w:ind w:left="0" w:right="0" w:hanging="0"/>
              <w:jc w:val="left"/>
              <w:rPr/>
            </w:pPr>
            <w:r>
              <w:rPr/>
              <w:t>​</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46" w:type="dxa"/>
            <w:tcBorders/>
            <w:vAlign w:val="center"/>
          </w:tcPr>
          <w:p>
            <w:pPr>
              <w:pStyle w:val="TableContents"/>
              <w:bidi w:val="0"/>
              <w:spacing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46" w:type="dxa"/>
            <w:tcBorders/>
            <w:vAlign w:val="center"/>
          </w:tcPr>
          <w:p>
            <w:pPr>
              <w:pStyle w:val="TableContents"/>
              <w:bidi w:val="0"/>
              <w:spacing w:before="0" w:after="0"/>
              <w:ind w:left="0" w:right="0" w:hanging="0"/>
              <w:jc w:val="left"/>
              <w:rPr/>
            </w:pPr>
            <w:r>
              <w:rPr/>
              <w:t>​</w:t>
            </w:r>
          </w:p>
        </w:tc>
        <w:tc>
          <w:tcPr>
            <w:tcW w:w="16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financial assets consist mainly of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Contingent consideration liabilities measured at fair value using Level 3 inputs were $0.0 million as of December 31, 2025 and December 31, 2024.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 are met.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did not have any transfers of assets or liabilities between the fair value measurement classifications during the years ended December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59" w:name="Tc_Fr40Zbk5NEaRmuqfhQdgvA_26_11"/>
      <w:bookmarkStart w:id="660" w:name="Tc_frr1V-ZeTUaVa0A3Ng9NGQ_26_8"/>
      <w:bookmarkStart w:id="661" w:name="Tc_Fmv7wjAigkiGxHWc-ee2YA_26_5"/>
      <w:bookmarkStart w:id="662" w:name="Tc_IxzshsyT8EuiFOIUUW-ppw_26_2"/>
      <w:bookmarkStart w:id="663" w:name="Tc_iPOtMkURo0aYIY5JPCHK5w_26_0"/>
      <w:bookmarkStart w:id="664" w:name="Tc_-E1eIKHPXEy3WwZHIIGlaw_25_11"/>
      <w:bookmarkStart w:id="665" w:name="Tc_fcSQMEm8yk-NnKaC5I-gPA_25_8"/>
      <w:bookmarkStart w:id="666" w:name="Tc_k49adhOqc0WWfAEqBK2RFg_25_5"/>
      <w:bookmarkStart w:id="667" w:name="Tc_yBBDBtIuWEWUL6N_UJURiQ_25_2"/>
      <w:bookmarkStart w:id="668" w:name="Tc_y4n2HX7bRUqGNDUZtwqoDg_25_0"/>
      <w:bookmarkStart w:id="669" w:name="Tc_QjnJPrXjlUyFJUt_eVGYZQ_24_0"/>
      <w:bookmarkStart w:id="670" w:name="Tc_qMCELcnWoUyv8gKA53o_iQ_23_11"/>
      <w:bookmarkStart w:id="671" w:name="Tc_3JL0U_e0REeaHpiYKCCL5w_23_8"/>
      <w:bookmarkStart w:id="672" w:name="Tc_8xb1oQzHMUybEHsN4iTXLg_23_5"/>
      <w:bookmarkStart w:id="673" w:name="Tc_-rSHs61j6U6xWt-NIZ3waQ_23_2"/>
      <w:bookmarkStart w:id="674" w:name="Tc_6a5Rz3I_2kaSOtk3248f3A_23_0"/>
      <w:bookmarkStart w:id="675" w:name="Tc_eOzNoe_JPkKZO7cErzBg9w_22_0"/>
      <w:bookmarkStart w:id="676" w:name="Tc_FcEeuPOO2k69Yy_4oiEzJA_21_11"/>
      <w:bookmarkStart w:id="677" w:name="Tc_XPVAFZP1pkGPOFAWU2Ec5Q_21_8"/>
      <w:bookmarkStart w:id="678" w:name="Tc_oPrJL8OdCkaCdGwVhZaLZQ_21_5"/>
      <w:bookmarkStart w:id="679" w:name="Tc_tVscmCSNPEG0rDBhmuSPmA_21_2"/>
      <w:bookmarkStart w:id="680" w:name="Tc_4EerU-1Qzk6vKBbu8Y3aLA_21_0"/>
      <w:bookmarkStart w:id="681" w:name="Tc_tlwaVvACukOmqYSaEoJ70g_20_0"/>
      <w:bookmarkStart w:id="682" w:name="Tc_x7Sob481-kiH4iTRhNT9nQ_19_11"/>
      <w:bookmarkStart w:id="683" w:name="Tc_rUuVhj-2NUGwY4UcNNM8mg_19_9"/>
      <w:bookmarkStart w:id="684" w:name="Tc_sCQmXwO1uUWSuQwjaeC1vQ_19_8"/>
      <w:bookmarkStart w:id="685" w:name="Tc_BCE6jQkovEy8ZXex_-0tww_19_5"/>
      <w:bookmarkStart w:id="686" w:name="Tc_MxSGmnuSr0--vmGUMK8Ytg_19_2"/>
      <w:bookmarkStart w:id="687" w:name="Tc_uh6z-eLyukaaLMjXMswtwA_19_0"/>
      <w:bookmarkStart w:id="688" w:name="Tc_dUiKopxWzkCb6zp1uB1Vfg_18_0"/>
      <w:bookmarkStart w:id="689" w:name="Tc_HWcZK8LtWkuiG0rBUe_BpA_17_0"/>
      <w:bookmarkStart w:id="690" w:name="Tc_j90z3iA2ZEWp-bzTPX3f_w_16_0"/>
      <w:bookmarkStart w:id="691" w:name="Tc_AnKE7rZ7vEGLOSBxbxnRkA_15_11"/>
      <w:bookmarkStart w:id="692" w:name="Tc_xvXma0pdTEmBAdhRGu1b1w_15_8"/>
      <w:bookmarkStart w:id="693" w:name="Tc_F1nufdM7N0OpFZ1_8Ke4MA_15_5"/>
      <w:bookmarkStart w:id="694" w:name="Tc_fAY7GYL2i0OdX6l1KYkHuw_15_2"/>
      <w:bookmarkStart w:id="695" w:name="Tc_CIcV8v74V02gD_PepZhF5g_15_0"/>
      <w:bookmarkStart w:id="696" w:name="Tc_HVj9S9TNy0am5-J9ZzMajA_14_11"/>
      <w:bookmarkStart w:id="697" w:name="Tc_KiHHTyNFaE-4peYoBFXpKw_14_8"/>
      <w:bookmarkStart w:id="698" w:name="Tc_UehvfqND5UCMSIMoDvAutQ_14_5"/>
      <w:bookmarkStart w:id="699" w:name="Tc_izLnwHTM20Sk9HdODtABOA_14_2"/>
      <w:bookmarkStart w:id="700" w:name="Tc_KJzl13xzl0iWrrmeBhL-ww_14_0"/>
      <w:bookmarkStart w:id="701" w:name="Tc_4dGY6eX7mkeOoNwXaGTQ7g_13_0"/>
      <w:bookmarkStart w:id="702" w:name="Tc_DB-cXus54Uq47GUttGk0gA_12_11"/>
      <w:bookmarkStart w:id="703" w:name="Tc_4KxefH6UG0OvKZYjjKoruQ_12_9"/>
      <w:bookmarkStart w:id="704" w:name="Tc_UF68r1UBak6J-B4rUF6GFg_12_8"/>
      <w:bookmarkStart w:id="705" w:name="Tc_D91S0peW6UWJ8MpEiuazDA_12_5"/>
      <w:bookmarkStart w:id="706" w:name="Tc_kO1UgSdNAkOj5Hc5djUkoQ_12_2"/>
      <w:bookmarkStart w:id="707" w:name="Tc__bJKNPAD3UaNiZocgGOmsg_12_0"/>
      <w:bookmarkStart w:id="708" w:name="Tc_fFA2HPO5u0ujBtcc5iWiyw_11_0"/>
      <w:bookmarkStart w:id="709" w:name="Tc_qI08Iq9njEKi6-K5m2PRdQ_10_11"/>
      <w:bookmarkStart w:id="710" w:name="Tc_Y9PXm4qgQ0iT_QeMGu9jmA_10_9"/>
      <w:bookmarkStart w:id="711" w:name="Tc_wey8dfD2-kW9VGXgDO6sgA_10_8"/>
      <w:bookmarkStart w:id="712" w:name="Tc_TAecXj7gPku1KYgzqJda7g_10_5"/>
      <w:bookmarkStart w:id="713" w:name="Tc_o4FULBkgsUqJsXVIBIfecQ_10_2"/>
      <w:bookmarkStart w:id="714" w:name="Tc_l1mLuYGaLU-AjucJWP8Qvg_10_0"/>
      <w:bookmarkStart w:id="715" w:name="Tc_zAb4NM-Hk0m3anT7C8waNQ_9_9"/>
      <w:bookmarkStart w:id="716" w:name="Tc_7CA40ob6d0m0Vy9tcdTp4w_9_0"/>
      <w:bookmarkStart w:id="717" w:name="Tc_guyZrdzacEK1bnWd0PfI4A_8_11"/>
      <w:bookmarkStart w:id="718" w:name="Tc_1Eq-9U2A5keqRM4JoMEMEQ_8_9"/>
      <w:bookmarkStart w:id="719" w:name="Tc_CjklPHMdG0KI48Hq9otpIA_8_8"/>
      <w:bookmarkStart w:id="720" w:name="Tc_2vT6GOhynUWnORsFqeymQw_8_5"/>
      <w:bookmarkStart w:id="721" w:name="Tc_vB6Cx9Ii1EuvclJ5vazr8Q_8_2"/>
      <w:bookmarkStart w:id="722" w:name="Tc_C9wTd3PvOUWLZxiz4pc8sg_8_0"/>
      <w:bookmarkStart w:id="723" w:name="Tc_khEl_L856UWacQ7UT2yqHg_7_0"/>
      <w:bookmarkStart w:id="724" w:name="Tc_S-6Gy4dQBU-epz15A7Lphw_6_0"/>
      <w:bookmarkStart w:id="725" w:name="Tc_0J8LNayU4UOlL3Na6Zx-Vg_5_0"/>
      <w:bookmarkStart w:id="726" w:name="Tc_NJ1ZjkCjzkO-NDoRMEgT5g_4_2"/>
      <w:bookmarkStart w:id="727" w:name="Tc_Imkf3S_x70iY7u41KkQFMQ_3_11"/>
      <w:bookmarkStart w:id="728" w:name="Tc_s3rb8KC2zU67objkfQOI5w_3_8"/>
      <w:bookmarkStart w:id="729" w:name="Tc_kkDEOH1jZ0SQLfKoVVarRg_3_5"/>
      <w:bookmarkStart w:id="730" w:name="Tc_nWWGwU_Go0eR-UmYd2nhFA_3_2"/>
      <w:bookmarkStart w:id="731" w:name="Tc_THhQRgWhsEeFF-P0emZBJw_2_11"/>
      <w:bookmarkStart w:id="732" w:name="Tc_xkyHHJw46E-Vn6L6-lP5Jw_2_8"/>
      <w:bookmarkStart w:id="733" w:name="Tc_IZHO8GUhx0-D8lJDe8FxvA_2_5"/>
      <w:bookmarkStart w:id="734" w:name="Tc_9zrdhUD4zUKMzgGBVWiXpg_2_2"/>
      <w:bookmarkStart w:id="735" w:name="Tc_2-ltHq75N0yS4sjz-oTZNQ_1_8"/>
      <w:bookmarkStart w:id="736" w:name="Tc_TNHJANwt8k6i9fW-b8O6oQ_1_5"/>
      <w:bookmarkStart w:id="737" w:name="_d2cf1977_b18f_46d6_9240_ec9d8fb9a880"/>
      <w:bookmarkStart w:id="738" w:name="_759670"/>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r>
        <w:rPr>
          <w:rFonts w:ascii="Times New Roman;Times;serif" w:hAnsi="Times New Roman;Times;serif"/>
          <w:b/>
          <w:sz w:val="20"/>
        </w:rPr>
        <w:t>(5) Marketable Securities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9386" w:type="dxa"/>
        <w:jc w:val="left"/>
        <w:tblInd w:w="0" w:type="dxa"/>
        <w:tblLayout w:type="fixed"/>
        <w:tblCellMar>
          <w:top w:w="0" w:type="dxa"/>
          <w:left w:w="0" w:type="dxa"/>
          <w:bottom w:w="0" w:type="dxa"/>
          <w:right w:w="0" w:type="dxa"/>
        </w:tblCellMar>
      </w:tblPr>
      <w:tblGrid>
        <w:gridCol w:w="4141"/>
        <w:gridCol w:w="346"/>
        <w:gridCol w:w="211"/>
        <w:gridCol w:w="781"/>
        <w:gridCol w:w="346"/>
        <w:gridCol w:w="239"/>
        <w:gridCol w:w="647"/>
        <w:gridCol w:w="346"/>
        <w:gridCol w:w="270"/>
        <w:gridCol w:w="616"/>
        <w:gridCol w:w="346"/>
        <w:gridCol w:w="211"/>
        <w:gridCol w:w="886"/>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629535" cy="175260"/>
                      <wp:effectExtent l="0" t="0" r="0" b="0"/>
                      <wp:wrapNone/>
                      <wp:docPr id="212" name="Frame211"/>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95935" cy="175260"/>
                      <wp:effectExtent l="0" t="0" r="0" b="0"/>
                      <wp:wrapNone/>
                      <wp:docPr id="215" name="Frame2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1765" cy="175260"/>
                      <wp:effectExtent l="0" t="0" r="0" b="0"/>
                      <wp:wrapNone/>
                      <wp:docPr id="217" name="Frame21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10845" cy="175260"/>
                      <wp:effectExtent l="0" t="0" r="0" b="0"/>
                      <wp:wrapNone/>
                      <wp:docPr id="218" name="Frame217"/>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1450" cy="175260"/>
                      <wp:effectExtent l="0" t="0" r="0" b="0"/>
                      <wp:wrapNone/>
                      <wp:docPr id="220" name="Frame21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91160" cy="175260"/>
                      <wp:effectExtent l="0" t="0" r="0" b="0"/>
                      <wp:wrapNone/>
                      <wp:docPr id="221" name="Frame22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62610" cy="175260"/>
                      <wp:effectExtent l="0" t="0" r="0" b="0"/>
                      <wp:wrapNone/>
                      <wp:docPr id="224" name="Frame2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938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and municipal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151,270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151,749</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193,628</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194,234</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257,064</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257,437</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37,980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38,031</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295,044</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295,468</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488,672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and municipal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185,855</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102,331</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287,719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288,358</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336,350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336,646</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72,139</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408,489</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408,567</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696,208</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696,925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holds investment grade marketable securities. Unrealized losses are generally attributable to changes in interest rates. The aggregate fair value of marketable securities held by the Company in an unrealized loss position as of December 31, 2025 and December 31, 2024 was $19.4 million and $142.5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December 31, 2025 and December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Marketable securities include $4.4 million and $6.1 million in accrued interest at December 31, 2025 and 2024, respectively.</w:t>
      </w:r>
    </w:p>
    <w:p>
      <w:pPr>
        <w:pStyle w:val="TextBody"/>
        <w:bidi w:val="0"/>
        <w:spacing w:before="0" w:after="240"/>
        <w:ind w:left="0" w:right="0" w:hanging="0"/>
        <w:jc w:val="left"/>
        <w:rPr>
          <w:rFonts w:ascii="Times New Roman;Times;serif" w:hAnsi="Times New Roman;Times;serif"/>
          <w:b/>
          <w:sz w:val="20"/>
        </w:rPr>
      </w:pPr>
      <w:bookmarkStart w:id="739" w:name="Tc_prRdwnYvM0Gz1rjyOJNRQg_11_5"/>
      <w:bookmarkStart w:id="740" w:name="Tc_nNbac9jCUkOn3Nfmbw_WIg_11_2"/>
      <w:bookmarkStart w:id="741" w:name="Tc_J9WwFfMvUUuqjJoQgZN2_A_11_0"/>
      <w:bookmarkStart w:id="742" w:name="Tc_RVU2HWKYU0WtugapiHZfew_10_0"/>
      <w:bookmarkStart w:id="743" w:name="Tc_c-dNJdSRoE-OvD5diSHTwA_9_0"/>
      <w:bookmarkStart w:id="744" w:name="Tc_O6UMZ90kRk6G--EaQzqwNA_8_0"/>
      <w:bookmarkStart w:id="745" w:name="Tc_2U5aSdcG0ky6ThSHvqh3QA_7_0"/>
      <w:bookmarkStart w:id="746" w:name="Tc_pVoc_EHpSEeEPNye5w_Hvw_6_0"/>
      <w:bookmarkStart w:id="747" w:name="Tc_w5SWYVvg10-OPlTJRHngzw_5_0"/>
      <w:bookmarkStart w:id="748" w:name="Tc_7xZTp4tmEUmM6M84JHcR6w_4_5"/>
      <w:bookmarkStart w:id="749" w:name="Tc_Tpuhf5ikWE2VSOOlTusJnw_4_2"/>
      <w:bookmarkStart w:id="750" w:name="Tc_CrFeP81NHEGPb2hpDX-ggA_4_0"/>
      <w:bookmarkStart w:id="751" w:name="Tc_dID_yoFMm0iITofB7uYcuA_3_2"/>
      <w:bookmarkStart w:id="752" w:name="Tc_LRng1r-QMkmZKoZWjbGpfQ_2_5"/>
      <w:bookmarkStart w:id="753" w:name="Tc_zZm2SqJ0YE6ZpLgvlsMAXg_2_2"/>
      <w:bookmarkStart w:id="754" w:name="Tc_IxQzNZZdvEqObBL0XIwiwg_1_5"/>
      <w:bookmarkStart w:id="755" w:name="Tc_A75NB3oxs0aeStp6TE5auw_1_2"/>
      <w:bookmarkStart w:id="756" w:name="_8af6faad_c420_4b7d_aef8_b87ed9e75823"/>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r>
        <w:rPr>
          <w:rFonts w:ascii="Times New Roman;Times;serif" w:hAnsi="Times New Roman;Times;serif"/>
          <w:b/>
          <w:sz w:val="20"/>
        </w:rPr>
        <w:t>(6) Property and Equipment,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Property and Equipment, net includes the following:</w:t>
      </w:r>
    </w:p>
    <w:p>
      <w:pPr>
        <w:pStyle w:val="TextBody"/>
        <w:bidi w:val="0"/>
        <w:spacing w:before="0" w:after="0"/>
        <w:ind w:left="0" w:right="0" w:hanging="0"/>
        <w:jc w:val="left"/>
        <w:rPr/>
      </w:pPr>
      <w:r>
        <w:rPr/>
        <w:t>​</w:t>
      </w:r>
    </w:p>
    <w:tbl>
      <w:tblPr>
        <w:tblW w:w="7128" w:type="dxa"/>
        <w:jc w:val="left"/>
        <w:tblInd w:w="0" w:type="dxa"/>
        <w:tblLayout w:type="fixed"/>
        <w:tblCellMar>
          <w:top w:w="0" w:type="dxa"/>
          <w:left w:w="0" w:type="dxa"/>
          <w:bottom w:w="0" w:type="dxa"/>
          <w:right w:w="0" w:type="dxa"/>
        </w:tblCellMar>
      </w:tblPr>
      <w:tblGrid>
        <w:gridCol w:w="4111"/>
        <w:gridCol w:w="346"/>
        <w:gridCol w:w="254"/>
        <w:gridCol w:w="886"/>
        <w:gridCol w:w="346"/>
        <w:gridCol w:w="252"/>
        <w:gridCol w:w="933"/>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610485" cy="175260"/>
                      <wp:effectExtent l="0" t="0" r="0" b="0"/>
                      <wp:wrapNone/>
                      <wp:docPr id="225" name="Frame22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1290" cy="175260"/>
                      <wp:effectExtent l="0" t="0" r="0" b="0"/>
                      <wp:wrapNone/>
                      <wp:docPr id="227" name="Frame22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62610" cy="175260"/>
                      <wp:effectExtent l="0" t="0" r="0" b="0"/>
                      <wp:wrapNone/>
                      <wp:docPr id="228" name="Frame2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0020" cy="175260"/>
                      <wp:effectExtent l="0" t="0" r="0" b="0"/>
                      <wp:wrapNone/>
                      <wp:docPr id="230" name="Frame22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92455" cy="175260"/>
                      <wp:effectExtent l="0" t="0" r="0" b="0"/>
                      <wp:wrapNone/>
                      <wp:docPr id="231" name="Frame23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346" w:type="dxa"/>
            <w:tcBorders/>
            <w:shd w:fill="CCEEFF" w:val="clear"/>
            <w:vAlign w:val="center"/>
          </w:tcPr>
          <w:p>
            <w:pPr>
              <w:pStyle w:val="TableContents"/>
              <w:bidi w:val="0"/>
              <w:spacing w:before="0" w:after="0"/>
              <w:ind w:left="0" w:right="0" w:hanging="0"/>
              <w:jc w:val="center"/>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10,657</w:t>
            </w:r>
          </w:p>
        </w:tc>
        <w:tc>
          <w:tcPr>
            <w:tcW w:w="346" w:type="dxa"/>
            <w:tcBorders/>
            <w:shd w:fill="CCEEFF" w:val="clear"/>
            <w:vAlign w:val="center"/>
          </w:tcPr>
          <w:p>
            <w:pPr>
              <w:pStyle w:val="TableContents"/>
              <w:bidi w:val="0"/>
              <w:spacing w:before="0" w:after="0"/>
              <w:ind w:left="0" w:right="0" w:hanging="0"/>
              <w:jc w:val="center"/>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10,411</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10,338</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29,238</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(23,904)</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5,334</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4,346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Depreciation and amortization expense related to property and equipment was $1.8 million, $1.6 million and $1.5 million for the years ended December 31, 2025, 2024 and 2023, respectively.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757" w:name="Tc_k-0dXYKb3Eutipsm6pR-WA_5_2"/>
      <w:bookmarkStart w:id="758" w:name="Tc_TSmCs00q70ygDVJFnM7geg_5_0"/>
      <w:bookmarkStart w:id="759" w:name="Tc_zyf8VwkNlUWZ_tpzx2c0Ig_4_0"/>
      <w:bookmarkStart w:id="760" w:name="Tc_w3qVgpt4xkWduauN0N0hFw_3_0"/>
      <w:bookmarkStart w:id="761" w:name="Tc_0a-hDOQha02YZbk-igMG_w_2_0"/>
      <w:bookmarkStart w:id="762" w:name="Tc_wNXR9RF85UCZbPnb46QA8A_1_2"/>
      <w:bookmarkStart w:id="763" w:name="Tc_wLpn5LGlGkKr637pzTonoQ_1_0"/>
      <w:bookmarkStart w:id="764" w:name="_d3303bfd_2e9e_4eed_b0c3_889c023669d2"/>
      <w:bookmarkEnd w:id="757"/>
      <w:bookmarkEnd w:id="758"/>
      <w:bookmarkEnd w:id="759"/>
      <w:bookmarkEnd w:id="760"/>
      <w:bookmarkEnd w:id="761"/>
      <w:bookmarkEnd w:id="762"/>
      <w:bookmarkEnd w:id="763"/>
      <w:bookmarkEnd w:id="764"/>
      <w:r>
        <w:rPr>
          <w:rFonts w:ascii="Times New Roman;Times;serif" w:hAnsi="Times New Roman;Times;serif"/>
          <w:b/>
          <w:sz w:val="20"/>
        </w:rPr>
        <w:t>(7)</w:t>
      </w:r>
      <w:r>
        <w:rPr>
          <w:rFonts w:ascii="Times New Roman;Times;serif" w:hAnsi="Times New Roman;Times;serif"/>
          <w:sz w:val="20"/>
        </w:rPr>
        <w:t xml:space="preserve"> </w:t>
      </w:r>
      <w:r>
        <w:rPr>
          <w:rFonts w:ascii="Times New Roman;Times;serif" w:hAnsi="Times New Roman;Times;serif"/>
          <w:b/>
          <w:sz w:val="20"/>
        </w:rPr>
        <w:t>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has operating leases of office, manufacturing and laboratory space, which have remaining lease terms of approximately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years and may include one or more options to renew.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years ended December 31, 2025, 2024 and 2023, the Company recorded </w:t>
      </w:r>
      <w:r>
        <w:rPr>
          <w:rFonts w:ascii="Times New Roman;Times;serif" w:hAnsi="Times New Roman;Times;serif"/>
          <w:b w:val="false"/>
          <w:i w:val="false"/>
          <w:caps w:val="false"/>
          <w:smallCaps w:val="false"/>
          <w:sz w:val="20"/>
        </w:rPr>
        <w:t>right of use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lease liabilities</w:t>
      </w:r>
      <w:r>
        <w:rPr>
          <w:rFonts w:ascii="Times New Roman;Times;serif" w:hAnsi="Times New Roman;Times;serif"/>
          <w:sz w:val="20"/>
        </w:rPr>
        <w:t xml:space="preserve"> of $0.1 million, $2.9 million and $0.1 </w:t>
      </w:r>
      <w:r>
        <w:rPr>
          <w:rFonts w:ascii="Times New Roman;Times;serif" w:hAnsi="Times New Roman;Times;serif"/>
          <w:b w:val="false"/>
          <w:i w:val="false"/>
          <w:caps w:val="false"/>
          <w:smallCaps w:val="false"/>
          <w:sz w:val="20"/>
        </w:rPr>
        <w:t>million</w:t>
      </w:r>
      <w:r>
        <w:rPr>
          <w:rFonts w:ascii="Times New Roman;Times;serif" w:hAnsi="Times New Roman;Times;serif"/>
          <w:sz w:val="20"/>
        </w:rPr>
        <w:t xml:space="preserve"> related to new leases and lease extensions,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Operating lease expense was $2.1 million, $2.0 million and $1.9 million for years ended December 31, 2025, 2024 and 2023, respectively. Variable lease expense was $0.9 million, $0.8 million and $0.8 million for years ended December 31, 2025, 2024 and 2023, respectively. Cash paid for amounts included in the measurement of operating lease liabilities was $2.1 million, $2.0 million and $2.0 million for the years ended December 31, 2025, 2024 and 2023, respectively. As of December 31, 2025, the weighted-average remaining lease term was 1 year and the weighted-average discount rate was 10.0%, compared to a weighted-average remaining lease term of 2 years and weighted average discount rate of 10.0% as of December 31, 2024.</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Company entered into a lease agreement for approximately 40,400 square feet of office and laboratory space in New Haven, Connecticut. The lease is scheduled to commence in 2026 and the Company plans to relocate its existing New Haven operations to the new space in 2026. The initial lease term is 5.5 years with three renewal options of five years each. Future minimum lease payments under this lease total approximately $4.5 million and are </w:t>
      </w:r>
      <w:r>
        <w:rPr>
          <w:rFonts w:ascii="Times New Roman;Times;serif" w:hAnsi="Times New Roman;Times;serif"/>
          <w:b w:val="false"/>
          <w:i w:val="false"/>
          <w:caps w:val="false"/>
          <w:smallCaps w:val="false"/>
          <w:sz w:val="20"/>
        </w:rPr>
        <w:t>not included</w:t>
      </w:r>
      <w:r>
        <w:rPr>
          <w:rFonts w:ascii="Times New Roman;Times;serif" w:hAnsi="Times New Roman;Times;serif"/>
          <w:sz w:val="20"/>
        </w:rPr>
        <w:t xml:space="preserve"> in the future minimum lease payments table below, as the lease had not commenced as of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minimum lease payments under non-cancellable leases as of December 31, 2025 were as follows:</w:t>
      </w:r>
    </w:p>
    <w:tbl>
      <w:tblPr>
        <w:tblW w:w="4744" w:type="dxa"/>
        <w:jc w:val="left"/>
        <w:tblInd w:w="0" w:type="dxa"/>
        <w:tblLayout w:type="fixed"/>
        <w:tblCellMar>
          <w:top w:w="0" w:type="dxa"/>
          <w:left w:w="0" w:type="dxa"/>
          <w:bottom w:w="0" w:type="dxa"/>
          <w:right w:w="0" w:type="dxa"/>
        </w:tblCellMar>
      </w:tblPr>
      <w:tblGrid>
        <w:gridCol w:w="3511"/>
        <w:gridCol w:w="346"/>
        <w:gridCol w:w="211"/>
        <w:gridCol w:w="67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229485" cy="175260"/>
                      <wp:effectExtent l="0" t="0" r="0" b="0"/>
                      <wp:wrapNone/>
                      <wp:docPr id="232" name="Frame231"/>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235" name="Frame2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(8) Intangible Assets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At December 31, 2025 and 2024, the carrying value of the Company’s indefinite-lived intangible assets was $27.2 million. Indefinite-lived intangible assets consist of acquired in-process research and development (“IPR&amp;D”) related to the development of the anti-KIT program (including barzolvolimab). Barzolvolimab is in Phase 3 development. As of December 31, 2025, the IPR&amp;D asset related to the anti-KIT program had not reached technological feasibility nor did the asset have alternative future uses.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performed its annual impairment test of the IPR&amp;D asset related to the development of the anti-KIT program (including barzolvolimab) during the fourth quarter of 2025 and concluded that the IPR&amp;D asset was not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Other Assets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$12.8 million and $9.6 million at December 31, 2025 and December 31,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5" w:name="Tc_sx3FTcqxE0Wlwn1U8jU3VA_8_5"/>
      <w:bookmarkStart w:id="766" w:name="Tc_g9yvb4rBlEmWTmf9kDckQg_8_2"/>
      <w:bookmarkStart w:id="767" w:name="Tc_Mmvr14av7EeVnXdfbkLECw_7_0"/>
      <w:bookmarkStart w:id="768" w:name="Tc_bA-17CymzEyMCKVQTHcLrg_6_0"/>
      <w:bookmarkStart w:id="769" w:name="Tc_l2WsV_LxT0KkgYNitglfeQ_5_0"/>
      <w:bookmarkStart w:id="770" w:name="Tc_VF1473jwhkaT0wRprjZaYQ_4_5"/>
      <w:bookmarkStart w:id="771" w:name="Tc_-lHsqmo7ZUCIy1O6-M5gaQ_4_2"/>
      <w:bookmarkStart w:id="772" w:name="Tc_uTTpSFvqskSmsoY8MZMDwg_4_0"/>
      <w:bookmarkStart w:id="773" w:name="Tc_ypXFhaeGnkKNu4qZKAle-w_3_2"/>
      <w:bookmarkStart w:id="774" w:name="Tc_0cFFK2Ne6U-w6gS54YuTVQ_2_5"/>
      <w:bookmarkStart w:id="775" w:name="Tc_XW4qCg1vE0-wChn1sOmOig_2_2"/>
      <w:bookmarkStart w:id="776" w:name="Tc_9BOO3S0gqEKcJyh0v-fMHw_1_5"/>
      <w:bookmarkStart w:id="777" w:name="Tc_bUhj5Sa-mEOiawJbSI3dAA_1_2"/>
      <w:bookmarkEnd w:id="765"/>
      <w:bookmarkEnd w:id="766"/>
      <w:bookmarkEnd w:id="767"/>
      <w:bookmarkEnd w:id="768"/>
      <w:bookmarkEnd w:id="769"/>
      <w:bookmarkEnd w:id="770"/>
      <w:bookmarkEnd w:id="771"/>
      <w:bookmarkEnd w:id="772"/>
      <w:bookmarkEnd w:id="773"/>
      <w:bookmarkEnd w:id="774"/>
      <w:bookmarkEnd w:id="775"/>
      <w:bookmarkEnd w:id="776"/>
      <w:bookmarkEnd w:id="777"/>
      <w:r>
        <w:rPr>
          <w:rFonts w:ascii="Times New Roman;Times;serif" w:hAnsi="Times New Roman;Times;serif"/>
          <w:b/>
          <w:sz w:val="20"/>
        </w:rPr>
        <w:t>(10) Accrued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Accrued expenses include the following: </w:t>
      </w:r>
    </w:p>
    <w:p>
      <w:pPr>
        <w:pStyle w:val="TextBody"/>
        <w:bidi w:val="0"/>
        <w:spacing w:before="0" w:after="0"/>
        <w:ind w:left="0" w:right="0" w:hanging="0"/>
        <w:jc w:val="left"/>
        <w:rPr/>
      </w:pPr>
      <w:r>
        <w:rPr/>
        <w:t>​</w:t>
      </w:r>
    </w:p>
    <w:tbl>
      <w:tblPr>
        <w:tblW w:w="7038" w:type="dxa"/>
        <w:jc w:val="left"/>
        <w:tblInd w:w="0" w:type="dxa"/>
        <w:tblLayout w:type="fixed"/>
        <w:tblCellMar>
          <w:top w:w="0" w:type="dxa"/>
          <w:left w:w="0" w:type="dxa"/>
          <w:bottom w:w="0" w:type="dxa"/>
          <w:right w:w="0" w:type="dxa"/>
        </w:tblCellMar>
      </w:tblPr>
      <w:tblGrid>
        <w:gridCol w:w="4111"/>
        <w:gridCol w:w="346"/>
        <w:gridCol w:w="260"/>
        <w:gridCol w:w="835"/>
        <w:gridCol w:w="346"/>
        <w:gridCol w:w="242"/>
        <w:gridCol w:w="898"/>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610485" cy="175260"/>
                      <wp:effectExtent l="0" t="0" r="0" b="0"/>
                      <wp:wrapNone/>
                      <wp:docPr id="236" name="Frame23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5100" cy="175260"/>
                      <wp:effectExtent l="0" t="0" r="0" b="0"/>
                      <wp:wrapNone/>
                      <wp:docPr id="238" name="Frame23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30225" cy="175260"/>
                      <wp:effectExtent l="0" t="0" r="0" b="0"/>
                      <wp:wrapNone/>
                      <wp:docPr id="239" name="Frame238"/>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53670" cy="175260"/>
                      <wp:effectExtent l="0" t="0" r="0" b="0"/>
                      <wp:wrapNone/>
                      <wp:docPr id="241" name="Frame24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70230" cy="175260"/>
                      <wp:effectExtent l="0" t="0" r="0" b="0"/>
                      <wp:wrapNone/>
                      <wp:docPr id="242" name="Frame24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research and development contract costs</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47,029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33,842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8" w:name="Tc_6vwxwXlX1EGG-zocz1TJqw_9_5"/>
      <w:bookmarkStart w:id="779" w:name="Tc_TumLX2aG70-66LPpbSzkMw_9_2"/>
      <w:bookmarkStart w:id="780" w:name="Tc_MpELA5kg3U2KZUUHc06Cnw_9_0"/>
      <w:bookmarkStart w:id="781" w:name="Tc_dhzd00dJ_kWcK4dw0WKFSg_8_0"/>
      <w:bookmarkStart w:id="782" w:name="Tc_VKZd3hUisUSAluOdn67Ehw_7_0"/>
      <w:bookmarkStart w:id="783" w:name="Tc_UHV96n8pKEaYsm44QmfDEQ_6_0"/>
      <w:bookmarkStart w:id="784" w:name="Tc_Wnqc74H4X0mQyVFR60nH8w_5_0"/>
      <w:bookmarkStart w:id="785" w:name="Tc_-mr-SwRfFEWivBNfUjXbZw_4_5"/>
      <w:bookmarkStart w:id="786" w:name="Tc_BTqtfUVJZkaHV9COLJD96Q_4_2"/>
      <w:bookmarkStart w:id="787" w:name="Tc_iMpg1u3a3k6rRXPI_hbYIA_4_0"/>
      <w:bookmarkStart w:id="788" w:name="Tc_gCiXM7QpBE-2Olfao6q7VA_3_2"/>
      <w:bookmarkStart w:id="789" w:name="Tc_70nlPJri20K5jvqzyInV2g_2_5"/>
      <w:bookmarkStart w:id="790" w:name="Tc_Sr6b6UWOtkqEEsdyt1dOAw_2_2"/>
      <w:bookmarkStart w:id="791" w:name="Tc_-_eDeJgSb0qhH9hDHN2pgA_1_5"/>
      <w:bookmarkStart w:id="792" w:name="Tc_rtYj-puwz0i_ZNufsfX14A_1_2"/>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b/>
          <w:sz w:val="20"/>
        </w:rPr>
        <w:t>(11) Other Long-Term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503" w:type="dxa"/>
        <w:jc w:val="left"/>
        <w:tblInd w:w="0" w:type="dxa"/>
        <w:tblLayout w:type="fixed"/>
        <w:tblCellMar>
          <w:top w:w="0" w:type="dxa"/>
          <w:left w:w="0" w:type="dxa"/>
          <w:bottom w:w="0" w:type="dxa"/>
          <w:right w:w="0" w:type="dxa"/>
        </w:tblCellMar>
      </w:tblPr>
      <w:tblGrid>
        <w:gridCol w:w="4486"/>
        <w:gridCol w:w="346"/>
        <w:gridCol w:w="285"/>
        <w:gridCol w:w="855"/>
        <w:gridCol w:w="346"/>
        <w:gridCol w:w="281"/>
        <w:gridCol w:w="90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848610" cy="175260"/>
                      <wp:effectExtent l="0" t="0" r="0" b="0"/>
                      <wp:wrapNone/>
                      <wp:docPr id="243" name="Frame242"/>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0975" cy="175260"/>
                      <wp:effectExtent l="0" t="0" r="0" b="0"/>
                      <wp:wrapNone/>
                      <wp:docPr id="245" name="Frame24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42925" cy="175260"/>
                      <wp:effectExtent l="0" t="0" r="0" b="0"/>
                      <wp:wrapNone/>
                      <wp:docPr id="246" name="Frame245"/>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78435" cy="175260"/>
                      <wp:effectExtent l="0" t="0" r="0" b="0"/>
                      <wp:wrapNone/>
                      <wp:docPr id="248" name="Frame24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74040" cy="175260"/>
                      <wp:effectExtent l="0" t="0" r="0" b="0"/>
                      <wp:wrapNone/>
                      <wp:docPr id="249" name="Frame24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5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16)</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from sale of tax benefits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14)</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3,473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in other income related to the sale of these tax benefits during the years ended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Stockholders’ Equity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2023, the Company filed an automatic shelf registration statement with the SEC to register for sale any combination of the types of securities described in the shelf registration statement, including shares of its common stock. Also in November 2023, the Company issued 8,538,750 shares of its common stock in an underwritten public offering resulting in net proceeds to the Company of $216.2 million, after deducting underwriting fees and offering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26, 2024, the Company entered into a controlled equity offering sales agreement (“ATM Agreement”) with Cantor Fitzgerald &amp; Co. (“Cantor”) to allow the Company to issue and sell shares of its common stock from time to time through Cantor, acting as agent. At December 31, 2025, the Company had registered $300.0 million of its common stock to be sold pursuant to the Company’s ATM Agreement, all of which remained unsold as of that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2024, the Company issued 9,798,000 shares of its common stock in an underwritten public offering resulting in net proceeds to the Company of $432.3 million, after deducting underwriting fees and offering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Convertible Preferred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2025,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2025 or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93" w:name="Tc_VE35_vqWS0e94HPigeINmg_13_0"/>
      <w:bookmarkStart w:id="794" w:name="Tc_CJpGKUKmy0SZSZS1vSMOLw_12_4"/>
      <w:bookmarkStart w:id="795" w:name="Tc_CuH-5b1osUKcrFMWFJw3Uw_12_0"/>
      <w:bookmarkStart w:id="796" w:name="Tc_mVqln-BZc0ywSNv7P1U0yw_11_4"/>
      <w:bookmarkStart w:id="797" w:name="Tc_qVwt3iXg_Uus0X_GCRogvw_11_0"/>
      <w:bookmarkStart w:id="798" w:name="Tc__MAMIqI1tU6ANYFr9vYgFA_10_4"/>
      <w:bookmarkStart w:id="799" w:name="Tc_pPU0XxZ40ky8ee-uVo-Zqw_10_0"/>
      <w:bookmarkStart w:id="800" w:name="Tc_CUh2UntibUKf-Y7C8U0ENg_9_4"/>
      <w:bookmarkStart w:id="801" w:name="Tc_GyulDLlMfEyQu0lOQHHNXw_9_0"/>
      <w:bookmarkStart w:id="802" w:name="Tc_ItuStCb8f0KV2syEF67UDQ_8_4"/>
      <w:bookmarkStart w:id="803" w:name="Tc_obBix3umHk-M17VIPuYWrg_8_0"/>
      <w:bookmarkStart w:id="804" w:name="Tc_B8s4tmjw-063xaCCjEwzYw_7_4"/>
      <w:bookmarkStart w:id="805" w:name="Tc_c1-Ed_5KK0WRVJl6_LC_7w_7_0"/>
      <w:bookmarkStart w:id="806" w:name="Tc_ne1AtcF0-0-uJ-fba8Gw7w_6_4"/>
      <w:bookmarkStart w:id="807" w:name="Tc_RDVmNJ6xjUqr8QXm4WGGXw_6_0"/>
      <w:bookmarkStart w:id="808" w:name="Tc_ojtSnRaw7Ey0LItQH18cNg_5_7"/>
      <w:bookmarkStart w:id="809" w:name="Tc_ePqX7weEo0W1KbFaZKb6CQ_5_4"/>
      <w:bookmarkStart w:id="810" w:name="Tc_SuRL7nsUo0mqF8RRiHIG3w_5_2"/>
      <w:bookmarkStart w:id="811" w:name="Tc_n2ZDVPXBHk2kRHIQwG1XLg_4_7"/>
      <w:bookmarkStart w:id="812" w:name="Tc_dfL8CGDwGkeGBYhm1kMPwA_4_4"/>
      <w:bookmarkStart w:id="813" w:name="Tc_DtVa65zFFk67YW9JQkIqNg_3_7"/>
      <w:bookmarkStart w:id="814" w:name="Tc_skL1PwauW0yMEz-8xqcigQ_3_4"/>
      <w:bookmarkStart w:id="815" w:name="Tc_XQPl5YQOMUeadrIDdRQ9fA_2_7"/>
      <w:bookmarkStart w:id="816" w:name="Tc_m56rBxFZwEqBIa-GRQFq6g_2_4"/>
      <w:bookmarkStart w:id="817" w:name="Tc_Cd0MoZBleUyyi8IV-NFxlA_1_7"/>
      <w:bookmarkStart w:id="818" w:name="Tc_XSf-HEoFLEmFRN0JKMUX3Q_1_4"/>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b/>
          <w:sz w:val="20"/>
        </w:rPr>
        <w:t>(13) Stock-Based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the following stock-based compensation plans: the 2004 Employee Stock Purchase Plan (the “2004 ESPP Plan”), the 2008 Stock Option and Incentive Plan (the “2008 Plan”) and the 2021 Omnibus Equity Incentive Plan (the “2021 Plan”). There are no shares available for future grant under the 2008 Plan. Outstanding options under the 2008 Plan will be rolled into the 2021 Plan if canceled.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2025, a total of 276,666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2025, 2024 and 2023, the Company issued 21,565, 13,187 and 12,729 shares under the 2004 ESPP Plan, respectively. At December 31, 2025, 128,751 shares were available for issuance under the 2004 ESPP Plan.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Employee Stock Option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to employees, consultants and non-employee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Plan allows for grants of new awards until April 19, 2031. As of December 31, 2025, there were 1,343,593 shares outstanding under the 2008 Plan that will be rolled into the 2021 Plan if canceled.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2021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summary of stock option activity for the year ended December 31, 2025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26"/>
        <w:gridCol w:w="346"/>
        <w:gridCol w:w="931"/>
        <w:gridCol w:w="346"/>
        <w:gridCol w:w="222"/>
        <w:gridCol w:w="604"/>
        <w:gridCol w:w="346"/>
        <w:gridCol w:w="1284"/>
      </w:tblGrid>
      <w:tr>
        <w:trPr/>
        <w:tc>
          <w:tcPr>
            <w:tcW w:w="6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890010" cy="175260"/>
                      <wp:effectExtent l="0" t="0" r="0" b="0"/>
                      <wp:wrapNone/>
                      <wp:docPr id="250" name="Frame249"/>
                      <a:graphic xmlns:a="http://schemas.openxmlformats.org/drawingml/2006/main">
                        <a:graphicData uri="http://schemas.microsoft.com/office/word/2010/wordprocessingShape">
                          <wps:wsp>
                            <wps:cNvSpPr txBox="1"/>
                            <wps:spPr>
                              <a:xfrm>
                                <a:off x="0" y="0"/>
                                <a:ext cx="389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91185" cy="175260"/>
                      <wp:effectExtent l="0" t="0" r="0" b="0"/>
                      <wp:wrapNone/>
                      <wp:docPr id="252" name="Frame2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0970" cy="175260"/>
                      <wp:effectExtent l="0" t="0" r="0" b="0"/>
                      <wp:wrapNone/>
                      <wp:docPr id="254" name="Frame25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83540" cy="175260"/>
                      <wp:effectExtent l="0" t="0" r="0" b="0"/>
                      <wp:wrapNone/>
                      <wp:docPr id="255" name="Frame254"/>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815340" cy="175260"/>
                      <wp:effectExtent l="0" t="0" r="0" b="0"/>
                      <wp:wrapNone/>
                      <wp:docPr id="257" name="Frame256"/>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6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w:t>
            </w:r>
          </w:p>
        </w:tc>
        <w:tc>
          <w:tcPr>
            <w:tcW w:w="128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6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0"/>
              <w:ind w:left="0" w:right="0" w:hanging="0"/>
              <w:jc w:val="center"/>
              <w:rPr/>
            </w:pPr>
            <w:r>
              <w:rPr/>
              <w:t>​</w:t>
            </w:r>
          </w:p>
        </w:tc>
        <w:tc>
          <w:tcPr>
            <w:tcW w:w="12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6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7,540,109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4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2,154,350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4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pPr>
            <w:r>
              <w:rPr/>
              <w:t>​</w:t>
            </w:r>
          </w:p>
        </w:tc>
      </w:tr>
      <w:tr>
        <w:trPr/>
        <w:tc>
          <w:tcPr>
            <w:tcW w:w="6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(153,328)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34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pPr>
            <w:r>
              <w:rPr/>
              <w:t>​</w:t>
            </w:r>
          </w:p>
        </w:tc>
      </w:tr>
      <w:tr>
        <w:trPr/>
        <w:tc>
          <w:tcPr>
            <w:tcW w:w="6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(406,853)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89.06</w:t>
            </w:r>
          </w:p>
        </w:tc>
        <w:tc>
          <w:tcPr>
            <w:tcW w:w="34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pPr>
            <w:r>
              <w:rPr/>
              <w:t>​</w:t>
            </w:r>
          </w:p>
        </w:tc>
      </w:tr>
      <w:tr>
        <w:trPr/>
        <w:tc>
          <w:tcPr>
            <w:tcW w:w="6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9,134,278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6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December 31,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9,003,451</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4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61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5,284,496</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w:t>
            </w:r>
          </w:p>
        </w:tc>
        <w:tc>
          <w:tcPr>
            <w:tcW w:w="346" w:type="dxa"/>
            <w:tcBorders/>
            <w:shd w:fill="CCEEFF" w:val="clear"/>
            <w:vAlign w:val="center"/>
          </w:tcPr>
          <w:p>
            <w:pPr>
              <w:pStyle w:val="TableContents"/>
              <w:bidi w:val="0"/>
              <w:spacing w:before="0" w:after="0"/>
              <w:ind w:left="0" w:right="0" w:hanging="0"/>
              <w:jc w:val="left"/>
              <w:rPr/>
            </w:pPr>
            <w:r>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61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Celldex Therapeutics, Inc. 2021 Omnibus Equity Incentive Plan (as amended, effective as of June 5, 2025) at December 31, 2025</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2,624,836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intrinsic value of stock options exercised during the years ended December 31, 2025, 2024 and 2023 was $1.6 million, $17.2 million and $2.7 million, respectively. The weighted average grant-date fair value of stock options granted during the years ended December 31, 2025, 2024 and 2023 was $13.72, $26.21 and $28.15, respectively. The total fair value of stock options vested during the years ended December 31, 2025, 2024 and 2023 was $39.5 million, $32.4 million and $20.4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19" w:name="Tc_m1_y7JUgOk2DveuiQiY3eQ_5_0"/>
      <w:bookmarkStart w:id="820" w:name="Tc_lap89FU1NUSRuYp76xt0bg_4_6"/>
      <w:bookmarkStart w:id="821" w:name="Tc_rVO7sVsMZEO4WHhmkP7MnQ_4_4"/>
      <w:bookmarkStart w:id="822" w:name="Tc_8HVyE8NnmUGWi4RPGw8LJA_4_2"/>
      <w:bookmarkStart w:id="823" w:name="Tc_mrrRB5PlbkKMdA4VjeFM4w_4_0"/>
      <w:bookmarkStart w:id="824" w:name="Tc_P7Fqh7hCzkmHOXJRx7dBYw_3_6"/>
      <w:bookmarkStart w:id="825" w:name="Tc_E0Sjw40uW0-33O8HDTh1VA_3_4"/>
      <w:bookmarkStart w:id="826" w:name="Tc_D0IMGGZ_HEm108uZycNJMA_3_2"/>
      <w:bookmarkStart w:id="827" w:name="Tc_CwYpVjyCMEGNP-EY5yfbvA_3_0"/>
      <w:bookmarkStart w:id="828" w:name="Tc_8H24eV3RMkm2mTLO3duQ1g_2_4"/>
      <w:bookmarkStart w:id="829" w:name="Tc_rjs9eMX7b0izCGgDD4X17w_2_2"/>
      <w:bookmarkStart w:id="830" w:name="Tc_wFWs626ovkOe49VleYfmig_2_0"/>
      <w:bookmarkStart w:id="831" w:name="Tc_XTURcAFrkUyJe0FJhY6aBg_1_6"/>
      <w:bookmarkStart w:id="832" w:name="Tc_Q_ilOJqjnE6aNEBx_stzeg_1_4"/>
      <w:bookmarkStart w:id="833" w:name="Tc_Osn8r6MWY0eYksmYpVLMrA_1_2"/>
      <w:bookmarkStart w:id="834" w:name="Tc_39Sum0Z9yUGljgp6LICqYw_5_8"/>
      <w:bookmarkStart w:id="835" w:name="Tc_5sG3Si_J7UOLh52FDqtHAA_5_5"/>
      <w:bookmarkStart w:id="836" w:name="Tc_JsDigNfQwk2jsNyevB_GTg_5_2"/>
      <w:bookmarkStart w:id="837" w:name="Tc_qQPbL-ojYUSCekbxe0bJkQ_5_0"/>
      <w:bookmarkStart w:id="838" w:name="Tc_MVRC5-r9p0yjWE66yT7_yw_4_0"/>
      <w:bookmarkStart w:id="839" w:name="Tc_u2g-aK4eH0uAnihYn_SCNA_3_8"/>
      <w:bookmarkStart w:id="840" w:name="Tc_NN9JtoY8XkSjJbjcvIhcJg_3_5"/>
      <w:bookmarkStart w:id="841" w:name="Tc_S1Ev6dm8bUqvU-RDsw3EXw_3_2"/>
      <w:bookmarkStart w:id="842" w:name="Tc_uS34p_V010K_VG7Hq2nJFQ_3_0"/>
      <w:bookmarkStart w:id="843" w:name="Tc_aAu_oztw-0-b61eVspgJxw_2_2"/>
      <w:bookmarkStart w:id="844" w:name="Tc_NUBjN5L6KkubQl2_21eLHQ_1_8"/>
      <w:bookmarkStart w:id="845" w:name="Tc_zqU7Ck0s10GwpKvPW8HUCw_1_5"/>
      <w:bookmarkStart w:id="846" w:name="Tc_p5LR9gZxnUORmvIZ4Oj99A_1_2"/>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Times New Roman;Times;serif" w:hAnsi="Times New Roman;Times;serif"/>
          <w:sz w:val="20"/>
        </w:rPr>
        <w:t>The aggregate intrinsic value of stock options outstanding at December 31, 2025 was $42.6 million. The aggregate intrinsic value of stock options vested and expected to vest at December 31, 2025 was $42.0 million. The aggregate intrinsic value of stock options exercisable at December 31, 2025 was $26.4 million. As of December 31, 2025, total compensation cost related to non-vested employee and non-employee director stock options not yet recognized was approximately $65.3 million, net of estimated forfeitures, which is expected to be recognized as expense over a weighted average period of 2.6 years.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Valuation and Expenses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Stock-based compensation expense for the years ended December 31, 2025, 2024 and 2023 was recorded as follows:</w:t>
      </w:r>
    </w:p>
    <w:p>
      <w:pPr>
        <w:pStyle w:val="TextBody"/>
        <w:bidi w:val="0"/>
        <w:spacing w:before="0" w:after="0"/>
        <w:ind w:left="0" w:right="0" w:hanging="0"/>
        <w:jc w:val="left"/>
        <w:rPr/>
      </w:pPr>
      <w:r>
        <w:rPr/>
        <w:t>​</w:t>
      </w:r>
    </w:p>
    <w:tbl>
      <w:tblPr>
        <w:tblW w:w="7255" w:type="dxa"/>
        <w:jc w:val="left"/>
        <w:tblInd w:w="0" w:type="dxa"/>
        <w:tblLayout w:type="fixed"/>
        <w:tblCellMar>
          <w:top w:w="0" w:type="dxa"/>
          <w:left w:w="0" w:type="dxa"/>
          <w:bottom w:w="0" w:type="dxa"/>
          <w:right w:w="0" w:type="dxa"/>
        </w:tblCellMar>
      </w:tblPr>
      <w:tblGrid>
        <w:gridCol w:w="3451"/>
        <w:gridCol w:w="346"/>
        <w:gridCol w:w="211"/>
        <w:gridCol w:w="676"/>
        <w:gridCol w:w="346"/>
        <w:gridCol w:w="211"/>
        <w:gridCol w:w="676"/>
        <w:gridCol w:w="346"/>
        <w:gridCol w:w="211"/>
        <w:gridCol w:w="78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1385" cy="175260"/>
                      <wp:effectExtent l="0" t="0" r="0" b="0"/>
                      <wp:wrapNone/>
                      <wp:docPr id="258" name="Frame25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61" name="Frame2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29260" cy="175260"/>
                      <wp:effectExtent l="0" t="0" r="0" b="0"/>
                      <wp:wrapNone/>
                      <wp:docPr id="264" name="Frame2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95935" cy="175260"/>
                      <wp:effectExtent l="0" t="0" r="0" b="0"/>
                      <wp:wrapNone/>
                      <wp:docPr id="267" name="Frame2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5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5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23,890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values of employee and director stock options granted during the years ended December 31, 2025, 2024 and 2023 were valued using the Black-Scholes option pricing model with the following assumptions:</w:t>
      </w:r>
    </w:p>
    <w:p>
      <w:pPr>
        <w:pStyle w:val="TextBody"/>
        <w:bidi w:val="0"/>
        <w:spacing w:before="0" w:after="0"/>
        <w:ind w:left="0" w:right="0" w:hanging="0"/>
        <w:jc w:val="left"/>
        <w:rPr/>
      </w:pPr>
      <w:r>
        <w:rPr/>
        <w:t>​</w:t>
      </w:r>
    </w:p>
    <w:tbl>
      <w:tblPr>
        <w:tblW w:w="6547" w:type="dxa"/>
        <w:jc w:val="left"/>
        <w:tblInd w:w="0" w:type="dxa"/>
        <w:tblLayout w:type="fixed"/>
        <w:tblCellMar>
          <w:top w:w="0" w:type="dxa"/>
          <w:left w:w="0" w:type="dxa"/>
          <w:bottom w:w="0" w:type="dxa"/>
          <w:right w:w="0" w:type="dxa"/>
        </w:tblCellMar>
      </w:tblPr>
      <w:tblGrid>
        <w:gridCol w:w="2626"/>
        <w:gridCol w:w="346"/>
        <w:gridCol w:w="976"/>
        <w:gridCol w:w="346"/>
        <w:gridCol w:w="931"/>
        <w:gridCol w:w="346"/>
        <w:gridCol w:w="97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667510" cy="175260"/>
                      <wp:effectExtent l="0" t="0" r="0" b="0"/>
                      <wp:wrapNone/>
                      <wp:docPr id="268" name="Frame26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19760" cy="175260"/>
                      <wp:effectExtent l="0" t="0" r="0" b="0"/>
                      <wp:wrapNone/>
                      <wp:docPr id="270" name="Frame26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91185" cy="175260"/>
                      <wp:effectExtent l="0" t="0" r="0" b="0"/>
                      <wp:wrapNone/>
                      <wp:docPr id="272"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19760" cy="175260"/>
                      <wp:effectExtent l="0" t="0" r="0" b="0"/>
                      <wp:wrapNone/>
                      <wp:docPr id="274" name="Frame27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76</w:t>
            </w:r>
            <w:r>
              <w:rPr>
                <w:rFonts w:ascii="Times New Roman;Times;serif" w:hAnsi="Times New Roman;Times;serif"/>
                <w:sz w:val="20"/>
              </w:rPr>
              <w:t xml:space="preserve"> – </w:t>
            </w:r>
            <w:r>
              <w:rPr>
                <w:rFonts w:ascii="Times New Roman;Times;serif" w:hAnsi="Times New Roman;Times;serif"/>
                <w:sz w:val="22"/>
              </w:rPr>
              <w:t>81%</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82 -93%</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term</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 – 4.7%</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3.5 - 4.5%</w:t>
            </w:r>
          </w:p>
        </w:tc>
        <w:tc>
          <w:tcPr>
            <w:tcW w:w="34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3.5 - 4.7%</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 price. The Company recognized $1.4 million, $7.0 million and $6.6 million in revenue under the agreements with Rockefeller during the years ended December 31, 2025, 2024 and 2023,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2025 and 2024, the Company’s rights to consideration under all contracts were considered unconditional, and as such, no contract assets were recorded. Accordingly, amounts billed but not yet paid by customers were recorded as trade receivables at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2025, the Company had $1.8 million in contract liabilities recorded, representing consideration billed in advance of performing manufacturing and research and development services. The Company expects to recognize this amount as revenue over the next 24 months as the related services are performed.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2024, the Company had no material contract liabilities recorded and revenue recognized from contract liabilities as of December 31, 2024 during the year ended December 31, 2025 was not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Collaboration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license agreements whereby the Company has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Nonrefundable license fee expense of $0.2 million, $0.2 million and $0.3 million was recorded to research and development expense for the years ended December 31, 2025, 2024 and 2023,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Yale University (Yale)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a license agreement with Yale, the Company may be required to make a one-time payment to Yale of $3.0 million with respect to barzolvolimab upon achievement of a specified commercial milestone. In addition, the Company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pStyle w:val="TextBody"/>
        <w:bidi w:val="0"/>
        <w:spacing w:before="0" w:after="240"/>
        <w:ind w:left="0" w:right="0" w:hanging="0"/>
        <w:jc w:val="left"/>
        <w:rPr>
          <w:rFonts w:ascii="Times New Roman;Times;serif" w:hAnsi="Times New Roman;Times;serif"/>
          <w:b/>
          <w:sz w:val="20"/>
        </w:rPr>
      </w:pPr>
      <w:bookmarkStart w:id="847" w:name="Tc_6h4ccRz6skaRyvskXVE85Q_13_6"/>
      <w:bookmarkStart w:id="848" w:name="Tc_R3i5ddqygEWZsMTqRw5Gmg_13_3"/>
      <w:bookmarkStart w:id="849" w:name="Tc_C-yrp3hNm0eM2LbzDaixSA_13_2"/>
      <w:bookmarkStart w:id="850" w:name="Tc_5tq0862rHkmMQgKE0hbxWg_13_0"/>
      <w:bookmarkStart w:id="851" w:name="Tc_2YGoef2xrkaZkOop7Bv60Q_12_6"/>
      <w:bookmarkStart w:id="852" w:name="Tc_y1xb1xj-hEKhbKStDgXG4Q_12_0"/>
      <w:bookmarkStart w:id="853" w:name="Tc_ODZUVbsg602eWJTXnOszqA_11_6"/>
      <w:bookmarkStart w:id="854" w:name="Tc_9hvZ1OqQkkuxkKR45rOrEw_11_0"/>
      <w:bookmarkStart w:id="855" w:name="Tc_-ZBZGc1lXEiV-uZZvaZQqQ_10_6"/>
      <w:bookmarkStart w:id="856" w:name="Tc_0p2iPHTq7U6EHRxh9ecnxg_10_0"/>
      <w:bookmarkStart w:id="857" w:name="Tc_5QxTnXL_I0mhGeiJ_w-HHA_9_6"/>
      <w:bookmarkStart w:id="858" w:name="Tc_PKsfP0fdjk2eiaIxWVjPAg_9_0"/>
      <w:bookmarkStart w:id="859" w:name="Tc_L1HFRfqMO0SJzjPqtzOxUA_8_0"/>
      <w:bookmarkStart w:id="860" w:name="Tc_x0v64AFrIkeNZ3YSwzASSQ_7_6"/>
      <w:bookmarkStart w:id="861" w:name="Tc_NESR-Lt9CEm13r8FcTzcTw_7_3"/>
      <w:bookmarkStart w:id="862" w:name="Tc_Idhb00yDgEGUBu2Nkm5I3Q_7_0"/>
      <w:bookmarkStart w:id="863" w:name="Tc_7ov2onftYEWYQ4JqEKcJ3w_6_0"/>
      <w:bookmarkStart w:id="864" w:name="Tc_bRW-f-53o0iQFNrca3q-wA_5_6"/>
      <w:bookmarkStart w:id="865" w:name="Tc_1zSpdHjsG0GE8ErLSjLerQ_5_0"/>
      <w:bookmarkStart w:id="866" w:name="Tc_Sz7snErzzUqGbpJgxocOgw_4_6"/>
      <w:bookmarkStart w:id="867" w:name="Tc_A-GMGT_aGkKOX8HMZRSdxg_4_0"/>
      <w:bookmarkStart w:id="868" w:name="Tc_wx4WOSQihUS2THwyrjG_SQ_3_2"/>
      <w:bookmarkStart w:id="869" w:name="Tc_9_LemWHWLE2xuyMu82MFyA_3_0"/>
      <w:bookmarkStart w:id="870" w:name="Tc_1RsUBeos_kSPa2t4r4Z-zQ_2_2"/>
      <w:bookmarkStart w:id="871" w:name="Tc_pS9Hep9RMU2clv0qIOAxYA_1_2"/>
      <w:bookmarkStart w:id="872" w:name="Tc_gX3N8mi1U0mGV3vUuAs-hg_10_9"/>
      <w:bookmarkStart w:id="873" w:name="Tc_BaN4ToPTLEas-w-fkOOhdw_10_8"/>
      <w:bookmarkStart w:id="874" w:name="Tc_hb2TMemqEEqpd4T9cV0WwA_10_6"/>
      <w:bookmarkStart w:id="875" w:name="Tc_sxxu2sQZbUq7pS4STeRo7w_10_5"/>
      <w:bookmarkStart w:id="876" w:name="Tc_S5Vbz9dXo0291keX10jauw_10_3"/>
      <w:bookmarkStart w:id="877" w:name="Tc_28e2K-lgQU6T1jOp09hQmw_10_2"/>
      <w:bookmarkStart w:id="878" w:name="Tc_z6JhmI5vdkWY3OqJOuakrw_9_0"/>
      <w:bookmarkStart w:id="879" w:name="Tc_fbtQjEx_pkOqvi1IuGx5jA_7_3"/>
      <w:bookmarkStart w:id="880" w:name="Tc_uvoH14g3E0Sww0SFo7ZCpA_7_0"/>
      <w:bookmarkStart w:id="881" w:name="Tc_b4ErzEDCtkaO9gDQz8VprA_6_0"/>
      <w:bookmarkStart w:id="882" w:name="Tc_-oXHi_Mm50WMcyoy5LEqvQ_5_8"/>
      <w:bookmarkStart w:id="883" w:name="Tc_GgW6U_Oe-E6qHSMszn6Wrg_5_5"/>
      <w:bookmarkStart w:id="884" w:name="Tc_cZp32_kfoUyHFboTH7GHpA_5_2"/>
      <w:bookmarkStart w:id="885" w:name="Tc_zHHsfJ5Bpkav11oj7ma25A_5_0"/>
      <w:bookmarkStart w:id="886" w:name="Tc_vxEPTZOfek-iS6ZRTk0EGg_4_0"/>
      <w:bookmarkStart w:id="887" w:name="Tc_a2-wJLepzkSnXNELyakY0A_3_2"/>
      <w:bookmarkStart w:id="888" w:name="Tc_iGCGOMmGWk2KC0HzkD1xWA_2_8"/>
      <w:bookmarkStart w:id="889" w:name="Tc_D42ZwyA2ZUayPB3ffF4S0A_2_5"/>
      <w:bookmarkStart w:id="890" w:name="Tc_BPs5mAy2FEayj2neJRtr7g_2_2"/>
      <w:bookmarkStart w:id="891" w:name="Tc_F0aACMamlUCIBH3Fgg57oA_1_2"/>
      <w:bookmarkStart w:id="892" w:name="_30d80897_8d16_41e6_bbb3_39b2e4400a28"/>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Times New Roman;Times;serif" w:hAnsi="Times New Roman;Times;serif"/>
          <w:b/>
          <w:sz w:val="20"/>
        </w:rPr>
        <w:t>(16)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income tax benefit (provision) are as follows:</w:t>
      </w:r>
    </w:p>
    <w:p>
      <w:pPr>
        <w:pStyle w:val="TextBody"/>
        <w:bidi w:val="0"/>
        <w:spacing w:before="0" w:after="0"/>
        <w:ind w:left="0" w:right="0" w:hanging="0"/>
        <w:jc w:val="left"/>
        <w:rPr/>
      </w:pPr>
      <w:r>
        <w:rPr/>
        <w:t>​</w:t>
      </w:r>
    </w:p>
    <w:tbl>
      <w:tblPr>
        <w:tblW w:w="7135" w:type="dxa"/>
        <w:jc w:val="left"/>
        <w:tblInd w:w="0" w:type="dxa"/>
        <w:tblLayout w:type="fixed"/>
        <w:tblCellMar>
          <w:top w:w="0" w:type="dxa"/>
          <w:left w:w="0" w:type="dxa"/>
          <w:bottom w:w="0" w:type="dxa"/>
          <w:right w:w="0" w:type="dxa"/>
        </w:tblCellMar>
      </w:tblPr>
      <w:tblGrid>
        <w:gridCol w:w="3031"/>
        <w:gridCol w:w="346"/>
        <w:gridCol w:w="211"/>
        <w:gridCol w:w="796"/>
        <w:gridCol w:w="346"/>
        <w:gridCol w:w="211"/>
        <w:gridCol w:w="796"/>
        <w:gridCol w:w="346"/>
        <w:gridCol w:w="211"/>
        <w:gridCol w:w="84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924685" cy="175260"/>
                      <wp:effectExtent l="0" t="0" r="0" b="0"/>
                      <wp:wrapNone/>
                      <wp:docPr id="275" name="Frame274"/>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05460" cy="175260"/>
                      <wp:effectExtent l="0" t="0" r="0" b="0"/>
                      <wp:wrapNone/>
                      <wp:docPr id="278" name="Frame2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05460" cy="175260"/>
                      <wp:effectExtent l="0" t="0" r="0" b="0"/>
                      <wp:wrapNone/>
                      <wp:docPr id="281" name="Frame2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34035" cy="175260"/>
                      <wp:effectExtent l="0" t="0" r="0" b="0"/>
                      <wp:wrapNone/>
                      <wp:docPr id="284" name="Frame2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3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5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36,067</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13,691</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Expiration of NOLs and R&amp;D credit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(15,141)</w:t>
            </w:r>
          </w:p>
        </w:tc>
      </w:tr>
      <w:tr>
        <w:trPr/>
        <w:tc>
          <w:tcPr>
            <w:tcW w:w="30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34,617</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valuation allowance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(34,617)</w:t>
            </w:r>
          </w:p>
        </w:tc>
      </w:tr>
      <w:tr>
        <w:trPr/>
        <w:tc>
          <w:tcPr>
            <w:tcW w:w="30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did not recognize any income tax expense for the years ended December 31, 2025, 2024, and 2023 as the Company was subject to a valuation allowance. The Company did not make any income tax payments in 2025, 2024, and 2023.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adopted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prospectively in 2025. A reconciliation between the amount of reported income tax and the amount computed using the U.S. statutory rate for 2025 under ASU 2023-09 is as follows:</w:t>
      </w:r>
    </w:p>
    <w:p>
      <w:pPr>
        <w:pStyle w:val="TextBody"/>
        <w:bidi w:val="0"/>
        <w:spacing w:before="0" w:after="0"/>
        <w:ind w:left="0" w:right="0" w:firstLine="360"/>
        <w:jc w:val="left"/>
        <w:rPr/>
      </w:pPr>
      <w:r>
        <w:rPr/>
        <w:t>​</w:t>
      </w:r>
    </w:p>
    <w:tbl>
      <w:tblPr>
        <w:tblW w:w="8450" w:type="dxa"/>
        <w:jc w:val="left"/>
        <w:tblInd w:w="0" w:type="dxa"/>
        <w:tblLayout w:type="fixed"/>
        <w:tblCellMar>
          <w:top w:w="0" w:type="dxa"/>
          <w:left w:w="0" w:type="dxa"/>
          <w:bottom w:w="0" w:type="dxa"/>
          <w:right w:w="0" w:type="dxa"/>
        </w:tblCellMar>
      </w:tblPr>
      <w:tblGrid>
        <w:gridCol w:w="5716"/>
        <w:gridCol w:w="346"/>
        <w:gridCol w:w="216"/>
        <w:gridCol w:w="924"/>
        <w:gridCol w:w="346"/>
        <w:gridCol w:w="586"/>
        <w:gridCol w:w="31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629660" cy="175260"/>
                      <wp:effectExtent l="0" t="0" r="0" b="0"/>
                      <wp:wrapNone/>
                      <wp:docPr id="285" name="Frame28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7160" cy="175260"/>
                      <wp:effectExtent l="0" t="0" r="0" b="0"/>
                      <wp:wrapNone/>
                      <wp:docPr id="287" name="Frame28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86740" cy="175260"/>
                      <wp:effectExtent l="0" t="0" r="0" b="0"/>
                      <wp:wrapNone/>
                      <wp:docPr id="288" name="Frame287"/>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72110" cy="175260"/>
                      <wp:effectExtent l="0" t="0" r="0" b="0"/>
                      <wp:wrapNone/>
                      <wp:docPr id="290" name="Frame28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0660" cy="175260"/>
                      <wp:effectExtent l="0" t="0" r="0" b="0"/>
                      <wp:wrapNone/>
                      <wp:docPr id="291" name="Frame29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7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loss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(258,757)</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at statutory rates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(54,339)</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(11,809)</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taxes and change in valuation allowance, net of Federal Income</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48,972</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893" w:name="Tc_7DgCUTFqu06MLpMPaGSVsQ_17_5"/>
      <w:bookmarkStart w:id="894" w:name="Tc_ZFRU_4VRik6mRk4zEHFLbA_17_2"/>
      <w:bookmarkStart w:id="895" w:name="Tc_x45vhqs4s0KYOfBlebyeHg_17_0"/>
      <w:bookmarkStart w:id="896" w:name="Tc_zsiV0q7eP0GATY2e6jxWtA_16_0"/>
      <w:bookmarkStart w:id="897" w:name="Tc_b8Cpb1iuyUScequdfvYAJw_15_0"/>
      <w:bookmarkStart w:id="898" w:name="Tc_q4I9wMqLIEmO2Tk3T333RA_14_6"/>
      <w:bookmarkStart w:id="899" w:name="Tc_ts-1SGikiU6O4Y7KJVPUGw_14_0"/>
      <w:bookmarkStart w:id="900" w:name="Tc_TE-EuNRfHk-CTt-Wp72uwQ_13_0"/>
      <w:bookmarkStart w:id="901" w:name="Tc_TjPL1DDlREK-dfMZA7_DXQ_12_0"/>
      <w:bookmarkStart w:id="902" w:name="Tc_51oE4UQmxEW8o5fPoGWT9g_10_0"/>
      <w:bookmarkStart w:id="903" w:name="Tc_qydJHcZMJkObLkMhzqwHRg_9_0"/>
      <w:bookmarkStart w:id="904" w:name="Tc_k-MPlVmxTEGBEaemAiQ8GA_8_0"/>
      <w:bookmarkStart w:id="905" w:name="Tc_Fhnl6YLxsUC1i_v9pZAGkA_7_0"/>
      <w:bookmarkStart w:id="906" w:name="Tc_l0zOrIGgcEKJkHs7TuwpRw_6_0"/>
      <w:bookmarkStart w:id="907" w:name="Tc_i5azftYecU6t19GUPeyrIQ_5_5"/>
      <w:bookmarkStart w:id="908" w:name="Tc_--EgsoslZ0WTh-VXOXTGbQ_5_2"/>
      <w:bookmarkStart w:id="909" w:name="Tc_NqwkXDkawEGwIfnYmAt3pw_5_0"/>
      <w:bookmarkStart w:id="910" w:name="Tc_yJJFyr6HS0GqGIYm0MVXnw_4_0"/>
      <w:bookmarkStart w:id="911" w:name="Tc__w8IWdqmiEiufU63cTIfnQ_3_2"/>
      <w:bookmarkStart w:id="912" w:name="Tc_489NyqRcx0yIML4tC_RAKA_2_5"/>
      <w:bookmarkStart w:id="913" w:name="Tc_Z5DeqMjIEEWAGrNv1yWw1g_2_2"/>
      <w:bookmarkStart w:id="914" w:name="Tc_M1QJXC9OQkO3qjv3uTw-jQ_1_5"/>
      <w:bookmarkStart w:id="915" w:name="Tc_2xT5DsHYfEaBu4tkaTelFQ_1_2"/>
      <w:bookmarkStart w:id="916" w:name="Tc_BLlPgGNmu0GrmLlNuJL7UA_10_6"/>
      <w:bookmarkStart w:id="917" w:name="Tc_9iHM-8CHxEeYmDwsj7Yxqw_10_5"/>
      <w:bookmarkStart w:id="918" w:name="Tc_nYRWzbkbRkiecjV1PkqK-Q_10_3"/>
      <w:bookmarkStart w:id="919" w:name="Tc_0ch_UKJ5lkq30-lsNXATMA_10_2"/>
      <w:bookmarkStart w:id="920" w:name="Tc_zcM3uqc46U6ga4I0_GVJHA_10_0"/>
      <w:bookmarkStart w:id="921" w:name="Tc_35p3kfP74EiN1kFLtzRr5A_9_0"/>
      <w:bookmarkStart w:id="922" w:name="Tc_u8WYpXRhyEu6FClwQNapRg_8_0"/>
      <w:bookmarkStart w:id="923" w:name="Tc_UoJRevkPEkyO74AlEwtcrQ_7_0"/>
      <w:bookmarkStart w:id="924" w:name="Tc_fzMwknrHaEaCuqEfZNMaZA_6_0"/>
      <w:bookmarkStart w:id="925" w:name="Tc_j0THXyzXA0mKwtXm86FPhA_5_0"/>
      <w:bookmarkStart w:id="926" w:name="Tc_lkwSnNv1k0OwpQrAe2kRPQ_4_0"/>
      <w:bookmarkStart w:id="927" w:name="Tc_OgZ1uEu1D0eJfyan27LvYw_3_5"/>
      <w:bookmarkStart w:id="928" w:name="Tc_-9aqPAOZ_EWXYOiiqbvzDQ_3_2"/>
      <w:bookmarkStart w:id="929" w:name="Tc_jCqRMSskXU2xHqbRv_BL-Q_3_0"/>
      <w:bookmarkStart w:id="930" w:name="Tc_2PNQsnIF6kmC5cfKRi6quQ_2_2"/>
      <w:bookmarkStart w:id="931" w:name="Tc_zJFhhYPgrkqDfRC2tsmTGg_1_5"/>
      <w:bookmarkStart w:id="932" w:name="Tc_Xw6usBkAs0O3CNhy9gWw9Q_1_2"/>
      <w:bookmarkStart w:id="933" w:name="_b534c162_2507_45a9_8233_3b061564eda1"/>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rPr>
          <w:rFonts w:ascii="Times New Roman;Times;serif" w:hAnsi="Times New Roman;Times;serif"/>
          <w:sz w:val="20"/>
        </w:rPr>
        <w:t>A reconciliation between the amount of reported income tax and the amount computed using the U.S. statutory rate for 2024 and 2023 is as follows:</w:t>
      </w:r>
    </w:p>
    <w:p>
      <w:pPr>
        <w:pStyle w:val="TextBody"/>
        <w:bidi w:val="0"/>
        <w:spacing w:before="0" w:after="0"/>
        <w:ind w:left="0" w:right="0" w:firstLine="360"/>
        <w:jc w:val="left"/>
        <w:rPr/>
      </w:pPr>
      <w:r>
        <w:rPr/>
        <w:t>​</w:t>
      </w:r>
    </w:p>
    <w:tbl>
      <w:tblPr>
        <w:tblW w:w="7507" w:type="dxa"/>
        <w:jc w:val="left"/>
        <w:tblInd w:w="0" w:type="dxa"/>
        <w:tblLayout w:type="fixed"/>
        <w:tblCellMar>
          <w:top w:w="0" w:type="dxa"/>
          <w:left w:w="0" w:type="dxa"/>
          <w:bottom w:w="0" w:type="dxa"/>
          <w:right w:w="0" w:type="dxa"/>
        </w:tblCellMar>
      </w:tblPr>
      <w:tblGrid>
        <w:gridCol w:w="4546"/>
        <w:gridCol w:w="346"/>
        <w:gridCol w:w="211"/>
        <w:gridCol w:w="901"/>
        <w:gridCol w:w="346"/>
        <w:gridCol w:w="211"/>
        <w:gridCol w:w="94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886710" cy="175260"/>
                      <wp:effectExtent l="0" t="0" r="0" b="0"/>
                      <wp:wrapNone/>
                      <wp:docPr id="292" name="Frame291"/>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72135" cy="175260"/>
                      <wp:effectExtent l="0" t="0" r="0" b="0"/>
                      <wp:wrapNone/>
                      <wp:docPr id="295" name="Frame29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00710" cy="175260"/>
                      <wp:effectExtent l="0" t="0" r="0" b="0"/>
                      <wp:wrapNone/>
                      <wp:docPr id="298" name="Frame29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0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(141,429)</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at statutory rates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(29,700)</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(5,237)</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(13,691)</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Expiration of Federal and State NOLs and R&amp;D credits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15,141</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34,617</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2025 and 2024 are as follows:</w:t>
      </w:r>
    </w:p>
    <w:p>
      <w:pPr>
        <w:pStyle w:val="TextBody"/>
        <w:bidi w:val="0"/>
        <w:spacing w:before="0" w:after="0"/>
        <w:ind w:left="0" w:right="0" w:hanging="0"/>
        <w:jc w:val="left"/>
        <w:rPr/>
      </w:pPr>
      <w:r>
        <w:rPr/>
        <w:t>​</w:t>
      </w:r>
    </w:p>
    <w:tbl>
      <w:tblPr>
        <w:tblW w:w="6768" w:type="dxa"/>
        <w:jc w:val="left"/>
        <w:tblInd w:w="0" w:type="dxa"/>
        <w:tblLayout w:type="fixed"/>
        <w:tblCellMar>
          <w:top w:w="0" w:type="dxa"/>
          <w:left w:w="0" w:type="dxa"/>
          <w:bottom w:w="0" w:type="dxa"/>
          <w:right w:w="0" w:type="dxa"/>
        </w:tblCellMar>
      </w:tblPr>
      <w:tblGrid>
        <w:gridCol w:w="3751"/>
        <w:gridCol w:w="346"/>
        <w:gridCol w:w="216"/>
        <w:gridCol w:w="924"/>
        <w:gridCol w:w="346"/>
        <w:gridCol w:w="216"/>
        <w:gridCol w:w="96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381885" cy="175260"/>
                      <wp:effectExtent l="0" t="0" r="0" b="0"/>
                      <wp:wrapNone/>
                      <wp:docPr id="299" name="Frame29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7160" cy="175260"/>
                      <wp:effectExtent l="0" t="0" r="0" b="0"/>
                      <wp:wrapNone/>
                      <wp:docPr id="301" name="Frame30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86740" cy="175260"/>
                      <wp:effectExtent l="0" t="0" r="0" b="0"/>
                      <wp:wrapNone/>
                      <wp:docPr id="302" name="Frame30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7160" cy="175260"/>
                      <wp:effectExtent l="0" t="0" r="0" b="0"/>
                      <wp:wrapNone/>
                      <wp:docPr id="304" name="Frame30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15315" cy="175260"/>
                      <wp:effectExtent l="0" t="0" r="0" b="0"/>
                      <wp:wrapNone/>
                      <wp:docPr id="305" name="Frame304"/>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76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7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245,763</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176,816</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 carryforwards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37,516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24,718</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86,252</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101,047</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380,402</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324,983</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 intangibles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(6,840)</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 and liabilities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372,892</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318,143</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(374,505)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(319,756)</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liability</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has evaluated the positive and negative evidence bearing upon the realizability of its net deferred tax assets and considered its history of losses, ultimately concluding that it is “more likely than not” that the Company will not recognize the benefits of federal and state deferred tax assets and, as such, has maintained a full valuation allowance on its deferred tax assets. The Federal valuation allowance increased $49.0 million and the State valuation allowance increased $5.7 million during the year ended December 31, 2025, primarily due to net operating losses and tax credit carryforwards, offset by a reduction to the capitalized research and development under the One Big Beautiful Bill Act (“OBBBA”) and a reduction to stock compensation.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net deferred tax liability of $1.6 million at December 31, 2025 and 2024, relates to the temporary differences associated with the IPR&amp;D intangible assets acquired in previous business combinations and are not deductible for tax purposes.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December 31, 2025, the Company had federal and state net operating loss carryforwards of $842.9 million and $1.0 billion, respectively, which may be available to offset certain future income tax liabilities. Federal and state net operating loss carryforwards begin to expire in 2026. As of December 31, 2025, the Company also had federal and state research and development tax credit carryforwards of $31.6 million and $7.5 million, respectively, which may be available to offset future income tax liabilities and begin to expire in 2040 and 2029,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July 4, 2025, OBBBA was enacted in the United States. The OBBBA includes significant corporate tax reforms, including (i) the permanent reinstatement of deducting domestic research and development expenditures as incurred (under prior law such expenditures were capitalized and amortized over five years) and (ii) the option to claim 100% accelerated depreciation deductions on qualified property. The corporate tax changes included in the OBBBA did not have a material impact on our effective income tax rate during tax year ended December 31, 2025, and we do not anticipate a material impact on our effective income tax rate in future periods.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performed a study under Internal Revenue Code Section 382 as of June 30, 2024, and concluded that a change in ownership following stock issuances in 2016 and 2020 triggered Section 382 limitations and approximately $758.7 million of federal NOL carryforwards and $48.7 million of federal tax credit carryforwards that were generated through June 30, 2020 will expire unutilized due to Section 382 and 383 limitations. The Company also estimated the amounts of State net operating loss and research and development tax credit carryforwards which will expire unutilized as a result of its annual limitations under Section 382. The Company has excluded these Federal and State tax attributes from the carryforward amounts disclosed above and in the deferred tax assets and liabilities table included in this footnote.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December 31, 2025 and 2024, the Company did not have any unrecognized tax benefits.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(17) Retirement Savings Plan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$0.6 million, $0.5 million and $0.5 million for the years ended December 31, 2025, 2024 and 2023, respectively.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(18) Kolltan Acquisition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July 15, 2022, the Company entered into a definitive settlement agreement between the Company and SRS (the “Settlement Agreement”) and the Company and SRS jointly filed a Stipulation of Dismissal with prejudice relating to the Litigation on July 19,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Pursuant to the terms of the Settlement Agreement, all milestone payments provided for by the Merger Agreement were replaced in their entirety with the following payments, each of which is payable only once:</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$12.5</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Settlement Agreement) of a Phase 2 Clinical Trial (as defined in the Merger Agreement) of barzolvolimab.</w:t>
            </w:r>
          </w:p>
        </w:tc>
      </w:tr>
    </w:tbl>
    <w:tbl>
      <w:tblPr>
        <w:tblW w:w="10205" w:type="dxa"/>
        <w:jc w:val="left"/>
        <w:tblInd w:w="0" w:type="dxa"/>
        <w:tblLayout w:type="fixed"/>
        <w:tblCellMar>
          <w:top w:w="28" w:type="dxa"/>
          <w:left w:w="28" w:type="dxa"/>
          <w:bottom w:w="28" w:type="dxa"/>
          <w:right w:w="28" w:type="dxa"/>
        </w:tblCellMar>
      </w:tblPr>
      <w:tblGrid>
        <w:gridCol w:w="124"/>
        <w:gridCol w:w="370"/>
        <w:gridCol w:w="9711"/>
      </w:tblGrid>
      <w:tr>
        <w:trPr/>
        <w:tc>
          <w:tcPr>
            <w:tcW w:w="124" w:type="dxa"/>
            <w:tcBorders/>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in the Settlement Agreement).</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paid the Initial Payment in cash in July 2022. The Company paid the second milestone for “successful completion” of a Phase 2 Clinical Trial of barzolvolimab in cash in November 2023.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34" w:name="Item9CHANGESINANDDISAGREEMENTS_750440"/>
      <w:bookmarkStart w:id="935" w:name="_4ed56791_979a_407f_a79c_cbc7e3f0fb16"/>
      <w:bookmarkEnd w:id="934"/>
      <w:bookmarkEnd w:id="935"/>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ACCOUNTANTS ON ACCOUNTING AND FINANCIAL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36" w:name="Item9ACONTROLSANDPROCEDURES_562577"/>
      <w:bookmarkStart w:id="937" w:name="_dee2ae88_8cb7_4d6f_8762_70dc27800459"/>
      <w:bookmarkEnd w:id="936"/>
      <w:bookmarkEnd w:id="937"/>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our management evaluated, with the participation of our Chief Executive Officer and Chief Financial Officer, the effectiveness of our disclosure controls and procedures (as defined in Rules 13a- 15(e)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2025.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Management’s Annual Report on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our financial reporting. Internal control over financial reporting is defined in Rules 13a-15(f) and 15d-15(f) under the Exchange Act as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the prevention or timely detection of unauthorized acquisition, use or disposition of assets that could have a material effect on our financial statements.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Times New Roman;Times;serif" w:hAnsi="Times New Roman;Times;serif"/>
          <w:i/>
          <w:sz w:val="20"/>
        </w:rPr>
        <w:t xml:space="preserve">Internal Control — Integrated Framework </w:t>
      </w:r>
      <w:r>
        <w:rPr>
          <w:rFonts w:ascii="Times New Roman;Times;serif" w:hAnsi="Times New Roman;Times;serif"/>
          <w:sz w:val="20"/>
        </w:rPr>
        <w:t>(2013) issued by the Committee of Sponsoring Organizations of the Treadway Commission. Based on this evaluation, our management concluded that our internal control over financial reporting was effective as of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effectiveness of the Company’s internal control over financial reporting as of December 31, 2025, has been audited by PricewaterhouseCoopers LLP, an independent registered public accounting firm, as stated in their report which appears in Item 8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months ended December 31, 2025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938" w:name="Item9BOTHERINFORMATION_750206"/>
      <w:bookmarkStart w:id="939" w:name="_666134eb_f7d3_45b1_ad16_59780ab6f0ac"/>
      <w:bookmarkEnd w:id="938"/>
      <w:bookmarkEnd w:id="939"/>
      <w:r>
        <w:rPr>
          <w:rFonts w:ascii="Times New Roman;Times;serif" w:hAnsi="Times New Roman;Times;serif"/>
          <w:b/>
          <w:sz w:val="20"/>
        </w:rPr>
        <w:t>Item 9B. OTHER INFORMATION</w:t>
      </w:r>
    </w:p>
    <w:tbl>
      <w:tblPr>
        <w:tblW w:w="1071" w:type="dxa"/>
        <w:jc w:val="left"/>
        <w:tblInd w:w="0" w:type="dxa"/>
        <w:tblLayout w:type="fixed"/>
        <w:tblCellMar>
          <w:top w:w="28" w:type="dxa"/>
          <w:left w:w="28" w:type="dxa"/>
          <w:bottom w:w="28" w:type="dxa"/>
          <w:right w:w="28" w:type="dxa"/>
        </w:tblCellMar>
      </w:tblPr>
      <w:tblGrid>
        <w:gridCol w:w="124"/>
        <w:gridCol w:w="316"/>
        <w:gridCol w:w="6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8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December 31, 2025, no director or officer of the Company adopted</w:t>
            </w:r>
            <w:r>
              <w:rPr>
                <w:caps w:val="false"/>
                <w:smallCaps w:val="false"/>
              </w:rPr>
              <w:t xml:space="preserve"> </w:t>
            </w:r>
            <w:r>
              <w:rPr>
                <w:rFonts w:ascii="Times New Roman;Times;serif" w:hAnsi="Times New Roman;Times;serif"/>
                <w:b w:val="false"/>
                <w:i w:val="false"/>
                <w:caps w:val="false"/>
                <w:smallCaps w:val="false"/>
                <w:sz w:val="20"/>
              </w:rPr>
              <w:t>or terminated</w:t>
            </w:r>
            <w:r>
              <w:rPr>
                <w:caps w:val="false"/>
                <w:smallCaps w:val="false"/>
              </w:rPr>
              <w:t xml:space="preserve"> </w:t>
            </w:r>
            <w:r>
              <w:rPr>
                <w:rFonts w:ascii="Times New Roman;Times;serif" w:hAnsi="Times New Roman;Times;serif"/>
                <w:b w:val="false"/>
                <w:i w:val="false"/>
                <w:caps w:val="false"/>
                <w:smallCaps w:val="false"/>
                <w:sz w:val="20"/>
              </w:rPr>
              <w:t>a “Rule 10b5 - 1 trading agreement” or “non - Rule 10b5 - 1 trading agreement,” as each term is defined in Item 408 (a) of Regulation S - K.</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40" w:name="Item9CDISCLOSUREREGARDINGFOREIGNJURISDIC"/>
      <w:bookmarkStart w:id="941" w:name="_2b76153e_5254_443c_936d_d03fe9ac51a1"/>
      <w:bookmarkEnd w:id="940"/>
      <w:bookmarkEnd w:id="941"/>
      <w:r>
        <w:rPr>
          <w:rFonts w:ascii="Times New Roman;Times;serif" w:hAnsi="Times New Roman;Times;serif"/>
          <w:b/>
          <w:sz w:val="20"/>
        </w:rPr>
        <w:t>Item 9C. DISCLOSURE REGARDING FOREIGN JURISDICTIONS THAT PREVENT INSPECTIONS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42" w:name="PARTIII_289421"/>
      <w:bookmarkStart w:id="943" w:name="_416367"/>
      <w:bookmarkStart w:id="944" w:name="_40fa1bc5_8f2d_46e5_a9c5_a5f7f6de9aca"/>
      <w:bookmarkEnd w:id="942"/>
      <w:bookmarkEnd w:id="943"/>
      <w:bookmarkEnd w:id="944"/>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45" w:name="Item10DIRECTORSEXECUTIVE_251619"/>
      <w:bookmarkEnd w:id="945"/>
      <w:r>
        <w:rPr>
          <w:rFonts w:ascii="Times New Roman;Times;serif" w:hAnsi="Times New Roman;Times;serif"/>
          <w:b/>
          <w:sz w:val="20"/>
        </w:rPr>
        <w:t>Item 10. DIRECTORS, EXECUTIVE OFFICERS AND CORPORATE GOVERNANCE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required by this Item 10 will be included in the definitive Proxy Statement for our 2026 Annual Meeting of Stockholders, or the 2026 Proxy Statement, under “Information Regarding Our Current Directors and Executive Officers,” “Delinquent Section 16(a) Reports,” “Code of Business Conduct and Ethics,” “Insider Trading Policy” and “The Board of Directors and Its Committees” and is incorporated herein by reference. If the 2026 Proxy Statement is not filed with the SEC within 120 days after the end of our most recent fiscal year, we will provide such information by means of an amendment to this Annual Report on Form 10-K.</w:t>
      </w:r>
    </w:p>
    <w:p>
      <w:pPr>
        <w:pStyle w:val="TextBody"/>
        <w:bidi w:val="0"/>
        <w:spacing w:before="0" w:after="240"/>
        <w:ind w:left="0" w:right="0" w:hanging="0"/>
        <w:jc w:val="left"/>
        <w:rPr>
          <w:rFonts w:ascii="Times New Roman;Times;serif" w:hAnsi="Times New Roman;Times;serif"/>
          <w:b/>
          <w:sz w:val="20"/>
        </w:rPr>
      </w:pPr>
      <w:bookmarkStart w:id="946" w:name="Item11EXECUTIVECOMPENSATION_659199"/>
      <w:bookmarkStart w:id="947" w:name="_19e9e256_c33b_4da8_b960_d372e7c46454"/>
      <w:bookmarkEnd w:id="946"/>
      <w:bookmarkEnd w:id="947"/>
      <w:r>
        <w:rPr>
          <w:rFonts w:ascii="Times New Roman;Times;serif" w:hAnsi="Times New Roman;Times;serif"/>
          <w:b/>
          <w:sz w:val="20"/>
        </w:rPr>
        <w:t>Item 11. EXECUTIVE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required by this Item 11 will be included in the 2026 Proxy Statement under “Executive Compensation,” and “Compensation Committee Interlocks and Insider Participation,” and is incorporated herein by reference. If the 2026 Proxy Statement is not filed with the SEC within 120 days after the end of our most recent fiscal year, we will provide such information by means of an amendment to this Annual Report on Form 10-K.</w:t>
      </w:r>
    </w:p>
    <w:p>
      <w:pPr>
        <w:pStyle w:val="TextBody"/>
        <w:bidi w:val="0"/>
        <w:spacing w:before="0" w:after="240"/>
        <w:ind w:left="0" w:right="0" w:hanging="0"/>
        <w:jc w:val="left"/>
        <w:rPr>
          <w:rFonts w:ascii="Times New Roman;Times;serif" w:hAnsi="Times New Roman;Times;serif"/>
          <w:b/>
          <w:sz w:val="20"/>
        </w:rPr>
      </w:pPr>
      <w:bookmarkStart w:id="948" w:name="Item12SECURITYOWNERSHIP_108166"/>
      <w:bookmarkStart w:id="949" w:name="_8f87ca6a_437a_41d9_8821_445e8b754949"/>
      <w:bookmarkEnd w:id="948"/>
      <w:bookmarkEnd w:id="949"/>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required by this Item 12 will be included in the 2026 Proxy Statement under “Security Ownership of Certain Beneficial Owners and Management” and “Equity Compensation Plan Information” and is incorporated herein by reference. If the 2026 Proxy Statement is not filed with the SEC within 120 days after the end of our most recent fiscal year, we will provide such information by means of an amendment to this Annual Report on Form 10-K.</w:t>
      </w:r>
    </w:p>
    <w:p>
      <w:pPr>
        <w:pStyle w:val="TextBody"/>
        <w:bidi w:val="0"/>
        <w:spacing w:before="0" w:after="240"/>
        <w:ind w:left="0" w:right="0" w:hanging="0"/>
        <w:jc w:val="left"/>
        <w:rPr>
          <w:rFonts w:ascii="Times New Roman;Times;serif" w:hAnsi="Times New Roman;Times;serif"/>
          <w:b/>
          <w:sz w:val="20"/>
        </w:rPr>
      </w:pPr>
      <w:bookmarkStart w:id="950" w:name="Item13CERTAINRELATIONSHIPSAND_189337"/>
      <w:bookmarkStart w:id="951" w:name="_74be1424_ef95_45dd_8782_3f74a0dacd19"/>
      <w:bookmarkEnd w:id="950"/>
      <w:bookmarkEnd w:id="951"/>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required by this Item 13 will be included in the 2026 Proxy Statement under “Election of Directors” and “Approval of Related Person Transactions and Transactions with Related Persons” and is incorporated herein by reference. If the 2026 Proxy Statement is not filed with the SEC within 120 days after the end of our most recent fiscal year, we will provide such information by means of an amendment to this Annual Report on Form 10-K.</w:t>
      </w:r>
    </w:p>
    <w:p>
      <w:pPr>
        <w:pStyle w:val="TextBody"/>
        <w:bidi w:val="0"/>
        <w:spacing w:before="0" w:after="240"/>
        <w:ind w:left="0" w:right="0" w:hanging="0"/>
        <w:jc w:val="left"/>
        <w:rPr>
          <w:rFonts w:ascii="Times New Roman;Times;serif" w:hAnsi="Times New Roman;Times;serif"/>
          <w:b/>
          <w:sz w:val="20"/>
        </w:rPr>
      </w:pPr>
      <w:bookmarkStart w:id="952" w:name="Item14PRINCIPALACCOUNTINGFEES_43693"/>
      <w:bookmarkStart w:id="953" w:name="_a7468a6f_a7e5_4fa1_81fc_f1392c129db5"/>
      <w:bookmarkEnd w:id="952"/>
      <w:bookmarkEnd w:id="953"/>
      <w:r>
        <w:rPr>
          <w:rFonts w:ascii="Times New Roman;Times;serif" w:hAnsi="Times New Roman;Times;serif"/>
          <w:b/>
          <w:sz w:val="20"/>
        </w:rPr>
        <w:t>Item 14. PRINCIPAL ACCOUNTING FEES AND SERVICES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information required by this Item 14 will be included in the 2026 Proxy Statement under “Independent Registered Public Accounting Firm” and is incorporated herein by reference. If the 2026 Proxy Statement is not filed with the SEC within 120 days after the end of our most recent fiscal year, we will provide such information by means of an amendment to this Annual Report on Form 10-K.</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center"/>
        <w:rPr>
          <w:rFonts w:ascii="Times New Roman;Times;serif" w:hAnsi="Times New Roman;Times;serif"/>
          <w:b/>
          <w:sz w:val="20"/>
        </w:rPr>
      </w:pPr>
      <w:bookmarkStart w:id="954" w:name="PARTIV_712804"/>
      <w:bookmarkStart w:id="955" w:name="_6d4b61a6_29d2_4d3c_bbb5_ef2282557b2d"/>
      <w:bookmarkEnd w:id="954"/>
      <w:bookmarkEnd w:id="955"/>
      <w:r>
        <w:rPr>
          <w:rFonts w:ascii="Times New Roman;Times;serif" w:hAnsi="Times New Roman;Times;serif"/>
          <w:b/>
          <w:sz w:val="20"/>
        </w:rPr>
        <w:t>PART IV</w:t>
      </w:r>
    </w:p>
    <w:p>
      <w:pPr>
        <w:pStyle w:val="TextBody"/>
        <w:bidi w:val="0"/>
        <w:spacing w:before="0" w:after="180"/>
        <w:ind w:left="0" w:right="0" w:hanging="0"/>
        <w:jc w:val="left"/>
        <w:rPr>
          <w:rFonts w:ascii="Times New Roman;Times;serif" w:hAnsi="Times New Roman;Times;serif"/>
          <w:b/>
          <w:sz w:val="20"/>
        </w:rPr>
      </w:pPr>
      <w:bookmarkStart w:id="956" w:name="Item15EXHIBITSFINANCIALSTATEMENT_652110"/>
      <w:bookmarkEnd w:id="956"/>
      <w:r>
        <w:rPr>
          <w:rFonts w:ascii="Times New Roman;Times;serif" w:hAnsi="Times New Roman;Times;serif"/>
          <w:b/>
          <w:sz w:val="20"/>
        </w:rPr>
        <w:t>Item 15. EXHIBITS, FINANCIAL STATEMENT SCHEDULES</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color w:val="231F20"/>
          <w:sz w:val="20"/>
        </w:rPr>
        <w:t>(A)</w:t>
      </w:r>
      <w:r>
        <w:rPr>
          <w:rFonts w:ascii="Times New Roman;Times;serif" w:hAnsi="Times New Roman;Times;serif"/>
          <w:sz w:val="20"/>
        </w:rPr>
        <w:t>The following documents are filed as part of this Form 10-K:</w:t>
      </w:r>
    </w:p>
    <w:tbl>
      <w:tblPr>
        <w:tblW w:w="2406" w:type="dxa"/>
        <w:jc w:val="left"/>
        <w:tblInd w:w="0" w:type="dxa"/>
        <w:tblLayout w:type="fixed"/>
        <w:tblCellMar>
          <w:top w:w="28" w:type="dxa"/>
          <w:left w:w="28" w:type="dxa"/>
          <w:bottom w:w="28" w:type="dxa"/>
          <w:right w:w="28" w:type="dxa"/>
        </w:tblCellMar>
      </w:tblPr>
      <w:tblGrid>
        <w:gridCol w:w="124"/>
        <w:gridCol w:w="331"/>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color w:val="231F20"/>
                <w:sz w:val="20"/>
              </w:rPr>
            </w:pPr>
            <w:r>
              <w:rPr>
                <w:rFonts w:ascii="Times New Roman;Times;serif" w:hAnsi="Times New Roman;Times;serif"/>
                <w:i/>
                <w:color w:val="231F20"/>
                <w:sz w:val="20"/>
              </w:rPr>
              <w:t>(1)</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Financial Statements:</w:t>
            </w:r>
          </w:p>
        </w:tc>
      </w:tr>
    </w:tbl>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Financial Statements and Supplementary Data are included in Part II Item 8 of this report.</w:t>
      </w:r>
    </w:p>
    <w:tbl>
      <w:tblPr>
        <w:tblW w:w="3201" w:type="dxa"/>
        <w:jc w:val="left"/>
        <w:tblInd w:w="0" w:type="dxa"/>
        <w:tblLayout w:type="fixed"/>
        <w:tblCellMar>
          <w:top w:w="0" w:type="dxa"/>
          <w:left w:w="0" w:type="dxa"/>
          <w:bottom w:w="0" w:type="dxa"/>
          <w:right w:w="0" w:type="dxa"/>
        </w:tblCellMar>
      </w:tblPr>
      <w:tblGrid>
        <w:gridCol w:w="124"/>
        <w:gridCol w:w="331"/>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80"/>
              <w:jc w:val="left"/>
              <w:rPr>
                <w:rFonts w:ascii="Times New Roman;Times;serif" w:hAnsi="Times New Roman;Times;serif"/>
                <w:i/>
                <w:sz w:val="20"/>
              </w:rPr>
            </w:pPr>
            <w:r>
              <w:rPr>
                <w:rFonts w:ascii="Times New Roman;Times;serif" w:hAnsi="Times New Roman;Times;serif"/>
                <w:i/>
                <w:sz w:val="20"/>
              </w:rPr>
              <w:t>(2)</w:t>
            </w:r>
          </w:p>
        </w:tc>
        <w:tc>
          <w:tcPr>
            <w:tcW w:w="2746" w:type="dxa"/>
            <w:tcBorders/>
            <w:vAlign w:val="center"/>
          </w:tcPr>
          <w:p>
            <w:pPr>
              <w:pStyle w:val="TableContents"/>
              <w:bidi w:val="0"/>
              <w:spacing w:before="0" w:after="180"/>
              <w:jc w:val="left"/>
              <w:rPr>
                <w:rFonts w:ascii="Times New Roman;Times;serif" w:hAnsi="Times New Roman;Times;serif"/>
                <w:i/>
                <w:sz w:val="20"/>
              </w:rPr>
            </w:pPr>
            <w:r>
              <w:rPr>
                <w:rFonts w:ascii="Times New Roman;Times;serif" w:hAnsi="Times New Roman;Times;serif"/>
                <w:i/>
                <w:sz w:val="20"/>
              </w:rPr>
              <w:t>Financial Statement Schedules:</w:t>
            </w:r>
          </w:p>
        </w:tc>
      </w:tr>
    </w:tbl>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Schedules are omitted since the required information is not applicable or is not present in amounts sufficient to require submission of the schedule, or because the information required is included in the Financial Statements or Notes thereto.</w:t>
      </w:r>
    </w:p>
    <w:tbl>
      <w:tblPr>
        <w:tblW w:w="1341" w:type="dxa"/>
        <w:jc w:val="left"/>
        <w:tblInd w:w="0" w:type="dxa"/>
        <w:tblLayout w:type="fixed"/>
        <w:tblCellMar>
          <w:top w:w="0" w:type="dxa"/>
          <w:left w:w="0" w:type="dxa"/>
          <w:bottom w:w="0" w:type="dxa"/>
          <w:right w:w="0" w:type="dxa"/>
        </w:tblCellMar>
      </w:tblPr>
      <w:tblGrid>
        <w:gridCol w:w="124"/>
        <w:gridCol w:w="331"/>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80"/>
              <w:jc w:val="left"/>
              <w:rPr>
                <w:rFonts w:ascii="Times New Roman;Times;serif" w:hAnsi="Times New Roman;Times;serif"/>
                <w:i/>
                <w:sz w:val="20"/>
              </w:rPr>
            </w:pPr>
            <w:r>
              <w:rPr>
                <w:rFonts w:ascii="Times New Roman;Times;serif" w:hAnsi="Times New Roman;Times;serif"/>
                <w:i/>
                <w:sz w:val="20"/>
              </w:rPr>
              <w:t>(3)</w:t>
            </w:r>
          </w:p>
        </w:tc>
        <w:tc>
          <w:tcPr>
            <w:tcW w:w="886" w:type="dxa"/>
            <w:tcBorders/>
            <w:vAlign w:val="center"/>
          </w:tcPr>
          <w:p>
            <w:pPr>
              <w:pStyle w:val="TableContents"/>
              <w:bidi w:val="0"/>
              <w:spacing w:before="0" w:after="180"/>
              <w:jc w:val="left"/>
              <w:rPr>
                <w:rFonts w:ascii="Times New Roman;Times;serif" w:hAnsi="Times New Roman;Times;serif"/>
                <w:i/>
                <w:sz w:val="20"/>
              </w:rPr>
            </w:pPr>
            <w:r>
              <w:rPr>
                <w:rFonts w:ascii="Times New Roman;Times;serif" w:hAnsi="Times New Roman;Times;serif"/>
                <w:i/>
                <w:sz w:val="20"/>
              </w:rPr>
              <w:t>Exhibits:</w:t>
            </w:r>
          </w:p>
        </w:tc>
      </w:tr>
    </w:tbl>
    <w:tbl>
      <w:tblPr>
        <w:tblW w:w="10205" w:type="dxa"/>
        <w:jc w:val="left"/>
        <w:tblInd w:w="0" w:type="dxa"/>
        <w:tblLayout w:type="fixed"/>
        <w:tblCellMar>
          <w:top w:w="0" w:type="dxa"/>
          <w:left w:w="0" w:type="dxa"/>
          <w:bottom w:w="0" w:type="dxa"/>
          <w:right w:w="0" w:type="dxa"/>
        </w:tblCellMar>
      </w:tblPr>
      <w:tblGrid>
        <w:gridCol w:w="376"/>
        <w:gridCol w:w="346"/>
        <w:gridCol w:w="6184"/>
        <w:gridCol w:w="346"/>
        <w:gridCol w:w="942"/>
        <w:gridCol w:w="346"/>
        <w:gridCol w:w="631"/>
        <w:gridCol w:w="346"/>
        <w:gridCol w:w="688"/>
      </w:tblGrid>
      <w:tr>
        <w:trPr/>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283"/>
              <w:ind w:left="0" w:right="0" w:hanging="0"/>
              <w:jc w:val="left"/>
              <w:rPr>
                <w:sz w:val="4"/>
                <w:szCs w:val="4"/>
              </w:rPr>
            </w:pPr>
            <w:r>
              <w:rPr>
                <w:sz w:val="4"/>
                <w:szCs w:val="4"/>
              </w:rPr>
            </w:r>
          </w:p>
        </w:tc>
      </w:tr>
      <w:tr>
        <w:trPr/>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9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 to</w:t>
            </w:r>
          </w:p>
        </w:tc>
      </w:tr>
      <w:tr>
        <w:trPr/>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and</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88"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w:t>
            </w:r>
          </w:p>
        </w:tc>
      </w:tr>
      <w:tr>
        <w:trPr/>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61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 No.</w:t>
            </w:r>
          </w:p>
        </w:tc>
        <w:tc>
          <w:tcPr>
            <w:tcW w:w="346" w:type="dxa"/>
            <w:tcBorders/>
            <w:vAlign w:val="center"/>
          </w:tcPr>
          <w:p>
            <w:pPr>
              <w:pStyle w:val="TableContents"/>
              <w:bidi w:val="0"/>
              <w:spacing w:before="0" w:after="0"/>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346" w:type="dxa"/>
            <w:tcBorders/>
            <w:vAlign w:val="center"/>
          </w:tcPr>
          <w:p>
            <w:pPr>
              <w:pStyle w:val="TableContents"/>
              <w:bidi w:val="0"/>
              <w:spacing w:before="0" w:after="0"/>
              <w:ind w:left="0" w:right="0" w:hanging="0"/>
              <w:jc w:val="center"/>
              <w:rPr/>
            </w:pPr>
            <w:r>
              <w:rPr/>
              <w:t>  ​ ​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10205" w:type="dxa"/>
            <w:gridSpan w:val="9"/>
            <w:tcBorders/>
            <w:vAlign w:val="center"/>
          </w:tcPr>
          <w:p>
            <w:pPr>
              <w:pStyle w:val="TableContents"/>
              <w:bidi w:val="0"/>
              <w:spacing w:before="80" w:after="100"/>
              <w:ind w:left="0" w:right="0" w:hanging="0"/>
              <w:jc w:val="left"/>
              <w:rPr>
                <w:rFonts w:ascii="Times New Roman;Times;serif" w:hAnsi="Times New Roman;Times;serif"/>
                <w:i/>
                <w:sz w:val="19"/>
              </w:rPr>
            </w:pPr>
            <w:r>
              <w:rPr>
                <w:rFonts w:ascii="Times New Roman;Times;serif" w:hAnsi="Times New Roman;Times;serif"/>
                <w:i/>
                <w:sz w:val="19"/>
              </w:rPr>
              <w:t>Plan of Acquisition, Reorganization, Arrangement, Liquidation or Succession</w:t>
            </w:r>
          </w:p>
        </w:tc>
      </w:tr>
      <w:tr>
        <w:trPr/>
        <w:tc>
          <w:tcPr>
            <w:tcW w:w="376" w:type="dxa"/>
            <w:tcBorders/>
            <w:vAlign w:val="center"/>
          </w:tcPr>
          <w:p>
            <w:pPr>
              <w:pStyle w:val="TableContents"/>
              <w:bidi w:val="0"/>
              <w:spacing w:before="0" w:after="70"/>
              <w:ind w:left="0" w:right="0" w:hanging="0"/>
              <w:jc w:val="right"/>
              <w:rPr>
                <w:rFonts w:ascii="Times New Roman;Times;serif" w:hAnsi="Times New Roman;Times;serif"/>
                <w:sz w:val="19"/>
              </w:rPr>
            </w:pPr>
            <w:r>
              <w:rPr>
                <w:rFonts w:ascii="Times New Roman;Times;serif" w:hAnsi="Times New Roman;Times;serif"/>
                <w:sz w:val="19"/>
              </w:rPr>
              <w:t>1.1</w:t>
            </w:r>
          </w:p>
        </w:tc>
        <w:tc>
          <w:tcPr>
            <w:tcW w:w="346" w:type="dxa"/>
            <w:tcBorders/>
            <w:vAlign w:val="center"/>
          </w:tcPr>
          <w:p>
            <w:pPr>
              <w:pStyle w:val="TableContents"/>
              <w:bidi w:val="0"/>
              <w:spacing w:before="0" w:after="70"/>
              <w:ind w:left="0" w:right="0" w:hanging="0"/>
              <w:jc w:val="left"/>
              <w:rPr/>
            </w:pPr>
            <w:r>
              <w:rPr/>
              <w:t>​</w:t>
            </w:r>
          </w:p>
        </w:tc>
        <w:tc>
          <w:tcPr>
            <w:tcW w:w="6184" w:type="dxa"/>
            <w:tcBorders/>
            <w:vAlign w:val="center"/>
          </w:tcPr>
          <w:p>
            <w:pPr>
              <w:pStyle w:val="TableContents"/>
              <w:bidi w:val="0"/>
              <w:spacing w:before="0" w:after="100"/>
              <w:ind w:left="0" w:right="0" w:hanging="0"/>
              <w:jc w:val="left"/>
              <w:rPr/>
            </w:pPr>
            <w:hyperlink r:id="rId3">
              <w:r>
                <w:rPr>
                  <w:rStyle w:val="InternetLink"/>
                  <w:rFonts w:ascii="Times New Roman;Times;serif" w:hAnsi="Times New Roman;Times;serif"/>
                  <w:b w:val="false"/>
                  <w:i w:val="false"/>
                  <w:caps w:val="false"/>
                  <w:smallCaps w:val="false"/>
                  <w:sz w:val="20"/>
                </w:rPr>
                <w:t>Sales Agreement, dated February 26, 2024, by and between Celldex Therapeutics, Inc. and Cantor Fitzgerald &amp; Co.</w:t>
              </w:r>
            </w:hyperlink>
          </w:p>
        </w:tc>
        <w:tc>
          <w:tcPr>
            <w:tcW w:w="346" w:type="dxa"/>
            <w:tcBorders/>
            <w:vAlign w:val="center"/>
          </w:tcPr>
          <w:p>
            <w:pPr>
              <w:pStyle w:val="TableContents"/>
              <w:bidi w:val="0"/>
              <w:spacing w:before="0" w:after="70"/>
              <w:ind w:left="0" w:right="0" w:hanging="0"/>
              <w:jc w:val="left"/>
              <w:rPr/>
            </w:pPr>
            <w:r>
              <w:rPr/>
              <w:t>​</w:t>
            </w:r>
          </w:p>
        </w:tc>
        <w:tc>
          <w:tcPr>
            <w:tcW w:w="942" w:type="dxa"/>
            <w:tcBorders/>
            <w:vAlign w:val="center"/>
          </w:tcPr>
          <w:p>
            <w:pPr>
              <w:pStyle w:val="TableContents"/>
              <w:bidi w:val="0"/>
              <w:spacing w:before="0" w:after="70"/>
              <w:ind w:left="0" w:right="0" w:hanging="0"/>
              <w:jc w:val="center"/>
              <w:rPr>
                <w:rFonts w:ascii="Times New Roman;Times;serif" w:hAnsi="Times New Roman;Times;serif"/>
                <w:sz w:val="19"/>
              </w:rPr>
            </w:pPr>
            <w:r>
              <w:rPr>
                <w:rFonts w:ascii="Times New Roman;Times;serif" w:hAnsi="Times New Roman;Times;serif"/>
                <w:sz w:val="19"/>
              </w:rPr>
              <w:t>10 – K</w:t>
              <w:br/>
              <w:t>(000 - 15006)</w:t>
            </w:r>
          </w:p>
        </w:tc>
        <w:tc>
          <w:tcPr>
            <w:tcW w:w="346" w:type="dxa"/>
            <w:tcBorders/>
            <w:vAlign w:val="center"/>
          </w:tcPr>
          <w:p>
            <w:pPr>
              <w:pStyle w:val="TableContents"/>
              <w:bidi w:val="0"/>
              <w:spacing w:before="0" w:after="70"/>
              <w:ind w:left="0" w:right="0" w:hanging="0"/>
              <w:jc w:val="center"/>
              <w:rPr/>
            </w:pPr>
            <w:r>
              <w:rPr/>
              <w:t>​</w:t>
            </w:r>
          </w:p>
        </w:tc>
        <w:tc>
          <w:tcPr>
            <w:tcW w:w="631" w:type="dxa"/>
            <w:tcBorders/>
            <w:vAlign w:val="center"/>
          </w:tcPr>
          <w:p>
            <w:pPr>
              <w:pStyle w:val="TableContents"/>
              <w:bidi w:val="0"/>
              <w:spacing w:before="0" w:after="70"/>
              <w:ind w:left="0" w:right="0" w:hanging="0"/>
              <w:jc w:val="center"/>
              <w:rPr>
                <w:rFonts w:ascii="Times New Roman;Times;serif" w:hAnsi="Times New Roman;Times;serif"/>
                <w:sz w:val="19"/>
              </w:rPr>
            </w:pPr>
            <w:r>
              <w:rPr>
                <w:rFonts w:ascii="Times New Roman;Times;serif" w:hAnsi="Times New Roman;Times;serif"/>
                <w:sz w:val="19"/>
              </w:rPr>
              <w:t>1.1</w:t>
            </w:r>
          </w:p>
        </w:tc>
        <w:tc>
          <w:tcPr>
            <w:tcW w:w="346" w:type="dxa"/>
            <w:tcBorders/>
            <w:vAlign w:val="center"/>
          </w:tcPr>
          <w:p>
            <w:pPr>
              <w:pStyle w:val="TableContents"/>
              <w:bidi w:val="0"/>
              <w:spacing w:before="0" w:after="70"/>
              <w:ind w:left="0" w:right="0" w:hanging="0"/>
              <w:jc w:val="center"/>
              <w:rPr/>
            </w:pPr>
            <w:r>
              <w:rPr/>
              <w:t>​</w:t>
            </w:r>
          </w:p>
        </w:tc>
        <w:tc>
          <w:tcPr>
            <w:tcW w:w="688" w:type="dxa"/>
            <w:tcBorders/>
            <w:vAlign w:val="center"/>
          </w:tcPr>
          <w:p>
            <w:pPr>
              <w:pStyle w:val="TableContents"/>
              <w:bidi w:val="0"/>
              <w:spacing w:before="0" w:after="70"/>
              <w:ind w:left="0" w:right="0" w:hanging="0"/>
              <w:jc w:val="center"/>
              <w:rPr>
                <w:rFonts w:ascii="Times New Roman;Times;serif" w:hAnsi="Times New Roman;Times;serif"/>
                <w:sz w:val="19"/>
              </w:rPr>
            </w:pPr>
            <w:r>
              <w:rPr>
                <w:rFonts w:ascii="Times New Roman;Times;serif" w:hAnsi="Times New Roman;Times;serif"/>
                <w:sz w:val="19"/>
              </w:rPr>
              <w:t>2/26/24</w:t>
            </w:r>
          </w:p>
        </w:tc>
      </w:tr>
      <w:tr>
        <w:trPr/>
        <w:tc>
          <w:tcPr>
            <w:tcW w:w="376" w:type="dxa"/>
            <w:tcBorders/>
            <w:vAlign w:val="center"/>
          </w:tcPr>
          <w:p>
            <w:pPr>
              <w:pStyle w:val="TableContents"/>
              <w:bidi w:val="0"/>
              <w:spacing w:before="0" w:after="70"/>
              <w:ind w:left="0" w:right="0" w:hanging="0"/>
              <w:jc w:val="right"/>
              <w:rPr>
                <w:rFonts w:ascii="Times New Roman;Times;serif" w:hAnsi="Times New Roman;Times;serif"/>
                <w:sz w:val="19"/>
              </w:rPr>
            </w:pPr>
            <w:r>
              <w:rPr>
                <w:rFonts w:ascii="Times New Roman;Times;serif" w:hAnsi="Times New Roman;Times;serif"/>
                <w:sz w:val="19"/>
              </w:rPr>
              <w:t>2.1</w:t>
            </w:r>
          </w:p>
        </w:tc>
        <w:tc>
          <w:tcPr>
            <w:tcW w:w="346" w:type="dxa"/>
            <w:tcBorders/>
            <w:vAlign w:val="center"/>
          </w:tcPr>
          <w:p>
            <w:pPr>
              <w:pStyle w:val="TableContents"/>
              <w:bidi w:val="0"/>
              <w:spacing w:before="0" w:after="70"/>
              <w:ind w:left="0" w:right="0" w:hanging="0"/>
              <w:jc w:val="left"/>
              <w:rPr/>
            </w:pPr>
            <w:r>
              <w:rPr/>
              <w:t>​</w:t>
            </w:r>
          </w:p>
        </w:tc>
        <w:tc>
          <w:tcPr>
            <w:tcW w:w="6184" w:type="dxa"/>
            <w:tcBorders/>
            <w:vAlign w:val="center"/>
          </w:tcPr>
          <w:p>
            <w:pPr>
              <w:pStyle w:val="TableContents"/>
              <w:bidi w:val="0"/>
              <w:spacing w:before="0" w:after="100"/>
              <w:ind w:left="0" w:right="0" w:hanging="0"/>
              <w:jc w:val="left"/>
              <w:rPr/>
            </w:pPr>
            <w:hyperlink r:id="rId4">
              <w:r>
                <w:rPr>
                  <w:rStyle w:val="InternetLink"/>
                  <w:rFonts w:ascii="Times New Roman;Times;serif" w:hAnsi="Times New Roman;Times;serif"/>
                  <w:b w:val="false"/>
                  <w:i w:val="false"/>
                  <w:caps w:val="false"/>
                  <w:smallCaps w:val="false"/>
                  <w:sz w:val="20"/>
                </w:rPr>
                <w:t>Agreement and Plan of Merger, dated as of November 1, 2016, by and among Kolltan Pharmaceuticals, Inc., Celldex Therapeutics, Inc., Connemara Merger Sub 1 Inc. and Connemara Merger Sub 2 LLC.</w:t>
              </w:r>
            </w:hyperlink>
          </w:p>
        </w:tc>
        <w:tc>
          <w:tcPr>
            <w:tcW w:w="346" w:type="dxa"/>
            <w:tcBorders/>
            <w:vAlign w:val="center"/>
          </w:tcPr>
          <w:p>
            <w:pPr>
              <w:pStyle w:val="TableContents"/>
              <w:bidi w:val="0"/>
              <w:spacing w:before="0" w:after="70"/>
              <w:ind w:left="0" w:right="0" w:hanging="0"/>
              <w:jc w:val="left"/>
              <w:rPr/>
            </w:pPr>
            <w:r>
              <w:rPr/>
              <w:t>​</w:t>
            </w:r>
          </w:p>
        </w:tc>
        <w:tc>
          <w:tcPr>
            <w:tcW w:w="942" w:type="dxa"/>
            <w:tcBorders/>
            <w:vAlign w:val="center"/>
          </w:tcPr>
          <w:p>
            <w:pPr>
              <w:pStyle w:val="TableContents"/>
              <w:bidi w:val="0"/>
              <w:spacing w:before="0" w:after="7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346" w:type="dxa"/>
            <w:tcBorders/>
            <w:vAlign w:val="center"/>
          </w:tcPr>
          <w:p>
            <w:pPr>
              <w:pStyle w:val="TableContents"/>
              <w:bidi w:val="0"/>
              <w:spacing w:before="0" w:after="70"/>
              <w:ind w:left="0" w:right="0" w:hanging="0"/>
              <w:jc w:val="center"/>
              <w:rPr/>
            </w:pPr>
            <w:r>
              <w:rPr/>
              <w:t>​</w:t>
            </w:r>
          </w:p>
        </w:tc>
        <w:tc>
          <w:tcPr>
            <w:tcW w:w="631" w:type="dxa"/>
            <w:tcBorders/>
            <w:vAlign w:val="center"/>
          </w:tcPr>
          <w:p>
            <w:pPr>
              <w:pStyle w:val="TableContents"/>
              <w:bidi w:val="0"/>
              <w:spacing w:before="0" w:after="70"/>
              <w:ind w:left="0" w:right="0" w:hanging="0"/>
              <w:jc w:val="center"/>
              <w:rPr>
                <w:rFonts w:ascii="Times New Roman;Times;serif" w:hAnsi="Times New Roman;Times;serif"/>
                <w:sz w:val="19"/>
              </w:rPr>
            </w:pPr>
            <w:r>
              <w:rPr>
                <w:rFonts w:ascii="Times New Roman;Times;serif" w:hAnsi="Times New Roman;Times;serif"/>
                <w:sz w:val="19"/>
              </w:rPr>
              <w:t>2.1</w:t>
            </w:r>
          </w:p>
        </w:tc>
        <w:tc>
          <w:tcPr>
            <w:tcW w:w="346" w:type="dxa"/>
            <w:tcBorders/>
            <w:vAlign w:val="center"/>
          </w:tcPr>
          <w:p>
            <w:pPr>
              <w:pStyle w:val="TableContents"/>
              <w:bidi w:val="0"/>
              <w:spacing w:before="0" w:after="70"/>
              <w:ind w:left="0" w:right="0" w:hanging="0"/>
              <w:jc w:val="center"/>
              <w:rPr/>
            </w:pPr>
            <w:r>
              <w:rPr/>
              <w:t>​</w:t>
            </w:r>
          </w:p>
        </w:tc>
        <w:tc>
          <w:tcPr>
            <w:tcW w:w="688" w:type="dxa"/>
            <w:tcBorders/>
            <w:vAlign w:val="center"/>
          </w:tcPr>
          <w:p>
            <w:pPr>
              <w:pStyle w:val="TableContents"/>
              <w:bidi w:val="0"/>
              <w:spacing w:before="0" w:after="70"/>
              <w:ind w:left="0" w:right="0" w:hanging="0"/>
              <w:jc w:val="center"/>
              <w:rPr>
                <w:rFonts w:ascii="Times New Roman;Times;serif" w:hAnsi="Times New Roman;Times;serif"/>
                <w:sz w:val="19"/>
              </w:rPr>
            </w:pPr>
            <w:r>
              <w:rPr>
                <w:rFonts w:ascii="Times New Roman;Times;serif" w:hAnsi="Times New Roman;Times;serif"/>
                <w:sz w:val="19"/>
              </w:rPr>
              <w:t>11/1/16</w:t>
            </w:r>
          </w:p>
        </w:tc>
      </w:tr>
      <w:tr>
        <w:trPr/>
        <w:tc>
          <w:tcPr>
            <w:tcW w:w="10205" w:type="dxa"/>
            <w:gridSpan w:val="9"/>
            <w:tcBorders/>
            <w:vAlign w:val="center"/>
          </w:tcPr>
          <w:p>
            <w:pPr>
              <w:pStyle w:val="TableContents"/>
              <w:bidi w:val="0"/>
              <w:spacing w:before="0" w:after="100"/>
              <w:ind w:left="0" w:right="0" w:hanging="0"/>
              <w:jc w:val="left"/>
              <w:rPr>
                <w:rFonts w:ascii="Times New Roman;Times;serif" w:hAnsi="Times New Roman;Times;serif"/>
                <w:i/>
                <w:sz w:val="19"/>
              </w:rPr>
            </w:pPr>
            <w:r>
              <w:rPr>
                <w:rFonts w:ascii="Times New Roman;Times;serif" w:hAnsi="Times New Roman;Times;serif"/>
                <w:i/>
                <w:sz w:val="19"/>
              </w:rPr>
              <w:t>Articles of Incorporation and By-Laws</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346" w:type="dxa"/>
            <w:tcBorders/>
            <w:vAlign w:val="center"/>
          </w:tcPr>
          <w:p>
            <w:pPr>
              <w:pStyle w:val="TableContents"/>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S-4</w:t>
              <w:br/>
              <w:t>(333-59215)</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7/16/98</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w:t>
            </w:r>
          </w:p>
        </w:tc>
        <w:tc>
          <w:tcPr>
            <w:tcW w:w="346" w:type="dxa"/>
            <w:tcBorders/>
            <w:vAlign w:val="center"/>
          </w:tcPr>
          <w:p>
            <w:pPr>
              <w:pStyle w:val="TableContents"/>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Amendment of 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S-4</w:t>
              <w:br/>
              <w:t>(333-59215)</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7/16/98</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Second Certificate of Amendment of 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S-4</w:t>
              <w:br/>
              <w:t>(333-59215)</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3.2</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7/16/98</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Third Certificate of Amendment of 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10-Q</w:t>
              <w:br/>
              <w:t>(000-15006)</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5/10/02</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Fourth Certificate of Amendment of 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3/11/08</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Fifth Certificate of Amendment of 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3.2</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3/11/08</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Sixth Certificate of Amendment of 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10-Q</w:t>
              <w:br/>
              <w:t>(000-15006)</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3.7</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11/10/08</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Seventh Certificate of Amendment of Third Restated 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2/8/19</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Second Amended and Restated By-Laws of Celldex Therapeutics, Inc., dated November 3, 2022</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10-Q</w:t>
              <w:br/>
              <w:t>(000-15006)</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11/9/22</w:t>
            </w:r>
          </w:p>
        </w:tc>
      </w:tr>
      <w:tr>
        <w:trPr/>
        <w:tc>
          <w:tcPr>
            <w:tcW w:w="10205" w:type="dxa"/>
            <w:gridSpan w:val="9"/>
            <w:tcBorders/>
            <w:vAlign w:val="center"/>
          </w:tcPr>
          <w:p>
            <w:pPr>
              <w:pStyle w:val="TableContents"/>
              <w:bidi w:val="0"/>
              <w:spacing w:before="0" w:after="100"/>
              <w:ind w:left="0" w:right="0" w:hanging="0"/>
              <w:jc w:val="left"/>
              <w:rPr>
                <w:rFonts w:ascii="Times New Roman;Times;serif" w:hAnsi="Times New Roman;Times;serif"/>
                <w:i/>
                <w:sz w:val="19"/>
              </w:rPr>
            </w:pPr>
            <w:r>
              <w:rPr>
                <w:rFonts w:ascii="Times New Roman;Times;serif" w:hAnsi="Times New Roman;Times;serif"/>
                <w:i/>
                <w:sz w:val="19"/>
              </w:rPr>
              <w:t>Instruments Defining the Rights of Security Holders</w:t>
            </w:r>
          </w:p>
        </w:tc>
      </w:tr>
      <w:tr>
        <w:trPr/>
        <w:tc>
          <w:tcPr>
            <w:tcW w:w="3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w:t>
            </w:r>
          </w:p>
        </w:tc>
        <w:tc>
          <w:tcPr>
            <w:tcW w:w="346" w:type="dxa"/>
            <w:tcBorders/>
            <w:vAlign w:val="center"/>
          </w:tcPr>
          <w:p>
            <w:pPr>
              <w:pStyle w:val="TableContents"/>
              <w:pBdr/>
              <w:bidi w:val="0"/>
              <w:spacing w:before="0" w:after="0"/>
              <w:ind w:left="0" w:right="0" w:hanging="0"/>
              <w:jc w:val="left"/>
              <w:rPr/>
            </w:pPr>
            <w:r>
              <w:rPr/>
              <w:t>​</w:t>
            </w:r>
          </w:p>
        </w:tc>
        <w:tc>
          <w:tcPr>
            <w:tcW w:w="6184"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Specimen of Common Stock Certificate</w:t>
              </w:r>
            </w:hyperlink>
          </w:p>
        </w:tc>
        <w:tc>
          <w:tcPr>
            <w:tcW w:w="346"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4.1</w:t>
            </w:r>
          </w:p>
        </w:tc>
        <w:tc>
          <w:tcPr>
            <w:tcW w:w="346" w:type="dxa"/>
            <w:tcBorders/>
            <w:vAlign w:val="center"/>
          </w:tcPr>
          <w:p>
            <w:pPr>
              <w:pStyle w:val="TableContents"/>
              <w:bidi w:val="0"/>
              <w:spacing w:before="0" w:after="0"/>
              <w:ind w:left="0" w:right="0" w:hanging="0"/>
              <w:jc w:val="center"/>
              <w:rPr/>
            </w:pPr>
            <w:r>
              <w:rPr/>
              <w:t>​</w:t>
            </w:r>
          </w:p>
        </w:tc>
        <w:tc>
          <w:tcPr>
            <w:tcW w:w="688"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2/8/19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2"/>
        <w:gridCol w:w="109"/>
        <w:gridCol w:w="7110"/>
        <w:gridCol w:w="109"/>
        <w:gridCol w:w="992"/>
        <w:gridCol w:w="109"/>
        <w:gridCol w:w="466"/>
        <w:gridCol w:w="109"/>
        <w:gridCol w:w="569"/>
      </w:tblGrid>
      <w:tr>
        <w:trPr/>
        <w:tc>
          <w:tcPr>
            <w:tcW w:w="63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w:t>
            </w:r>
          </w:p>
        </w:tc>
        <w:tc>
          <w:tcPr>
            <w:tcW w:w="109" w:type="dxa"/>
            <w:tcBorders/>
            <w:vAlign w:val="center"/>
          </w:tcPr>
          <w:p>
            <w:pPr>
              <w:pStyle w:val="TableContents"/>
              <w:pBdr/>
              <w:bidi w:val="0"/>
              <w:spacing w:before="0" w:after="0"/>
              <w:ind w:left="0" w:right="0" w:hanging="0"/>
              <w:jc w:val="left"/>
              <w:rPr/>
            </w:pPr>
            <w:r>
              <w:rPr/>
              <w:t>​</w:t>
            </w:r>
          </w:p>
        </w:tc>
        <w:tc>
          <w:tcPr>
            <w:tcW w:w="7110" w:type="dxa"/>
            <w:tcBorders/>
            <w:vAlign w:val="center"/>
          </w:tcPr>
          <w:p>
            <w:pPr>
              <w:pStyle w:val="TableContents"/>
              <w:bidi w:val="0"/>
              <w:spacing w:before="0" w:after="120"/>
              <w:ind w:left="0" w:right="0" w:hanging="0"/>
              <w:jc w:val="left"/>
              <w:rPr/>
            </w:pPr>
            <w:hyperlink r:id="rId15">
              <w:r>
                <w:rPr>
                  <w:rStyle w:val="InternetLink"/>
                  <w:rFonts w:ascii="Times New Roman;Times;serif" w:hAnsi="Times New Roman;Times;serif"/>
                  <w:b w:val="false"/>
                  <w:i w:val="false"/>
                  <w:caps w:val="false"/>
                  <w:smallCaps w:val="false"/>
                  <w:sz w:val="20"/>
                </w:rPr>
                <w:t>Certificate of Designations, Preferences and Rights of a Series of Preferred Stock classifying and designating the Series C-1 Junior Participating Cumulative Preferred Stock</w:t>
              </w:r>
            </w:hyperlink>
          </w:p>
        </w:tc>
        <w:tc>
          <w:tcPr>
            <w:tcW w:w="109"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8-A</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11/8/04</w:t>
            </w:r>
          </w:p>
        </w:tc>
      </w:tr>
      <w:tr>
        <w:trPr/>
        <w:tc>
          <w:tcPr>
            <w:tcW w:w="63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Description of Securities</w:t>
              </w:r>
            </w:hyperlink>
          </w:p>
        </w:tc>
        <w:tc>
          <w:tcPr>
            <w:tcW w:w="109"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4.3</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2/28/23</w:t>
            </w:r>
          </w:p>
        </w:tc>
      </w:tr>
      <w:tr>
        <w:trPr/>
        <w:tc>
          <w:tcPr>
            <w:tcW w:w="10205" w:type="dxa"/>
            <w:gridSpan w:val="9"/>
            <w:tcBorders/>
            <w:vAlign w:val="center"/>
          </w:tcPr>
          <w:p>
            <w:pPr>
              <w:pStyle w:val="TableContents"/>
              <w:bidi w:val="0"/>
              <w:spacing w:before="0" w:after="100"/>
              <w:ind w:left="0" w:right="0" w:hanging="0"/>
              <w:jc w:val="left"/>
              <w:rPr>
                <w:rFonts w:ascii="Times New Roman;Times;serif" w:hAnsi="Times New Roman;Times;serif"/>
                <w:i/>
                <w:sz w:val="19"/>
              </w:rPr>
            </w:pPr>
            <w:r>
              <w:rPr>
                <w:rFonts w:ascii="Times New Roman;Times;serif" w:hAnsi="Times New Roman;Times;serif"/>
                <w:i/>
                <w:sz w:val="19"/>
              </w:rPr>
              <w:t>Material Contracts-License, Collaboration, Supply and Distribution Agreements</w:t>
            </w:r>
          </w:p>
        </w:tc>
      </w:tr>
      <w:tr>
        <w:trPr/>
        <w:tc>
          <w:tcPr>
            <w:tcW w:w="63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17">
              <w:r>
                <w:rPr>
                  <w:rStyle w:val="InternetLink"/>
                  <w:rFonts w:ascii="Times New Roman;Times;serif" w:hAnsi="Times New Roman;Times;serif"/>
                  <w:b w:val="false"/>
                  <w:i w:val="false"/>
                  <w:caps w:val="false"/>
                  <w:smallCaps w:val="false"/>
                  <w:sz w:val="20"/>
                </w:rPr>
                <w:t>Amended and Restated License Agreement by and between the Company and Yale University dated as of July 26, 2022</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10-Q</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11/9/22</w:t>
            </w:r>
          </w:p>
        </w:tc>
      </w:tr>
      <w:tr>
        <w:trPr/>
        <w:tc>
          <w:tcPr>
            <w:tcW w:w="10205" w:type="dxa"/>
            <w:gridSpan w:val="9"/>
            <w:tcBorders/>
            <w:vAlign w:val="center"/>
          </w:tcPr>
          <w:p>
            <w:pPr>
              <w:pStyle w:val="TableContents"/>
              <w:bidi w:val="0"/>
              <w:spacing w:before="0" w:after="100"/>
              <w:ind w:left="0" w:right="0" w:hanging="0"/>
              <w:jc w:val="left"/>
              <w:rPr>
                <w:rFonts w:ascii="Times New Roman;Times;serif" w:hAnsi="Times New Roman;Times;serif"/>
                <w:i/>
                <w:sz w:val="19"/>
              </w:rPr>
            </w:pPr>
            <w:r>
              <w:rPr>
                <w:rFonts w:ascii="Times New Roman;Times;serif" w:hAnsi="Times New Roman;Times;serif"/>
                <w:i/>
                <w:sz w:val="19"/>
              </w:rPr>
              <w:t>Material Contracts-Other</w:t>
            </w:r>
          </w:p>
        </w:tc>
      </w:tr>
      <w:tr>
        <w:trPr/>
        <w:tc>
          <w:tcPr>
            <w:tcW w:w="63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18">
              <w:r>
                <w:rPr>
                  <w:rStyle w:val="InternetLink"/>
                  <w:rFonts w:ascii="Times New Roman;Times;serif" w:hAnsi="Times New Roman;Times;serif"/>
                  <w:b w:val="false"/>
                  <w:i w:val="false"/>
                  <w:caps w:val="false"/>
                  <w:smallCaps w:val="false"/>
                  <w:sz w:val="18"/>
                </w:rPr>
                <w:t>Confidential Settlement Agreement and Mutual Release, dated July 15, 2022, by and between Shareholder Representatives Services LLC, solely in its capacity as Stockholders Representative,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7/18/22</w:t>
            </w:r>
          </w:p>
        </w:tc>
      </w:tr>
      <w:tr>
        <w:trPr/>
        <w:tc>
          <w:tcPr>
            <w:tcW w:w="10205" w:type="dxa"/>
            <w:gridSpan w:val="9"/>
            <w:tcBorders/>
            <w:vAlign w:val="center"/>
          </w:tcPr>
          <w:p>
            <w:pPr>
              <w:pStyle w:val="TableContents"/>
              <w:bidi w:val="0"/>
              <w:spacing w:before="0" w:after="100"/>
              <w:ind w:left="0" w:right="0" w:hanging="0"/>
              <w:jc w:val="left"/>
              <w:rPr>
                <w:rFonts w:ascii="Times New Roman;Times;serif" w:hAnsi="Times New Roman;Times;serif"/>
                <w:sz w:val="18"/>
              </w:rPr>
            </w:pPr>
            <w:r>
              <w:rPr>
                <w:rFonts w:ascii="Times New Roman;Times;serif" w:hAnsi="Times New Roman;Times;serif"/>
                <w:i/>
                <w:sz w:val="19"/>
              </w:rPr>
              <w:t>Material Contracts-</w:t>
            </w:r>
            <w:r>
              <w:rPr>
                <w:rFonts w:ascii="Times New Roman;Times;serif" w:hAnsi="Times New Roman;Times;serif"/>
                <w:sz w:val="18"/>
              </w:rPr>
              <w:t xml:space="preserve"> </w:t>
            </w:r>
            <w:r>
              <w:rPr>
                <w:rFonts w:ascii="Times New Roman;Times;serif" w:hAnsi="Times New Roman;Times;serif"/>
                <w:i/>
                <w:sz w:val="19"/>
              </w:rPr>
              <w:t>Management Contracts and Compensatory Plans</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10.3</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19">
              <w:r>
                <w:rPr>
                  <w:rStyle w:val="InternetLink"/>
                  <w:rFonts w:ascii="Times New Roman;Times;serif" w:hAnsi="Times New Roman;Times;serif"/>
                  <w:b w:val="false"/>
                  <w:i w:val="false"/>
                  <w:caps w:val="false"/>
                  <w:smallCaps w:val="false"/>
                  <w:sz w:val="20"/>
                </w:rPr>
                <w:t>Amendment No. 3 to Celldex Therapeutics, Inc. 2021 Omnibus Equity Incentive Plan</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6/6/25</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10.4</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20">
              <w:r>
                <w:rPr>
                  <w:rStyle w:val="InternetLink"/>
                  <w:rFonts w:ascii="Times New Roman;Times;serif" w:hAnsi="Times New Roman;Times;serif"/>
                  <w:b w:val="false"/>
                  <w:i w:val="false"/>
                  <w:caps w:val="false"/>
                  <w:smallCaps w:val="false"/>
                  <w:sz w:val="20"/>
                </w:rPr>
                <w:t>Amendment No. 2 to Celldex Therapeutics, Inc. 2021 Omnibus Equity Incentive Plan</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6/14/24</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10.5</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21">
              <w:r>
                <w:rPr>
                  <w:rStyle w:val="InternetLink"/>
                  <w:rFonts w:ascii="Times New Roman;Times;serif" w:hAnsi="Times New Roman;Times;serif"/>
                  <w:b w:val="false"/>
                  <w:i w:val="false"/>
                  <w:caps w:val="false"/>
                  <w:smallCaps w:val="false"/>
                  <w:sz w:val="20"/>
                </w:rPr>
                <w:t>Celldex Therapeutics, Inc. 2021 Omnibus Equity Incentive Plan (as amended June 15, 2023)</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6/15/23</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10.6</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22">
              <w:r>
                <w:rPr>
                  <w:rStyle w:val="InternetLink"/>
                  <w:rFonts w:ascii="Times New Roman;Times;serif" w:hAnsi="Times New Roman;Times;serif"/>
                  <w:b w:val="false"/>
                  <w:i w:val="false"/>
                  <w:caps w:val="false"/>
                  <w:smallCaps w:val="false"/>
                  <w:sz w:val="20"/>
                </w:rPr>
                <w:t>Celldex Therapeutics, Inc. 2021 Omnibus Equity Incentive Plan</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6/17/21</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10.7</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23">
              <w:r>
                <w:rPr>
                  <w:rStyle w:val="InternetLink"/>
                  <w:rFonts w:ascii="Times New Roman;Times;serif" w:hAnsi="Times New Roman;Times;serif"/>
                  <w:b w:val="false"/>
                  <w:i w:val="false"/>
                  <w:caps w:val="false"/>
                  <w:smallCaps w:val="false"/>
                  <w:sz w:val="20"/>
                </w:rPr>
                <w:t>Celldex Therapeutics, Inc. Amended and Restated 2008 Stock Option and Incentive Plan (as amended, effective June 18, 2020).</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6/18/20</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10.8</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r:id="rId24">
              <w:r>
                <w:rPr>
                  <w:rStyle w:val="InternetLink"/>
                  <w:rFonts w:ascii="Times New Roman;Times;serif" w:hAnsi="Times New Roman;Times;serif"/>
                  <w:b w:val="false"/>
                  <w:i w:val="false"/>
                  <w:caps w:val="false"/>
                  <w:smallCaps w:val="false"/>
                  <w:sz w:val="20"/>
                </w:rPr>
                <w:t>Celldex Therapeutics, Inc. Amended and Restated 2004 Employee Stock Purchase Plan (effective as of June 19, 2019)</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10.2</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6/19/19</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10.9</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w:anchor="cldx-20251231xex10d9.htm">
              <w:r>
                <w:rPr>
                  <w:rStyle w:val="InternetLink"/>
                  <w:rFonts w:ascii="Times New Roman;Times;serif" w:hAnsi="Times New Roman;Times;serif"/>
                  <w:b w:val="false"/>
                  <w:i w:val="false"/>
                  <w:caps w:val="false"/>
                  <w:smallCaps w:val="false"/>
                  <w:sz w:val="20"/>
                </w:rPr>
                <w:t>Amended and Restated Employment Agreement, dated as of December 8, 2025, by and between Anthony S. Marucci and Celldex Therapeutics, Inc.</w:t>
              </w:r>
            </w:hyperlink>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pPr>
            <w:r>
              <w:rPr/>
              <w:t>​</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10.10</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w:anchor="cldx-20251231xex10d10.htm">
              <w:r>
                <w:rPr>
                  <w:rStyle w:val="InternetLink"/>
                  <w:rFonts w:ascii="Times New Roman;Times;serif" w:hAnsi="Times New Roman;Times;serif"/>
                  <w:b w:val="false"/>
                  <w:i w:val="false"/>
                  <w:caps w:val="false"/>
                  <w:smallCaps w:val="false"/>
                  <w:sz w:val="18"/>
                </w:rPr>
                <w:t>Amended and Restated Employment Agreement, dated as of December 8, 2025, by and between Sam Martin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pPr>
            <w:r>
              <w:rPr/>
              <w:t>​</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10.11</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w:anchor="cldx-20251231xex10d11.htm">
              <w:r>
                <w:rPr>
                  <w:rStyle w:val="InternetLink"/>
                  <w:rFonts w:ascii="Times New Roman;Times;serif" w:hAnsi="Times New Roman;Times;serif"/>
                  <w:b w:val="false"/>
                  <w:i w:val="false"/>
                  <w:caps w:val="false"/>
                  <w:smallCaps w:val="false"/>
                  <w:sz w:val="18"/>
                </w:rPr>
                <w:t>Amended and Restated Employment Agreement, dated as of December 8, 2025, by and between Tibor Keler, Ph.D.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pPr>
            <w:r>
              <w:rPr/>
              <w:t>​</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10.12</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w:anchor="cldx-20251231xex10d12.htm">
              <w:r>
                <w:rPr>
                  <w:rStyle w:val="InternetLink"/>
                  <w:rFonts w:ascii="Times New Roman;Times;serif" w:hAnsi="Times New Roman;Times;serif"/>
                  <w:b w:val="false"/>
                  <w:i w:val="false"/>
                  <w:caps w:val="false"/>
                  <w:smallCaps w:val="false"/>
                  <w:sz w:val="18"/>
                </w:rPr>
                <w:t>Amended and Restated Employment Agreement, dated as of December 8, 2025, by and between Ronald A. Pepin, Ph.D.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pPr>
            <w:r>
              <w:rPr/>
              <w:t>​</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10.13</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w:anchor="cldx-20251231xex10d13.htm">
              <w:r>
                <w:rPr>
                  <w:rStyle w:val="InternetLink"/>
                  <w:rFonts w:ascii="Times New Roman;Times;serif" w:hAnsi="Times New Roman;Times;serif"/>
                  <w:b w:val="false"/>
                  <w:i w:val="false"/>
                  <w:caps w:val="false"/>
                  <w:smallCaps w:val="false"/>
                  <w:sz w:val="18"/>
                </w:rPr>
                <w:t>Amended and Restated Employment Agreement, dated as of December 8, 2025, by and between Sarah Cavanaugh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pPr>
            <w:r>
              <w:rPr/>
              <w:t>​</w:t>
            </w:r>
          </w:p>
        </w:tc>
      </w:tr>
      <w:tr>
        <w:trPr/>
        <w:tc>
          <w:tcPr>
            <w:tcW w:w="632"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10.14</w:t>
            </w:r>
          </w:p>
        </w:tc>
        <w:tc>
          <w:tcPr>
            <w:tcW w:w="109" w:type="dxa"/>
            <w:tcBorders/>
            <w:vAlign w:val="center"/>
          </w:tcPr>
          <w:p>
            <w:pPr>
              <w:pStyle w:val="TableContents"/>
              <w:bidi w:val="0"/>
              <w:spacing w:before="0" w:after="0"/>
              <w:ind w:left="0" w:right="0" w:hanging="0"/>
              <w:jc w:val="left"/>
              <w:rPr/>
            </w:pPr>
            <w:r>
              <w:rPr/>
              <w:t>​</w:t>
            </w:r>
          </w:p>
        </w:tc>
        <w:tc>
          <w:tcPr>
            <w:tcW w:w="7110" w:type="dxa"/>
            <w:tcBorders/>
            <w:vAlign w:val="center"/>
          </w:tcPr>
          <w:p>
            <w:pPr>
              <w:pStyle w:val="TableContents"/>
              <w:bidi w:val="0"/>
              <w:spacing w:before="0" w:after="100"/>
              <w:ind w:left="0" w:right="0" w:hanging="0"/>
              <w:jc w:val="left"/>
              <w:rPr/>
            </w:pPr>
            <w:hyperlink w:anchor="cldx-20251231xex10d14.htm">
              <w:r>
                <w:rPr>
                  <w:rStyle w:val="InternetLink"/>
                  <w:rFonts w:ascii="Times New Roman;Times;serif" w:hAnsi="Times New Roman;Times;serif"/>
                  <w:b w:val="false"/>
                  <w:i w:val="false"/>
                  <w:caps w:val="false"/>
                  <w:smallCaps w:val="false"/>
                  <w:sz w:val="18"/>
                </w:rPr>
                <w:t>Amended and Restated Employment Agreement, dated as of December 8, 2025, by and between Margo Heath-Chiozzi, M.D.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9"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9"/>
        <w:gridCol w:w="109"/>
        <w:gridCol w:w="6701"/>
        <w:gridCol w:w="109"/>
        <w:gridCol w:w="1202"/>
        <w:gridCol w:w="109"/>
        <w:gridCol w:w="571"/>
        <w:gridCol w:w="109"/>
        <w:gridCol w:w="606"/>
      </w:tblGrid>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10.15</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10d15.htm">
              <w:r>
                <w:rPr>
                  <w:rStyle w:val="InternetLink"/>
                  <w:rFonts w:ascii="Times New Roman;Times;serif" w:hAnsi="Times New Roman;Times;serif"/>
                  <w:b w:val="false"/>
                  <w:i w:val="false"/>
                  <w:caps w:val="false"/>
                  <w:smallCaps w:val="false"/>
                  <w:sz w:val="18"/>
                </w:rPr>
                <w:t>Amended and Restated Employment Agreement, dated as of December 8, 2025, by and between Elizabeth Crowley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10.16</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10d16.htm">
              <w:r>
                <w:rPr>
                  <w:rStyle w:val="InternetLink"/>
                  <w:rFonts w:ascii="Times New Roman;Times;serif" w:hAnsi="Times New Roman;Times;serif"/>
                  <w:b w:val="false"/>
                  <w:i w:val="false"/>
                  <w:caps w:val="false"/>
                  <w:smallCaps w:val="false"/>
                  <w:sz w:val="18"/>
                </w:rPr>
                <w:t>Amended and Restated Employment Agreement, dated as of December 8, 2025, by and between Diane Young, M.D.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center"/>
              <w:rPr/>
            </w:pPr>
            <w:r>
              <w:rPr/>
              <w:t>​</w:t>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10.17</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10d17.htm">
              <w:r>
                <w:rPr>
                  <w:rStyle w:val="InternetLink"/>
                  <w:rFonts w:ascii="Times New Roman;Times;serif" w:hAnsi="Times New Roman;Times;serif"/>
                  <w:b w:val="false"/>
                  <w:i w:val="false"/>
                  <w:caps w:val="false"/>
                  <w:smallCaps w:val="false"/>
                  <w:sz w:val="18"/>
                </w:rPr>
                <w:t>Amended and Restated Employment Agreement, dated as of December 8, 2025, by and between Freddy Jimenez and Celldex Therapeutics, Inc.</w:t>
              </w:r>
            </w:hyperlink>
            <w:r>
              <w:rPr>
                <w:rFonts w:ascii="Times New Roman;Times;serif" w:hAnsi="Times New Roman;Times;serif"/>
                <w:sz w:val="18"/>
              </w:rPr>
              <w:t xml:space="preserve"> </w:t>
            </w:r>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10.18</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25">
              <w:r>
                <w:rPr>
                  <w:rStyle w:val="InternetLink"/>
                  <w:rFonts w:ascii="Times New Roman;Times;serif" w:hAnsi="Times New Roman;Times;serif"/>
                  <w:b w:val="false"/>
                  <w:i w:val="false"/>
                  <w:caps w:val="false"/>
                  <w:smallCaps w:val="false"/>
                  <w:sz w:val="20"/>
                </w:rPr>
                <w:t>Employment Agreement, dated as of November 10, 2025, by and between Teri Lawver and Celldex Therapeutics, Inc.</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10-Q</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11/10/25</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10.19</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26">
              <w:r>
                <w:rPr>
                  <w:rStyle w:val="InternetLink"/>
                  <w:rFonts w:ascii="Times New Roman;Times;serif" w:hAnsi="Times New Roman;Times;serif"/>
                  <w:b w:val="false"/>
                  <w:i w:val="false"/>
                  <w:caps w:val="false"/>
                  <w:smallCaps w:val="false"/>
                  <w:sz w:val="20"/>
                </w:rPr>
                <w:t>Celldex Therapeutics, Inc. 2021 Plan Form of Restricted Stock Award Agreement</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10.2</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6/17/21</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10.20</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27">
              <w:r>
                <w:rPr>
                  <w:rStyle w:val="InternetLink"/>
                  <w:rFonts w:ascii="Times New Roman;Times;serif" w:hAnsi="Times New Roman;Times;serif"/>
                  <w:b w:val="false"/>
                  <w:i w:val="false"/>
                  <w:caps w:val="false"/>
                  <w:smallCaps w:val="false"/>
                  <w:sz w:val="20"/>
                </w:rPr>
                <w:t>Celldex Therapeutics, Inc. 2021 Plan Form of Incentive Stock Option Grant Agreement</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10.3</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6/17/21</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10.21</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28">
              <w:r>
                <w:rPr>
                  <w:rStyle w:val="InternetLink"/>
                  <w:rFonts w:ascii="Times New Roman;Times;serif" w:hAnsi="Times New Roman;Times;serif"/>
                  <w:b w:val="false"/>
                  <w:i w:val="false"/>
                  <w:caps w:val="false"/>
                  <w:smallCaps w:val="false"/>
                  <w:sz w:val="20"/>
                </w:rPr>
                <w:t>Celldex Therapeutics, Inc. 2021 Plan Form of Nonqualified Stock Option Grant Agreement</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6/17/21</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10.22</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29">
              <w:r>
                <w:rPr>
                  <w:rStyle w:val="InternetLink"/>
                  <w:rFonts w:ascii="Times New Roman;Times;serif" w:hAnsi="Times New Roman;Times;serif"/>
                  <w:b w:val="false"/>
                  <w:i w:val="false"/>
                  <w:caps w:val="false"/>
                  <w:smallCaps w:val="false"/>
                  <w:sz w:val="20"/>
                </w:rPr>
                <w:t>Celldex Therapeutics, Inc. 2021 Plan Form of Restricted Stock Unit Award Agreement</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8-K</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10.5</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6/17/21</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10.23</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30">
              <w:r>
                <w:rPr>
                  <w:rStyle w:val="InternetLink"/>
                  <w:rFonts w:ascii="Times New Roman;Times;serif" w:hAnsi="Times New Roman;Times;serif"/>
                  <w:b w:val="false"/>
                  <w:i w:val="false"/>
                  <w:caps w:val="false"/>
                  <w:smallCaps w:val="false"/>
                  <w:sz w:val="20"/>
                </w:rPr>
                <w:t>2008 Plan Form of Stock Option Agreement</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10-Q</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10.1</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8/08/18</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10.24</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31">
              <w:r>
                <w:rPr>
                  <w:rStyle w:val="InternetLink"/>
                  <w:rFonts w:ascii="Times New Roman;Times;serif" w:hAnsi="Times New Roman;Times;serif"/>
                  <w:b w:val="false"/>
                  <w:i w:val="false"/>
                  <w:caps w:val="false"/>
                  <w:smallCaps w:val="false"/>
                  <w:sz w:val="20"/>
                </w:rPr>
                <w:t>2008 Plan Form of Restricted Stock Award</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10-K</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10.42</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3/12/10</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32">
              <w:r>
                <w:rPr>
                  <w:rStyle w:val="InternetLink"/>
                  <w:rFonts w:ascii="Times New Roman;Times;serif" w:hAnsi="Times New Roman;Times;serif"/>
                  <w:b w:val="false"/>
                  <w:i w:val="false"/>
                  <w:caps w:val="false"/>
                  <w:smallCaps w:val="false"/>
                  <w:sz w:val="20"/>
                </w:rPr>
                <w:t>Celldex Therapeutics, Inc. Insider Trading Policy</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10-K</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19.1</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2/27/25</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21.1</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21d1.htm">
              <w:r>
                <w:rPr>
                  <w:rStyle w:val="InternetLink"/>
                  <w:rFonts w:ascii="Times New Roman;Times;serif" w:hAnsi="Times New Roman;Times;serif"/>
                  <w:b w:val="false"/>
                  <w:i w:val="false"/>
                  <w:caps w:val="false"/>
                  <w:smallCaps w:val="false"/>
                  <w:sz w:val="20"/>
                </w:rPr>
                <w:t>Subsidiaries of Celldex Therapeutics, Inc.</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06" w:type="dxa"/>
            <w:tcBorders/>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23d1.htm">
              <w:r>
                <w:rPr>
                  <w:rStyle w:val="InternetLink"/>
                  <w:rFonts w:ascii="Times New Roman;Times;serif" w:hAnsi="Times New Roman;Times;serif"/>
                  <w:b w:val="false"/>
                  <w:i w:val="false"/>
                  <w:caps w:val="false"/>
                  <w:smallCaps w:val="false"/>
                  <w:sz w:val="20"/>
                </w:rPr>
                <w:t>Consent of PricewaterhouseCoopers LLP, an Independent Registered Public Accounting Firm</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31.1</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31d1.htm">
              <w:r>
                <w:rPr>
                  <w:rStyle w:val="InternetLink"/>
                  <w:rFonts w:ascii="Times New Roman;Times;serif" w:hAnsi="Times New Roman;Times;serif"/>
                  <w:b w:val="false"/>
                  <w:i w:val="false"/>
                  <w:caps w:val="false"/>
                  <w:smallCaps w:val="false"/>
                  <w:sz w:val="20"/>
                </w:rPr>
                <w:t>Certification of President and Chief Executive Officer</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06" w:type="dxa"/>
            <w:tcBorders/>
            <w:vAlign w:val="center"/>
          </w:tcPr>
          <w:p>
            <w:pPr>
              <w:pStyle w:val="TableContents"/>
              <w:bidi w:val="0"/>
              <w:spacing w:before="0" w:after="0"/>
              <w:ind w:left="0" w:right="0" w:hanging="0"/>
              <w:jc w:val="left"/>
              <w:rPr/>
            </w:pPr>
            <w:r>
              <w:rPr/>
              <w:t>​</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31d2.htm">
              <w:r>
                <w:rPr>
                  <w:rStyle w:val="InternetLink"/>
                  <w:rFonts w:ascii="Times New Roman;Times;serif" w:hAnsi="Times New Roman;Times;serif"/>
                  <w:b w:val="false"/>
                  <w:i w:val="false"/>
                  <w:caps w:val="false"/>
                  <w:smallCaps w:val="false"/>
                  <w:sz w:val="20"/>
                </w:rPr>
                <w:t>Certification of Senior Vice President and Chief Financial Officer</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06" w:type="dxa"/>
            <w:tcBorders/>
            <w:vAlign w:val="center"/>
          </w:tcPr>
          <w:p>
            <w:pPr>
              <w:pStyle w:val="TableContents"/>
              <w:bidi w:val="0"/>
              <w:spacing w:before="0" w:after="0"/>
              <w:ind w:left="0" w:right="0" w:hanging="0"/>
              <w:jc w:val="left"/>
              <w:rPr/>
            </w:pPr>
            <w:r>
              <w:rPr/>
              <w:t>​</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w:anchor="cldx-20251231xex32.htm">
              <w:r>
                <w:rPr>
                  <w:rStyle w:val="InternetLink"/>
                  <w:rFonts w:ascii="Times New Roman;Times;serif" w:hAnsi="Times New Roman;Times;serif"/>
                  <w:b w:val="false"/>
                  <w:i w:val="false"/>
                  <w:caps w:val="false"/>
                  <w:smallCaps w:val="false"/>
                  <w:sz w:val="20"/>
                </w:rPr>
                <w:t>Section 1350 Certifications</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Furnished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06" w:type="dxa"/>
            <w:tcBorders/>
            <w:vAlign w:val="center"/>
          </w:tcPr>
          <w:p>
            <w:pPr>
              <w:pStyle w:val="TableContents"/>
              <w:bidi w:val="0"/>
              <w:spacing w:before="0" w:after="0"/>
              <w:ind w:left="0" w:right="0" w:hanging="0"/>
              <w:jc w:val="left"/>
              <w:rPr/>
            </w:pPr>
            <w:r>
              <w:rPr/>
              <w:t>​</w:t>
            </w:r>
          </w:p>
        </w:tc>
      </w:tr>
      <w:tr>
        <w:trPr/>
        <w:tc>
          <w:tcPr>
            <w:tcW w:w="689" w:type="dxa"/>
            <w:tcBorders/>
            <w:vAlign w:val="center"/>
          </w:tcPr>
          <w:p>
            <w:pPr>
              <w:pStyle w:val="TableContents"/>
              <w:bidi w:val="0"/>
              <w:spacing w:before="0" w:after="0"/>
              <w:ind w:left="0" w:right="0" w:hanging="0"/>
              <w:jc w:val="right"/>
              <w:rPr/>
            </w:pPr>
            <w:r>
              <w:rPr/>
              <w:t>†</w:t>
            </w:r>
            <w:r>
              <w:rPr>
                <w:rFonts w:ascii="Times New Roman;Times;serif" w:hAnsi="Times New Roman;Times;serif"/>
                <w:sz w:val="19"/>
              </w:rPr>
              <w:t>97</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pPr>
            <w:hyperlink r:id="rId33">
              <w:r>
                <w:rPr>
                  <w:rStyle w:val="InternetLink"/>
                  <w:rFonts w:ascii="Times New Roman;Times;serif" w:hAnsi="Times New Roman;Times;serif"/>
                  <w:b w:val="false"/>
                  <w:i w:val="false"/>
                  <w:caps w:val="false"/>
                  <w:smallCaps w:val="false"/>
                  <w:sz w:val="20"/>
                </w:rPr>
                <w:t>Celldex Therapeutics, Inc. Compensation Recovery Policy</w:t>
              </w:r>
            </w:hyperlink>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10-K</w:t>
              <w:br/>
              <w:t>(000-15006)</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97</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2/26/24</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101.INS</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rFonts w:ascii="Times New Roman;Times;serif" w:hAnsi="Times New Roman;Times;serif"/>
                <w:sz w:val="19"/>
              </w:rPr>
            </w:pPr>
            <w:r>
              <w:rPr>
                <w:rFonts w:ascii="Times New Roman;Times;serif" w:hAnsi="Times New Roman;Times;serif"/>
                <w:sz w:val="19"/>
              </w:rPr>
              <w:t>Inline 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06" w:type="dxa"/>
            <w:tcBorders/>
            <w:vAlign w:val="center"/>
          </w:tcPr>
          <w:p>
            <w:pPr>
              <w:pStyle w:val="TableContents"/>
              <w:bidi w:val="0"/>
              <w:spacing w:before="0" w:after="0"/>
              <w:ind w:left="0" w:right="0" w:hanging="0"/>
              <w:jc w:val="left"/>
              <w:rPr/>
            </w:pPr>
            <w:r>
              <w:rPr/>
              <w:t>​</w:t>
            </w:r>
          </w:p>
        </w:tc>
      </w:tr>
      <w:tr>
        <w:trPr/>
        <w:tc>
          <w:tcPr>
            <w:tcW w:w="68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101.SCH</w:t>
            </w:r>
          </w:p>
        </w:tc>
        <w:tc>
          <w:tcPr>
            <w:tcW w:w="109" w:type="dxa"/>
            <w:tcBorders/>
            <w:vAlign w:val="center"/>
          </w:tcPr>
          <w:p>
            <w:pPr>
              <w:pStyle w:val="TableContents"/>
              <w:bidi w:val="0"/>
              <w:spacing w:before="0" w:after="0"/>
              <w:ind w:left="0" w:right="0" w:hanging="0"/>
              <w:jc w:val="left"/>
              <w:rPr/>
            </w:pPr>
            <w:r>
              <w:rPr/>
              <w:t>​</w:t>
            </w:r>
          </w:p>
        </w:tc>
        <w:tc>
          <w:tcPr>
            <w:tcW w:w="6701" w:type="dxa"/>
            <w:tcBorders/>
            <w:vAlign w:val="center"/>
          </w:tcPr>
          <w:p>
            <w:pPr>
              <w:pStyle w:val="TableContents"/>
              <w:bidi w:val="0"/>
              <w:spacing w:before="0" w:after="10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0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68"/>
        <w:gridCol w:w="109"/>
        <w:gridCol w:w="7365"/>
        <w:gridCol w:w="109"/>
        <w:gridCol w:w="1272"/>
        <w:gridCol w:w="109"/>
        <w:gridCol w:w="109"/>
        <w:gridCol w:w="109"/>
        <w:gridCol w:w="155"/>
      </w:tblGrid>
      <w:tr>
        <w:trPr/>
        <w:tc>
          <w:tcPr>
            <w:tcW w:w="86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101.CAL</w:t>
            </w:r>
          </w:p>
        </w:tc>
        <w:tc>
          <w:tcPr>
            <w:tcW w:w="109" w:type="dxa"/>
            <w:tcBorders/>
            <w:vAlign w:val="center"/>
          </w:tcPr>
          <w:p>
            <w:pPr>
              <w:pStyle w:val="TableContents"/>
              <w:bidi w:val="0"/>
              <w:spacing w:before="0" w:after="0"/>
              <w:ind w:left="0" w:right="0" w:hanging="0"/>
              <w:jc w:val="left"/>
              <w:rPr/>
            </w:pPr>
            <w:r>
              <w:rPr/>
              <w:t>​</w:t>
            </w:r>
          </w:p>
        </w:tc>
        <w:tc>
          <w:tcPr>
            <w:tcW w:w="7365" w:type="dxa"/>
            <w:tcBorders/>
            <w:vAlign w:val="center"/>
          </w:tcPr>
          <w:p>
            <w:pPr>
              <w:pStyle w:val="TableContents"/>
              <w:bidi w:val="0"/>
              <w:spacing w:before="0" w:after="10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0"/>
              <w:ind w:left="0" w:right="0" w:hanging="0"/>
              <w:jc w:val="left"/>
              <w:rPr/>
            </w:pPr>
            <w:r>
              <w:rPr/>
              <w:t>​</w:t>
            </w:r>
          </w:p>
        </w:tc>
      </w:tr>
      <w:tr>
        <w:trPr/>
        <w:tc>
          <w:tcPr>
            <w:tcW w:w="86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101.DEF</w:t>
            </w:r>
          </w:p>
        </w:tc>
        <w:tc>
          <w:tcPr>
            <w:tcW w:w="109" w:type="dxa"/>
            <w:tcBorders/>
            <w:vAlign w:val="center"/>
          </w:tcPr>
          <w:p>
            <w:pPr>
              <w:pStyle w:val="TableContents"/>
              <w:bidi w:val="0"/>
              <w:spacing w:before="0" w:after="0"/>
              <w:ind w:left="0" w:right="0" w:hanging="0"/>
              <w:jc w:val="left"/>
              <w:rPr/>
            </w:pPr>
            <w:r>
              <w:rPr/>
              <w:t>​</w:t>
            </w:r>
          </w:p>
        </w:tc>
        <w:tc>
          <w:tcPr>
            <w:tcW w:w="7365" w:type="dxa"/>
            <w:tcBorders/>
            <w:vAlign w:val="center"/>
          </w:tcPr>
          <w:p>
            <w:pPr>
              <w:pStyle w:val="TableContents"/>
              <w:bidi w:val="0"/>
              <w:spacing w:before="0" w:after="10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0"/>
              <w:ind w:left="0" w:right="0" w:hanging="0"/>
              <w:jc w:val="left"/>
              <w:rPr/>
            </w:pPr>
            <w:r>
              <w:rPr/>
              <w:t>​</w:t>
            </w:r>
          </w:p>
        </w:tc>
      </w:tr>
      <w:tr>
        <w:trPr/>
        <w:tc>
          <w:tcPr>
            <w:tcW w:w="86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101.LAB</w:t>
            </w:r>
          </w:p>
        </w:tc>
        <w:tc>
          <w:tcPr>
            <w:tcW w:w="109" w:type="dxa"/>
            <w:tcBorders/>
            <w:vAlign w:val="center"/>
          </w:tcPr>
          <w:p>
            <w:pPr>
              <w:pStyle w:val="TableContents"/>
              <w:bidi w:val="0"/>
              <w:spacing w:before="0" w:after="0"/>
              <w:ind w:left="0" w:right="0" w:hanging="0"/>
              <w:jc w:val="left"/>
              <w:rPr/>
            </w:pPr>
            <w:r>
              <w:rPr/>
              <w:t>​</w:t>
            </w:r>
          </w:p>
        </w:tc>
        <w:tc>
          <w:tcPr>
            <w:tcW w:w="7365" w:type="dxa"/>
            <w:tcBorders/>
            <w:vAlign w:val="center"/>
          </w:tcPr>
          <w:p>
            <w:pPr>
              <w:pStyle w:val="TableContents"/>
              <w:bidi w:val="0"/>
              <w:spacing w:before="0" w:after="10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0"/>
              <w:ind w:left="0" w:right="0" w:hanging="0"/>
              <w:jc w:val="left"/>
              <w:rPr/>
            </w:pPr>
            <w:r>
              <w:rPr/>
              <w:t>​</w:t>
            </w:r>
          </w:p>
        </w:tc>
      </w:tr>
      <w:tr>
        <w:trPr/>
        <w:tc>
          <w:tcPr>
            <w:tcW w:w="86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101.PRE</w:t>
            </w:r>
          </w:p>
        </w:tc>
        <w:tc>
          <w:tcPr>
            <w:tcW w:w="109" w:type="dxa"/>
            <w:tcBorders/>
            <w:vAlign w:val="center"/>
          </w:tcPr>
          <w:p>
            <w:pPr>
              <w:pStyle w:val="TableContents"/>
              <w:bidi w:val="0"/>
              <w:spacing w:before="0" w:after="0"/>
              <w:ind w:left="0" w:right="0" w:hanging="0"/>
              <w:jc w:val="left"/>
              <w:rPr/>
            </w:pPr>
            <w:r>
              <w:rPr/>
              <w:t>​</w:t>
            </w:r>
          </w:p>
        </w:tc>
        <w:tc>
          <w:tcPr>
            <w:tcW w:w="7365" w:type="dxa"/>
            <w:tcBorders/>
            <w:vAlign w:val="center"/>
          </w:tcPr>
          <w:p>
            <w:pPr>
              <w:pStyle w:val="TableContents"/>
              <w:bidi w:val="0"/>
              <w:spacing w:before="0" w:after="10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100"/>
              <w:ind w:left="0" w:right="0" w:hanging="0"/>
              <w:jc w:val="center"/>
              <w:rPr>
                <w:rFonts w:ascii="Times New Roman;Times;serif" w:hAnsi="Times New Roman;Times;serif"/>
                <w:sz w:val="19"/>
              </w:rPr>
            </w:pPr>
            <w:r>
              <w:rPr>
                <w:rFonts w:ascii="Times New Roman;Times;serif" w:hAnsi="Times New Roman;Times;serif"/>
                <w:sz w:val="19"/>
              </w:rPr>
              <w:t>Filed herewith</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0"/>
              <w:ind w:left="0" w:right="0" w:hanging="0"/>
              <w:jc w:val="left"/>
              <w:rPr/>
            </w:pPr>
            <w:r>
              <w:rPr/>
              <w:t>​</w:t>
            </w:r>
          </w:p>
        </w:tc>
      </w:tr>
      <w:tr>
        <w:trPr/>
        <w:tc>
          <w:tcPr>
            <w:tcW w:w="86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before="0" w:after="0"/>
              <w:ind w:left="0" w:right="0" w:hanging="0"/>
              <w:jc w:val="left"/>
              <w:rPr/>
            </w:pPr>
            <w:r>
              <w:rPr/>
              <w:t>​</w:t>
            </w:r>
          </w:p>
        </w:tc>
        <w:tc>
          <w:tcPr>
            <w:tcW w:w="736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4" w:type="dxa"/>
            <w:gridSpan w:val="2"/>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Certain confidential portions of this exhibit were redacted. Celldex Therapeutics, Inc. agrees to furnish supplementally to the U.S. Securities and Exchange Commission a copy of any omitted schedule and/or exhibit upon request. The confidential portions of this exhibit were omitted by means of marking such portions with asterisks because the identified confidential portions (i) are not material, (ii) would be competitively harmful if publicly disclosed and (iii) contain information that Celldex Therapeutics, Inc, customarily and actually treats as private or confidential.</w:t>
            </w:r>
          </w:p>
        </w:tc>
      </w:tr>
    </w:tbl>
    <w:tbl>
      <w:tblPr>
        <w:tblW w:w="6902" w:type="dxa"/>
        <w:jc w:val="left"/>
        <w:tblInd w:w="0" w:type="dxa"/>
        <w:tblLayout w:type="fixed"/>
        <w:tblCellMar>
          <w:top w:w="0" w:type="dxa"/>
          <w:left w:w="0" w:type="dxa"/>
          <w:bottom w:w="0" w:type="dxa"/>
          <w:right w:w="0" w:type="dxa"/>
        </w:tblCellMar>
      </w:tblPr>
      <w:tblGrid>
        <w:gridCol w:w="241"/>
        <w:gridCol w:w="6661"/>
      </w:tblGrid>
      <w:tr>
        <w:trPr/>
        <w:tc>
          <w:tcPr>
            <w:tcW w:w="241" w:type="dxa"/>
            <w:tcBorders/>
            <w:vAlign w:val="center"/>
          </w:tcPr>
          <w:p>
            <w:pPr>
              <w:pStyle w:val="TableContents"/>
              <w:bidi w:val="0"/>
              <w:spacing w:before="0" w:after="200"/>
              <w:jc w:val="left"/>
              <w:rPr/>
            </w:pPr>
            <w:r>
              <w:rPr/>
              <w:t>†</w:t>
            </w:r>
          </w:p>
        </w:tc>
        <w:tc>
          <w:tcPr>
            <w:tcW w:w="666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Indicates a management contract or compensation plan, contract or arrangement.</w:t>
            </w:r>
          </w:p>
        </w:tc>
      </w:tr>
    </w:tbl>
    <w:p>
      <w:pPr>
        <w:pStyle w:val="TextBody"/>
        <w:bidi w:val="0"/>
        <w:spacing w:before="0" w:after="200"/>
        <w:ind w:left="0" w:right="0" w:hanging="0"/>
        <w:jc w:val="left"/>
        <w:rPr>
          <w:rFonts w:ascii="Times New Roman;Times;serif" w:hAnsi="Times New Roman;Times;serif"/>
          <w:b/>
          <w:sz w:val="20"/>
        </w:rPr>
      </w:pPr>
      <w:bookmarkStart w:id="957" w:name="Item16FORM10KSUMMARY_35393"/>
      <w:bookmarkStart w:id="958" w:name="_36be22f4_822c_40f6_9871_49aa549e6028"/>
      <w:bookmarkEnd w:id="957"/>
      <w:bookmarkEnd w:id="958"/>
      <w:r>
        <w:rPr>
          <w:rFonts w:ascii="Times New Roman;Times;serif" w:hAnsi="Times New Roman;Times;serif"/>
          <w:b/>
          <w:sz w:val="20"/>
        </w:rPr>
        <w:t>Item 16. FORM 10-K SUMMARY</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959" w:name="SIGNATURES_398499"/>
      <w:bookmarkStart w:id="960" w:name="_21b10e88_0991_473b_b115_e164b19cf4d2"/>
      <w:bookmarkEnd w:id="959"/>
      <w:bookmarkEnd w:id="960"/>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right"/>
        <w:rPr/>
      </w:pPr>
      <w:r>
        <w:rPr/>
        <w:t>​</w:t>
      </w:r>
    </w:p>
    <w:tbl>
      <w:tblPr>
        <w:tblW w:w="5253" w:type="dxa"/>
        <w:jc w:val="left"/>
        <w:tblInd w:w="0" w:type="dxa"/>
        <w:tblLayout w:type="fixed"/>
        <w:tblCellMar>
          <w:top w:w="0" w:type="dxa"/>
          <w:left w:w="0" w:type="dxa"/>
          <w:bottom w:w="0" w:type="dxa"/>
          <w:right w:w="0" w:type="dxa"/>
        </w:tblCellMar>
      </w:tblPr>
      <w:tblGrid>
        <w:gridCol w:w="1606"/>
        <w:gridCol w:w="406"/>
        <w:gridCol w:w="3241"/>
      </w:tblGrid>
      <w:tr>
        <w:trPr/>
        <w:tc>
          <w:tcPr>
            <w:tcW w:w="16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606" w:type="dxa"/>
            <w:tcBorders/>
            <w:vAlign w:val="center"/>
          </w:tcPr>
          <w:p>
            <w:pPr>
              <w:pStyle w:val="TableContents"/>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606" w:type="dxa"/>
            <w:tcBorders/>
            <w:vAlign w:val="center"/>
          </w:tcPr>
          <w:p>
            <w:pPr>
              <w:pStyle w:val="TableContents"/>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ANTHONY S. MARUCCI</w:t>
            </w:r>
          </w:p>
        </w:tc>
      </w:tr>
      <w:tr>
        <w:trPr/>
        <w:tc>
          <w:tcPr>
            <w:tcW w:w="160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Date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25, 2026</w:t>
            </w:r>
          </w:p>
        </w:tc>
        <w:tc>
          <w:tcPr>
            <w:tcW w:w="406"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Anthony S. Marucci</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by the following persons on behalf of the registrant and in the capacities and on the dates indicated.</w:t>
      </w:r>
    </w:p>
    <w:tbl>
      <w:tblPr>
        <w:tblW w:w="8735" w:type="dxa"/>
        <w:jc w:val="left"/>
        <w:tblInd w:w="0" w:type="dxa"/>
        <w:tblLayout w:type="fixed"/>
        <w:tblCellMar>
          <w:top w:w="0" w:type="dxa"/>
          <w:left w:w="0" w:type="dxa"/>
          <w:bottom w:w="0" w:type="dxa"/>
          <w:right w:w="0" w:type="dxa"/>
        </w:tblCellMar>
      </w:tblPr>
      <w:tblGrid>
        <w:gridCol w:w="2446"/>
        <w:gridCol w:w="346"/>
        <w:gridCol w:w="3961"/>
        <w:gridCol w:w="346"/>
        <w:gridCol w:w="16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553210" cy="29210"/>
                      <wp:effectExtent l="0" t="0" r="0" b="0"/>
                      <wp:wrapNone/>
                      <wp:docPr id="306" name="Frame305"/>
                      <a:graphic xmlns:a="http://schemas.openxmlformats.org/drawingml/2006/main">
                        <a:graphicData uri="http://schemas.microsoft.com/office/word/2010/wordprocessingShape">
                          <wps:wsp>
                            <wps:cNvSpPr txBox="1"/>
                            <wps:spPr>
                              <a:xfrm>
                                <a:off x="0" y="0"/>
                                <a:ext cx="1553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515235" cy="29210"/>
                      <wp:effectExtent l="0" t="0" r="0" b="0"/>
                      <wp:wrapNone/>
                      <wp:docPr id="307" name="Frame306"/>
                      <a:graphic xmlns:a="http://schemas.openxmlformats.org/drawingml/2006/main">
                        <a:graphicData uri="http://schemas.microsoft.com/office/word/2010/wordprocessingShape">
                          <wps:wsp>
                            <wps:cNvSpPr txBox="1"/>
                            <wps:spPr>
                              <a:xfrm>
                                <a:off x="0" y="0"/>
                                <a:ext cx="2515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038860" cy="29210"/>
                      <wp:effectExtent l="0" t="0" r="0" b="0"/>
                      <wp:wrapNone/>
                      <wp:docPr id="308" name="Frame307"/>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center"/>
              <w:rPr/>
            </w:pPr>
            <w:r>
              <w:rPr/>
              <w:t>  ​ ​ ​</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Contents"/>
              <w:bidi w:val="0"/>
              <w:spacing w:before="0" w:after="0"/>
              <w:ind w:left="0" w:right="0" w:hanging="0"/>
              <w:jc w:val="center"/>
              <w:rPr/>
            </w:pPr>
            <w:r>
              <w:rPr/>
              <w:t>  ​ ​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ANTHONY S. MARUCCI</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Anthony S. Marucci</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SAM MARTIN</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Sam Martin</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Chief Financial Officer and Treasurer </w:t>
              <w:br/>
              <w:t>(Principal Financial and Accounting Officer)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HARRY H. PENNER, JR.</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 Chair of the Board of Directors</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Harry H. Penner, Jr.</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KEITH L. BROWNLIE</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Keith L. Brownlie</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CHERYL L. COHEN</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Cheryl L. Cohen</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HERBERT J. CONRAD</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Herbert J. Conrad</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RITA I. JAIN, M.D,</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Rita I. Jain, M.D.</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JAMES J. MARINO</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James J. Marino</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GARRY A. NEIL, M.D.</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Garry A. Neil, M.D.</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DENICE TORRES</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4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Denice Torres</w:t>
            </w:r>
          </w:p>
        </w:tc>
        <w:tc>
          <w:tcPr>
            <w:tcW w:w="346" w:type="dxa"/>
            <w:tcBorders/>
            <w:vAlign w:val="center"/>
          </w:tcPr>
          <w:p>
            <w:pPr>
              <w:pStyle w:val="TableContents"/>
              <w:bidi w:val="0"/>
              <w:spacing w:before="0" w:after="0"/>
              <w:ind w:left="0" w:right="0" w:hanging="0"/>
              <w:jc w:val="center"/>
              <w:rPr/>
            </w:pPr>
            <w:r>
              <w:rPr/>
              <w:t>​</w:t>
            </w:r>
          </w:p>
        </w:tc>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240"/>
        <w:ind w:left="0" w:right="0" w:hanging="0"/>
        <w:jc w:val="right"/>
        <w:rPr>
          <w:rFonts w:ascii="Times New Roman;Times;serif" w:hAnsi="Times New Roman;Times;serif"/>
          <w:b/>
          <w:sz w:val="20"/>
        </w:rPr>
      </w:pPr>
      <w:bookmarkStart w:id="961" w:name="cldx-20251231xex10d9.htm"/>
      <w:bookmarkStart w:id="962" w:name="kscldx20251231xex10d9"/>
      <w:bookmarkEnd w:id="961"/>
      <w:bookmarkEnd w:id="962"/>
      <w:r>
        <w:rPr>
          <w:rFonts w:ascii="Times New Roman;Times;serif" w:hAnsi="Times New Roman;Times;serif"/>
          <w:b/>
          <w:sz w:val="20"/>
        </w:rPr>
        <w:t>Exhibit 10.9</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Anthony S. Marucci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Chief Executive Officer and President pursuant to the terms of an employment agreement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Chief Executive Officer and President,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Chief Executive Officer and President,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$822,000 per annum or such greater amount as may from time to time be determined by the Board of Directors of the Company (the “</w:t>
      </w:r>
      <w:r>
        <w:rPr>
          <w:rFonts w:ascii="Times New Roman;Times;serif" w:hAnsi="Times New Roman;Times;serif"/>
          <w:b/>
          <w:sz w:val="20"/>
        </w:rPr>
        <w:t>Board</w:t>
      </w:r>
      <w:r>
        <w:rPr>
          <w:rFonts w:ascii="Times New Roman;Times;serif" w:hAnsi="Times New Roman;Times;serif"/>
          <w:sz w:val="20"/>
        </w:rPr>
        <w:t>”) or the Compensation and Organization Development Committee thereof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Board,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65%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 based upon the Executive’s overall performance of the Executive’s services on behalf of the Company during such fiscal year and/or based upon the Company’s attainment of pre-established goals relating to such fiscal year (which will be determined by the Board and communicated to the Executive within thirty (30) days following the beginning of the applicable fiscal year). The attainment of any applicable performance goals and the amount to be paid in respect of the Annual Bonus shall be determined by the Board in good faith and in accordance with such written goals and policies as may be established from time to time by the Board. The Annual Bonus shall be deemed to have been earned and accrued only upon the formal approval of the Board of the amount of the Annual Bonus following such determination. The Annual Bonus, if any, shall be payable as a lump-sum payment within sixty (60) days immediately following the last day of the applicable fiscal year. The Board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Chief Executive Officer and President, shall perform such duties as the Company may reasonably require, and shall use the Executive’s best efforts to carry into effect the directions of the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Executive shall report to the Board. During the Term, the Executive 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Board determines that “cause” exists for termination of the Executive’s employment, written notice thereof must be given to the Executive describing the state of affairs or facts deemed by the Board to constitute such cause. Unless the Board determines that the conduct constituting cause is not curable, the Executive shall have thirty (30) days after receipt of such notice to cure the reason constituting cause and if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does so to the reasonable satisfaction of the Board, the Term shall not be terminated for the cause specified in the notice. During such thirty (30) day period, the Term shall continue and the Executive shall continue to receive the Executive’s full Base Salary, expenses and benefits pursuant to this Agreement. If such cause is not cured to the Board’s reasonable satisfaction within such thirty (30) day period, the Executive may then be immediately terminated by a majority vote of the Board.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unless the Executive no longer reports directly to the Board; (b) a relocation of the Executive’s business office to a location more than fifty (50) miles from the location in Hampton, New Jersey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two hundred percent (200%) of the Executive’s then existing annual Base Salary (</w:t>
      </w:r>
      <w:r>
        <w:rPr>
          <w:rFonts w:ascii="Times New Roman;Times;serif" w:hAnsi="Times New Roman;Times;serif"/>
          <w:i/>
          <w:sz w:val="20"/>
        </w:rPr>
        <w:t>i.e.</w:t>
      </w:r>
      <w:r>
        <w:rPr>
          <w:rFonts w:ascii="Times New Roman;Times;serif" w:hAnsi="Times New Roman;Times;serif"/>
          <w:sz w:val="20"/>
        </w:rPr>
        <w:t>, twenty-four (24)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 earned and accrued but remaining unpaid prior to termination. In addition, if and to the extent the 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Further, in the event that the Term is terminated pursuant to Section 6.b(i) or Section 6.b(ii), twenty-five percent (25%) of the Executive’s outstanding, unvested options, restricted stock, and/or equity awards shall become fully and immediately vested.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 Bonus earned and accrued but remaining unpaid prior to termination) shall cease upon such termination.</w:t>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two hundred percent (200%)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having (in the reasonable opinion of the Board) a value at least equal to the value of Executive’s then-unvested Company Equity Awards, then fifty percent (50%) of the Executive’s outstanding, unvested Company Equity Awards shall become fully and immediately vested immediately prior 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firm made hereunder shall be final, binding and conclusive upon the Company and the Executive.</w:t>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personally delivered, at the time of delivery;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sent by overnight courier service, at the end of the next business day; and/or</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 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 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0"/>
        <w:ind w:left="0" w:right="0" w:hanging="0"/>
        <w:jc w:val="center"/>
        <w:rPr/>
      </w:pPr>
      <w:r>
        <w:rPr/>
        <w:t>​</w:t>
      </w:r>
    </w:p>
    <w:tbl>
      <w:tblPr>
        <w:tblW w:w="3274" w:type="dxa"/>
        <w:jc w:val="center"/>
        <w:tblInd w:w="0" w:type="dxa"/>
        <w:tblLayout w:type="fixed"/>
        <w:tblCellMar>
          <w:top w:w="0" w:type="dxa"/>
          <w:left w:w="0" w:type="dxa"/>
          <w:bottom w:w="0" w:type="dxa"/>
          <w:right w:w="0" w:type="dxa"/>
        </w:tblCellMar>
      </w:tblPr>
      <w:tblGrid>
        <w:gridCol w:w="124"/>
        <w:gridCol w:w="1010"/>
        <w:gridCol w:w="2140"/>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24"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24" w:type="dxa"/>
            <w:tcBorders/>
            <w:vAlign w:val="center"/>
          </w:tcPr>
          <w:p>
            <w:pPr>
              <w:pStyle w:val="TableContents"/>
              <w:pBdr/>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SVP and CFO</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63" w:name="cldx-20251231xex10d10.htm"/>
      <w:bookmarkStart w:id="964" w:name="kscldx20251231xex10d10"/>
      <w:bookmarkEnd w:id="963"/>
      <w:bookmarkEnd w:id="964"/>
      <w:r>
        <w:rPr>
          <w:rFonts w:ascii="Times New Roman;Times;serif" w:hAnsi="Times New Roman;Times;serif"/>
          <w:b/>
          <w:sz w:val="20"/>
        </w:rPr>
        <w:t>Exhibit 10.10</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Sam Martin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and Chief Financial Officer pursuant to the terms of an employment agreement dated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Senior Vice President and Chief Financial Officer,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Senior Vice President and Chief Financial Officer,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$529,000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 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Board of Directors of the Company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Senior Vice President and Chief Financial Officer, shall perform such duties as the Company may reasonably require, and shall use the Executive’s best efforts to carry into effect the directions of the Company’s senior management. The Executive shall report to the CEO or any other officer of the Company that the CEO or Board shall designate from time to time. During the Term, the Executive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 cause and if the Executive does so to the reasonable satisfaction of the Company, the Term shall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(b) a relocation of the Executive’s business office to a location more than fifty (50) miles from the location in Needham, Massachusetts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 earned and accrued but remaining unpaid prior to termination. In addition, if and to the extent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 Annual Bonus earned and accrued but remaining unpaid prior to termination) shall cease upon such termination.</w:t>
      </w:r>
    </w:p>
    <w:p>
      <w:pPr>
        <w:pStyle w:val="TextBody"/>
        <w:bidi w:val="0"/>
        <w:spacing w:before="0" w:after="240"/>
        <w:ind w:left="198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 having (in the reasonable opinion of the Board) a value at least equal to the value of Executive’s then-unvested Company Equity Awards, then fifty percent (50%) of the Executive’s outstanding, unvested Company Equity Awards shall become fully and immediately vested immediately prior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 accounting firm made hereunder shall be final, binding and conclusive upon the Company and the Executive.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w:t>
      </w:r>
      <w:bookmarkStart w:id="965" w:name="_Hlk217099758"/>
      <w:bookmarkEnd w:id="965"/>
      <w:r>
        <w:rPr>
          <w:rFonts w:ascii="Times New Roman;Times;serif" w:hAnsi="Times New Roman;Times;serif"/>
          <w:sz w:val="20"/>
        </w:rPr>
        <w:t>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tbl>
      <w:tblPr>
        <w:tblW w:w="3933" w:type="dxa"/>
        <w:jc w:val="left"/>
        <w:tblInd w:w="0" w:type="dxa"/>
        <w:tblLayout w:type="fixed"/>
        <w:tblCellMar>
          <w:top w:w="0" w:type="dxa"/>
          <w:left w:w="0" w:type="dxa"/>
          <w:bottom w:w="0" w:type="dxa"/>
          <w:right w:w="0" w:type="dxa"/>
        </w:tblCellMar>
      </w:tblPr>
      <w:tblGrid>
        <w:gridCol w:w="23"/>
        <w:gridCol w:w="125"/>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37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personally delivered, at the time of delivery;</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63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sent by overnight courier service, at the end of the next business day; and/or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 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0"/>
        <w:ind w:left="0" w:right="0" w:hanging="0"/>
        <w:jc w:val="left"/>
        <w:rPr/>
      </w:pPr>
      <w:r>
        <w:rPr/>
        <w:t>​</w:t>
      </w:r>
    </w:p>
    <w:tbl>
      <w:tblPr>
        <w:tblW w:w="3274" w:type="dxa"/>
        <w:jc w:val="left"/>
        <w:tblInd w:w="0" w:type="dxa"/>
        <w:tblLayout w:type="fixed"/>
        <w:tblCellMar>
          <w:top w:w="0" w:type="dxa"/>
          <w:left w:w="0" w:type="dxa"/>
          <w:bottom w:w="0" w:type="dxa"/>
          <w:right w:w="0" w:type="dxa"/>
        </w:tblCellMar>
      </w:tblPr>
      <w:tblGrid>
        <w:gridCol w:w="124"/>
        <w:gridCol w:w="807"/>
        <w:gridCol w:w="2343"/>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3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Marucci</w:t>
            </w:r>
          </w:p>
        </w:tc>
      </w:tr>
      <w:tr>
        <w:trPr/>
        <w:tc>
          <w:tcPr>
            <w:tcW w:w="12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4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Marucci</w:t>
            </w:r>
          </w:p>
        </w:tc>
      </w:tr>
      <w:tr>
        <w:trPr/>
        <w:tc>
          <w:tcPr>
            <w:tcW w:w="12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CEO</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 xml:space="preserve">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66" w:name="cldx-20251231xex10d11.htm"/>
      <w:bookmarkStart w:id="967" w:name="kscldx20251231xex10d11"/>
      <w:bookmarkEnd w:id="966"/>
      <w:bookmarkEnd w:id="967"/>
      <w:r>
        <w:rPr>
          <w:rFonts w:ascii="Times New Roman;Times;serif" w:hAnsi="Times New Roman;Times;serif"/>
          <w:b/>
          <w:sz w:val="20"/>
        </w:rPr>
        <w:t>Exhibit 10.11</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AMENDED AND RESTATED </w:t>
      </w:r>
      <w:r>
        <w:rPr>
          <w:rFonts w:ascii="Times New Roman;Times;serif" w:hAnsi="Times New Roman;Times;serif"/>
          <w:b/>
          <w:sz w:val="20"/>
        </w:rPr>
        <w:t xml:space="preserve">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Tibor Keler, Ph.D.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and Chief Scientific Officer pursuant to the terms of an employment agreement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Executive Vice President and Chief Scientific Officer,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Executive Vice President and Chief Scientific Officer,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$574,275.92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53%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 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CEO of the amount of the Annual Bonus following such determination. The Annual Bonus, if any, shall be payable as a lump-sum payment within sixty (60) days immediately following the last day of the applicable fiscal year. The Board of Directors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Executive Vice President and Chief Scientific Officer, shall perform such duties as the Company may reasonably require, and shall use the Executive’s best efforts to carry into effect the directions of the CEO. The Executive shall report to the CEO or any other officer of the Company that the CEO or Board shall designate from time to time. During the Term, the Executive shall be bound by, and comply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 cause and if the Executive does so to the reasonable satisfaction of the Company, the Term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unless the Executive no longer reports directly to the CEO or the Board; (b) a relocation of the Executive’s business office to a location more than fifty (50) miles from the location in Hampton, New Jersey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 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earned and accrued but remaining unpaid prior to termination. In addition, if and to the extent the 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Further, in the event that the Term is terminated pursuant to Section 6.b.(i) or Section 6.b.(ii), twenty-five percent (25%) of the Executive’s outstanding, unvested options, restricted stock and/or equity awards shall become fully and immediately vested.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 Bonus earned and accrued but remaining unpaid prior to termination) shall cease upon such termination.</w:t>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having (in the reasonable opinion of the Board) a value at least equal to the value of Executive’s then-unvested Company Equity Awards, then fifty percent (50%) of the Executive’s outstanding, unvested Company Equity Awards shall become fully and immediately vested immediately prior 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firm made hereunder shall be final, binding and conclusive upon the Company and the Executive.</w:t>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tbl>
      <w:tblPr>
        <w:tblW w:w="3933" w:type="dxa"/>
        <w:jc w:val="left"/>
        <w:tblInd w:w="0" w:type="dxa"/>
        <w:tblLayout w:type="fixed"/>
        <w:tblCellMar>
          <w:top w:w="0" w:type="dxa"/>
          <w:left w:w="0" w:type="dxa"/>
          <w:bottom w:w="0" w:type="dxa"/>
          <w:right w:w="0" w:type="dxa"/>
        </w:tblCellMar>
      </w:tblPr>
      <w:tblGrid>
        <w:gridCol w:w="23"/>
        <w:gridCol w:w="125"/>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personally delivered, at the time of delivery;</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sent by overnight courier service, at the end of the next business day; and/or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 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 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0"/>
        <w:ind w:left="0" w:right="0" w:firstLine="720"/>
        <w:jc w:val="center"/>
        <w:rPr/>
      </w:pPr>
      <w:r>
        <w:rPr/>
        <w:t>​</w:t>
      </w:r>
    </w:p>
    <w:tbl>
      <w:tblPr>
        <w:tblW w:w="3275" w:type="dxa"/>
        <w:jc w:val="left"/>
        <w:tblInd w:w="0" w:type="dxa"/>
        <w:tblLayout w:type="fixed"/>
        <w:tblCellMar>
          <w:top w:w="0" w:type="dxa"/>
          <w:left w:w="0" w:type="dxa"/>
          <w:bottom w:w="0" w:type="dxa"/>
          <w:right w:w="0" w:type="dxa"/>
        </w:tblCellMar>
      </w:tblPr>
      <w:tblGrid>
        <w:gridCol w:w="124"/>
        <w:gridCol w:w="3151"/>
      </w:tblGrid>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Anthony Marucci</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Anthony Marucci</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CEO</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Tibor Keler</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Tibor Keler, Ph.D.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68" w:name="cldx-20251231xex10d12.htm"/>
      <w:bookmarkStart w:id="969" w:name="kscldx20251231xex10d12"/>
      <w:bookmarkEnd w:id="968"/>
      <w:bookmarkEnd w:id="969"/>
      <w:r>
        <w:rPr>
          <w:rFonts w:ascii="Times New Roman;Times;serif" w:hAnsi="Times New Roman;Times;serif"/>
          <w:b/>
          <w:sz w:val="20"/>
        </w:rPr>
        <w:t>Exhibit 10.12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Ronald A. Pepin, Ph.D.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and Chief Business Officer pursuant to the terms of an employment agreement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Senior Vice President and Chief Business Officer,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Senior Vice President and Chief Business Officer,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$389,586.08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 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Board of Directors of the Company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Senior Vice President and Chief Business Officer, shall perform such duties as the Company may reasonably require, and shall use the Executive’s best efforts to carry into effect the directions of the Company’s senior management. The Executive shall report to the CEO or any other officer of the Company that the CEO or Board shall designate from time to time. During the Term,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 cause and if the Executive does so to the reasonable satisfaction of the Company, the Term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 Without Cause by the Company or for Good Reason by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unless the Executive no longer reports directly to the CEO or the Board; (b) a relocation of the Executive’s business office to a location more than fifty (50) miles from the location in Hampton, New Jersey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earned and accrued but remaining unpaid prior to termination. In addition, if and to the extent the 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Further, in the event that the Term is terminated pursuant to Section 6.b(i) or Section 6.b(ii), twenty-five percent (25%) of he Executive’s outstanding, unvested options, restricted stock and/or equity awards shall become fully and immediately vested.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Resignation by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 Bonus earned and accrued but remaining unpaid prior to termination) shall cease upon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Termination Upon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having (in the reasonable opinion of the Board) a value at least equal to the value of Executive’s then-unvested Company Equity Awards, then fifty percent (50%) of the Executive’s outstanding, unvested Company Equity Awards shall become fully and immediately vested immediately prior 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firm made hereunder shall be final, binding and conclusive upon the Company and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Termination for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personally delivered, at the time of delivery;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sent by overnight courier service, at the end of the next business day; and/or</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 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 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tbl>
      <w:tblPr>
        <w:tblW w:w="3274" w:type="dxa"/>
        <w:jc w:val="center"/>
        <w:tblInd w:w="0" w:type="dxa"/>
        <w:tblLayout w:type="fixed"/>
        <w:tblCellMar>
          <w:top w:w="0" w:type="dxa"/>
          <w:left w:w="0" w:type="dxa"/>
          <w:bottom w:w="0" w:type="dxa"/>
          <w:right w:w="0" w:type="dxa"/>
        </w:tblCellMar>
      </w:tblPr>
      <w:tblGrid>
        <w:gridCol w:w="124"/>
        <w:gridCol w:w="807"/>
        <w:gridCol w:w="2343"/>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Marucci</w:t>
            </w:r>
          </w:p>
        </w:tc>
      </w:tr>
      <w:tr>
        <w:trPr/>
        <w:tc>
          <w:tcPr>
            <w:tcW w:w="12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Marucci</w:t>
            </w:r>
          </w:p>
        </w:tc>
      </w:tr>
      <w:tr>
        <w:trPr/>
        <w:tc>
          <w:tcPr>
            <w:tcW w:w="124" w:type="dxa"/>
            <w:tcBorders/>
            <w:vAlign w:val="center"/>
          </w:tcPr>
          <w:p>
            <w:pPr>
              <w:pStyle w:val="TableContents"/>
              <w:pBdr/>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CEO</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Ronald A. Pepin</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Ronald A. Pepin, Ph.D.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70" w:name="cldx-20251231xex10d13.htm"/>
      <w:bookmarkStart w:id="971" w:name="kscldx20251231xex10d13"/>
      <w:bookmarkEnd w:id="970"/>
      <w:bookmarkEnd w:id="971"/>
      <w:r>
        <w:rPr>
          <w:rFonts w:ascii="Times New Roman;Times;serif" w:hAnsi="Times New Roman;Times;serif"/>
          <w:b/>
          <w:sz w:val="20"/>
        </w:rPr>
        <w:t>Exhibit 10.13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Sarah Cavanaugh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of Corporate Affairs and Administration pursuant to the terms of an employment agreement dated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Senior Vice President of Corporate Affairs and Administration,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Senior Vice President of Corporate Affairs and Administration,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$444,000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 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Board of Directors of the Company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Senior Vice President of Corporate Affairs and Administration, shall perform such duties as the Company may reasonably require, and shall use the Executive’s best efforts to carry into effect the directions of the Company’s senior management. The Executive shall report to the CEO or any other officer of</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that the CEO or Board shall designate from time to time. During the Term, the Executive 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cause and if the Executive does so to the reasonable satisfaction of the Company, the Term shall 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 Without Cause by the Company or for Good Reason by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(b) a relocation of the Executive’s business office to a location more than fifty (50) miles from the location in Needham, Massachusetts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 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earned and accrued but remaining unpaid prior to termination. In addition, if and to the extent the 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 Annual Bonus earned and accrued but remaining unpaid prior to termination) shall cease upon such termination.</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 having (in the reasonable opinion of the Board) a value at least equal to the value of Executive’s then-unvested Company Equity Awards, then fifty percent (50%) of the Executive’s outstanding, unvested Company Equity Awards shall become fully and immediately vested immediately prior</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 accounting firm made hereunder shall be final, binding and conclusive upon the Company and the Executive.</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personally delivered, at the time of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sent by overnight courier service, at the end of the next business day; and/or</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 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74" w:type="dxa"/>
        <w:jc w:val="left"/>
        <w:tblInd w:w="0" w:type="dxa"/>
        <w:tblLayout w:type="fixed"/>
        <w:tblCellMar>
          <w:top w:w="0" w:type="dxa"/>
          <w:left w:w="0" w:type="dxa"/>
          <w:bottom w:w="0" w:type="dxa"/>
          <w:right w:w="0" w:type="dxa"/>
        </w:tblCellMar>
      </w:tblPr>
      <w:tblGrid>
        <w:gridCol w:w="124"/>
        <w:gridCol w:w="849"/>
        <w:gridCol w:w="2301"/>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Marucci</w:t>
            </w:r>
          </w:p>
        </w:tc>
      </w:tr>
      <w:tr>
        <w:trPr/>
        <w:tc>
          <w:tcPr>
            <w:tcW w:w="124"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Marucci</w:t>
            </w:r>
          </w:p>
        </w:tc>
      </w:tr>
      <w:tr>
        <w:trPr/>
        <w:tc>
          <w:tcPr>
            <w:tcW w:w="124"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CEO</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Sarah Cavanaugh</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Sarah Cavanaugh</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firstLine="72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 xml:space="preserve">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72" w:name="cldx-20251231xex10d14.htm"/>
      <w:bookmarkStart w:id="973" w:name="kscldx20251231xex10d14"/>
      <w:bookmarkEnd w:id="972"/>
      <w:bookmarkEnd w:id="973"/>
      <w:r>
        <w:rPr>
          <w:rFonts w:ascii="Times New Roman;Times;serif" w:hAnsi="Times New Roman;Times;serif"/>
          <w:b/>
          <w:sz w:val="20"/>
        </w:rPr>
        <w:t>Exhibit 10.14</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Margo Heath-Chiozzi, M.D.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of Regulatory Affairs pursuant to the terms of an employment agreement dated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Senior Vice President of Regulatory Affairs,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Senior Vice President of Regulatory Affairs,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$501,000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 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Board of Directors of the Company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Senior Vice President of Regulatory Affairs, shall perform such duties as the Company may reasonably require, and shall use the Executive’s best efforts to carry into effect the directions of the Company’s senior management. The Executive shall report to the CEO or any other officer of the Company that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CEO or Board shall designate from time to time. During the Term, the Executive 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cause and if the Executive does so to the reasonable satisfaction of the Company, the Term shall 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unless the Executive no longer reports to the CEO; (b) a relocation of the Executive’s business office to a location more than fifty (50) miles from the location in New Haven, Connecticut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 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 earned and accrued but remaining unpaid prior to termination. In addition, if and to the extent the 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 Annual Bonus earned and accrued but remaining unpaid prior to termination) shall cease upon such termination.</w:t>
      </w:r>
    </w:p>
    <w:p>
      <w:pPr>
        <w:pStyle w:val="TextBody"/>
        <w:bidi w:val="0"/>
        <w:spacing w:before="0" w:after="0"/>
        <w:ind w:left="198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 having (in the reasonable opinion of the Board) a value at least equal to the value of Executive’s then-unvested Company Equity Awards, then fifty percent (50%) of the Executive’s outstanding, unvested Company Equity Awards shall become fully and immediately vested immediately prior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 accounting firm made hereunder shall be final, binding and conclusive upon the Company and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tbl>
      <w:tblPr>
        <w:tblW w:w="3933" w:type="dxa"/>
        <w:jc w:val="left"/>
        <w:tblInd w:w="0" w:type="dxa"/>
        <w:tblLayout w:type="fixed"/>
        <w:tblCellMar>
          <w:top w:w="0" w:type="dxa"/>
          <w:left w:w="0" w:type="dxa"/>
          <w:bottom w:w="0" w:type="dxa"/>
          <w:right w:w="0" w:type="dxa"/>
        </w:tblCellMar>
      </w:tblPr>
      <w:tblGrid>
        <w:gridCol w:w="23"/>
        <w:gridCol w:w="125"/>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3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personally delivered, at the time of delivery;</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sent by overnight courier service, at the end of the next business day; and/or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 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tbl>
      <w:tblPr>
        <w:tblW w:w="3275" w:type="dxa"/>
        <w:jc w:val="left"/>
        <w:tblInd w:w="0" w:type="dxa"/>
        <w:tblLayout w:type="fixed"/>
        <w:tblCellMar>
          <w:top w:w="0" w:type="dxa"/>
          <w:left w:w="0" w:type="dxa"/>
          <w:bottom w:w="0" w:type="dxa"/>
          <w:right w:w="0" w:type="dxa"/>
        </w:tblCellMar>
      </w:tblPr>
      <w:tblGrid>
        <w:gridCol w:w="124"/>
        <w:gridCol w:w="31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8740" cy="175260"/>
                      <wp:effectExtent l="0" t="0" r="0" b="0"/>
                      <wp:wrapNone/>
                      <wp:docPr id="309" name="Frame3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00885" cy="175260"/>
                      <wp:effectExtent l="0" t="0" r="0" b="0"/>
                      <wp:wrapNone/>
                      <wp:docPr id="310" name="Frame309"/>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Anthony Marucci</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Anthony Marucci</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CEO</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Margo Heath-Chiozzi</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Margo Heath-Chiozzi, M.D.</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74" w:name="cldx-20251231xex10d15.htm"/>
      <w:bookmarkStart w:id="975" w:name="kscldx20251231xex10d15"/>
      <w:bookmarkEnd w:id="974"/>
      <w:bookmarkEnd w:id="975"/>
      <w:r>
        <w:rPr>
          <w:rFonts w:ascii="Times New Roman;Times;serif" w:hAnsi="Times New Roman;Times;serif"/>
          <w:b/>
          <w:sz w:val="20"/>
        </w:rPr>
        <w:t>Exhibit 10.15</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Elizabeth Crowley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and Chief Product Development Officer pursuant to the terms of an employment agreement dated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Senior Vice President and Chief Product Development Officer,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Senior Vice President and Chief Product Development Officer,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$498,000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 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Board of Directors of the Company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Senior Vice President and Chief Product Development Officer, shall perform such duties as the Company may reasonably require, and shall use the Executive’s best efforts to carry into effect the directions of the Company’s senior management. The Executive shall report to the CEO or any other officer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that the CEO or Board shall designate from time to time. During the Term, the Executive 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cause and if the Executive does so to the reasonable satisfaction of the Company, the Term shall 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(b) a relocation of the Executive’s business office to a location more than fifty (50) miles from the location in New Haven, Connecticut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earned and accrued but remaining unpaid prior to termination. In addition, if and to the extent the 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Further, in the event that the Term is terminated pursuant to Section 6.b(i) or Section 6.b(ii), twenty-five percent (25%) of the Executive’s outstanding, unvested options ,restricted stock and/or equity awards shall  become fully and immediately vested.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 Bonus earned and accrued but remaining unpaid prior to termination) shall cease upon such termination.</w:t>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having (in the reasonable opinion of the Board) a value at least equal to the value of Executive’s then-unvested Company Equity Awards, then fifty percent (50%) of the Executive’s outstanding, unvested Company Equity Awards shall become fully and immediately vested immediately prior 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accounting firm made hereunder shall be final, binding and conclusive upon the Company and the Executive.</w:t>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personally delivered, at the time of delivery;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sent by overnight courier service, at the end of the next business day; and/or</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 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 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74" w:type="dxa"/>
        <w:jc w:val="center"/>
        <w:tblInd w:w="0" w:type="dxa"/>
        <w:tblLayout w:type="fixed"/>
        <w:tblCellMar>
          <w:top w:w="0" w:type="dxa"/>
          <w:left w:w="0" w:type="dxa"/>
          <w:bottom w:w="0" w:type="dxa"/>
          <w:right w:w="0" w:type="dxa"/>
        </w:tblCellMar>
      </w:tblPr>
      <w:tblGrid>
        <w:gridCol w:w="124"/>
        <w:gridCol w:w="807"/>
        <w:gridCol w:w="2343"/>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Marucci</w:t>
            </w:r>
          </w:p>
        </w:tc>
      </w:tr>
      <w:tr>
        <w:trPr/>
        <w:tc>
          <w:tcPr>
            <w:tcW w:w="124"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Marucci</w:t>
            </w:r>
          </w:p>
        </w:tc>
      </w:tr>
      <w:tr>
        <w:trPr/>
        <w:tc>
          <w:tcPr>
            <w:tcW w:w="124" w:type="dxa"/>
            <w:tcBorders/>
            <w:vAlign w:val="center"/>
          </w:tcPr>
          <w:p>
            <w:pPr>
              <w:pStyle w:val="TableContents"/>
              <w:pBdr/>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CEO</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Elizabeth Crowley</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Elizabeth Crowley</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76" w:name="cldx-20251231xex10d16.htm"/>
      <w:bookmarkStart w:id="977" w:name="kscldx20251231xex10d16"/>
      <w:bookmarkEnd w:id="976"/>
      <w:bookmarkEnd w:id="977"/>
      <w:r>
        <w:rPr>
          <w:rFonts w:ascii="Times New Roman;Times;serif" w:hAnsi="Times New Roman;Times;serif"/>
          <w:b/>
          <w:sz w:val="20"/>
        </w:rPr>
        <w:t>Exhibit 10.16</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Diane Young, M.D.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and Chief Medical Officer pursuant to the terms of an employment agreement dated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Senior Vice President and Chief Medical Officer,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Senior Vice President and Chief Medical Officer,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$525,000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 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Board of Directors of the Company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Senior Vice President and Chief Medical Officer, shall perform such duties as the Company may reasonably require, and shall use the Executive’s best efforts to carry into effect the directions of the Company’s senior management. The Executive shall report to the CEO or any other officer of the Company that the CEO or Board shall designate from time to time. During the Term,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be bound 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Termination for Cause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 cause and if the Executive does so to the reasonable satisfaction of the Company, the Term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(b) a relocation of the Executive’s business office to a location more than fifty (50) miles from the location in Hampton, New Jersey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 earned and accrued but remaining unpaid prior to termination. In addition, if and to the extent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 Annual Bonus earned and accrued but remaining unpaid prior to termination) shall cease upon such termination.</w:t>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 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 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 having (in the reasonable opinion of the Board) a value at least equal to the value of Executive’s then-unvested Company Equity Awards, then fifty percent (50%) of the Executive’s outstanding, unvested Company Equity Awards shall become fully and immediately vested immediately prior to the consummation of the Change in Control (and the remaining fifty percent (50%) shall terminate upon the consummation of the Change in Control). Notwithstanding any provisions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 accounting firm made hereunder shall be final, binding and conclusive upon the Company and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personally delivered, at the time of delivery;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sent by overnight courier service, at the end of the next business day; and/or</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 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75" w:type="dxa"/>
        <w:jc w:val="left"/>
        <w:tblInd w:w="0" w:type="dxa"/>
        <w:tblLayout w:type="fixed"/>
        <w:tblCellMar>
          <w:top w:w="0" w:type="dxa"/>
          <w:left w:w="0" w:type="dxa"/>
          <w:bottom w:w="0" w:type="dxa"/>
          <w:right w:w="0" w:type="dxa"/>
        </w:tblCellMar>
      </w:tblPr>
      <w:tblGrid>
        <w:gridCol w:w="124"/>
        <w:gridCol w:w="3151"/>
      </w:tblGrid>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Anthony Marucci</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Anthony Marucci</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CEO</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Diane Young</w:t>
            </w:r>
          </w:p>
        </w:tc>
      </w:tr>
      <w:tr>
        <w:trPr/>
        <w:tc>
          <w:tcPr>
            <w:tcW w:w="124" w:type="dxa"/>
            <w:tcBorders/>
            <w:vAlign w:val="center"/>
          </w:tcPr>
          <w:p>
            <w:pPr>
              <w:pStyle w:val="TableContents"/>
              <w:bidi w:val="0"/>
              <w:spacing w:before="0" w:after="0"/>
              <w:ind w:left="0" w:right="0" w:hanging="0"/>
              <w:jc w:val="left"/>
              <w:rPr/>
            </w:pPr>
            <w:r>
              <w:rPr/>
              <w:t>​</w:t>
            </w:r>
          </w:p>
        </w:tc>
        <w:tc>
          <w:tcPr>
            <w:tcW w:w="31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Diane Young, M.D.</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78" w:name="cldx-20251231xex10d17.htm"/>
      <w:bookmarkStart w:id="979" w:name="kscldx20251231xex10d17"/>
      <w:bookmarkEnd w:id="978"/>
      <w:bookmarkEnd w:id="979"/>
      <w:r>
        <w:rPr>
          <w:rFonts w:ascii="Times New Roman;Times;serif" w:hAnsi="Times New Roman;Times;serif"/>
          <w:b/>
          <w:sz w:val="20"/>
        </w:rPr>
        <w:t>Exhibit 10.17</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AMENDED AND RESTATED EMPLOYMENT AGREEMENT </w:t>
      </w:r>
      <w:r>
        <w:rPr>
          <w:rFonts w:ascii="Times New Roman;Times;serif" w:hAnsi="Times New Roman;Times;serif"/>
          <w:sz w:val="20"/>
        </w:rPr>
        <w:t>(the “</w:t>
      </w:r>
      <w:r>
        <w:rPr>
          <w:rFonts w:ascii="Times New Roman;Times;serif" w:hAnsi="Times New Roman;Times;serif"/>
          <w:b/>
          <w:sz w:val="20"/>
        </w:rPr>
        <w:t>Agreement</w:t>
      </w:r>
      <w:r>
        <w:rPr>
          <w:rFonts w:ascii="Times New Roman;Times;serif" w:hAnsi="Times New Roman;Times;serif"/>
          <w:sz w:val="20"/>
        </w:rPr>
        <w:t>”) is entered into as of December 8, 2025 (the “</w:t>
      </w:r>
      <w:r>
        <w:rPr>
          <w:rFonts w:ascii="Times New Roman;Times;serif" w:hAnsi="Times New Roman;Times;serif"/>
          <w:b/>
          <w:sz w:val="20"/>
        </w:rPr>
        <w:t>Effective Date</w:t>
      </w:r>
      <w:r>
        <w:rPr>
          <w:rFonts w:ascii="Times New Roman;Times;serif" w:hAnsi="Times New Roman;Times;serif"/>
          <w:sz w:val="20"/>
        </w:rPr>
        <w:t>”), between Freddy Jimenez (the “</w:t>
      </w:r>
      <w:r>
        <w:rPr>
          <w:rFonts w:ascii="Times New Roman;Times;serif" w:hAnsi="Times New Roman;Times;serif"/>
          <w:b/>
          <w:sz w:val="20"/>
        </w:rPr>
        <w:t>Executive</w:t>
      </w:r>
      <w:r>
        <w:rPr>
          <w:rFonts w:ascii="Times New Roman;Times;serif" w:hAnsi="Times New Roman;Times;serif"/>
          <w:sz w:val="20"/>
        </w:rPr>
        <w:t>”) and Celldex Therapeutics, Inc., a Delaware corporation (the “</w:t>
      </w:r>
      <w:r>
        <w:rPr>
          <w:rFonts w:ascii="Times New Roman;Times;serif" w:hAnsi="Times New Roman;Times;serif"/>
          <w:b/>
          <w:sz w:val="20"/>
        </w:rPr>
        <w:t>Company</w:t>
      </w:r>
      <w:r>
        <w:rPr>
          <w:rFonts w:ascii="Times New Roman;Times;serif" w:hAnsi="Times New Roman;Times;serif"/>
          <w:sz w:val="20"/>
        </w:rPr>
        <w:t>”) (collectively, the Executive and the Company shall be referred to as the “</w:t>
      </w:r>
      <w:r>
        <w:rPr>
          <w:rFonts w:ascii="Times New Roman;Times;serif" w:hAnsi="Times New Roman;Times;serif"/>
          <w:b/>
          <w:sz w:val="20"/>
        </w:rPr>
        <w:t>Parties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 I T N E S S E T 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Executive has been employed by the Company as its Senior Vice President and General Counsel pursuant to the terms of an employment agreement dated July 1, 2021 (the “</w:t>
      </w:r>
      <w:r>
        <w:rPr>
          <w:rFonts w:ascii="Times New Roman;Times;serif" w:hAnsi="Times New Roman;Times;serif"/>
          <w:b/>
          <w:sz w:val="20"/>
        </w:rPr>
        <w:t>Prior Employment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as of the Effective Date the Company desires to continue to employ the Executive as its Senior Vice President and General Counsel, and the Executive desires to accept such employment, on the terms and conditions set forth in this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Executive have mutually agreed that, as of the Effective Date, this Agreement shall amend, restate and replace the Prior Employment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promises and agreements contained herein, 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PURPOSE</w:t>
      </w:r>
      <w:r>
        <w:rPr>
          <w:rFonts w:ascii="Times New Roman;Times;serif" w:hAnsi="Times New Roman;Times;serif"/>
          <w:sz w:val="20"/>
        </w:rPr>
        <w:t>. The Company desires to avail itself of the services of the Executive as Senior Vice President and General Counsel, and the Executive desires to provide such services in accordance with the terms of this Agreement. The Parties agree that the duties and obligations expected of the Executive and of the Company are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EFFECTIVE DATE AND TERM.</w:t>
      </w:r>
      <w:r>
        <w:rPr>
          <w:rFonts w:ascii="Times New Roman;Times;serif" w:hAnsi="Times New Roman;Times;serif"/>
          <w:sz w:val="20"/>
        </w:rPr>
        <w:t xml:space="preserve"> This Agreement shall be effective, and its term (the “</w:t>
      </w:r>
      <w:r>
        <w:rPr>
          <w:rFonts w:ascii="Times New Roman;Times;serif" w:hAnsi="Times New Roman;Times;serif"/>
          <w:b/>
          <w:sz w:val="20"/>
        </w:rPr>
        <w:t>Term</w:t>
      </w:r>
      <w:r>
        <w:rPr>
          <w:rFonts w:ascii="Times New Roman;Times;serif" w:hAnsi="Times New Roman;Times;serif"/>
          <w:sz w:val="20"/>
        </w:rPr>
        <w:t>”) shall commence as of the Effective Date. The Term shall continue through and until December 31, 2026 (the “</w:t>
      </w:r>
      <w:r>
        <w:rPr>
          <w:rFonts w:ascii="Times New Roman;Times;serif" w:hAnsi="Times New Roman;Times;serif"/>
          <w:b/>
          <w:sz w:val="20"/>
        </w:rPr>
        <w:t>Initial Term</w:t>
      </w:r>
      <w:r>
        <w:rPr>
          <w:rFonts w:ascii="Times New Roman;Times;serif" w:hAnsi="Times New Roman;Times;serif"/>
          <w:sz w:val="20"/>
        </w:rPr>
        <w:t>”), unless terminated sooner as provided by this Agreement or extended by the Parties. The Term shall be automatically renewed for successive periods of one (1) year each (each, a “</w:t>
      </w:r>
      <w:r>
        <w:rPr>
          <w:rFonts w:ascii="Times New Roman;Times;serif" w:hAnsi="Times New Roman;Times;serif"/>
          <w:b/>
          <w:sz w:val="20"/>
        </w:rPr>
        <w:t>Renewal Term</w:t>
      </w:r>
      <w:r>
        <w:rPr>
          <w:rFonts w:ascii="Times New Roman;Times;serif" w:hAnsi="Times New Roman;Times;serif"/>
          <w:sz w:val="20"/>
        </w:rPr>
        <w:t>”), unless either Party gives to the other written notice of intent not to renew at least ninety (90) days prior to the expiration of the Initial Term or any Renewal Term (a “</w:t>
      </w:r>
      <w:r>
        <w:rPr>
          <w:rFonts w:ascii="Times New Roman;Times;serif" w:hAnsi="Times New Roman;Times;serif"/>
          <w:b/>
          <w:sz w:val="20"/>
        </w:rPr>
        <w:t>Notice of Non-Renewal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Salary.</w:t>
      </w:r>
      <w:r>
        <w:rPr>
          <w:rFonts w:ascii="Times New Roman;Times;serif" w:hAnsi="Times New Roman;Times;serif"/>
          <w:sz w:val="20"/>
        </w:rPr>
        <w:t xml:space="preserve"> During the Term, the Company shall pay or cause to be paid to the Executive, in installments pursuant to the Company’s payroll practices as in effect from time to time, a base salary at a rate of $498,000 per annum or such greater amount as may from time to time be determined by the Company (the “</w:t>
      </w:r>
      <w:r>
        <w:rPr>
          <w:rFonts w:ascii="Times New Roman;Times;serif" w:hAnsi="Times New Roman;Times;serif"/>
          <w:b/>
          <w:sz w:val="20"/>
        </w:rPr>
        <w:t>Base Salary</w:t>
      </w:r>
      <w:r>
        <w:rPr>
          <w:rFonts w:ascii="Times New Roman;Times;serif" w:hAnsi="Times New Roman;Times;serif"/>
          <w:sz w:val="20"/>
        </w:rPr>
        <w:t>”). The Base Salary shall be reviewed annually in accordance with the Company’s compensation and review policies and, in the sole discretion of the Company, may be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Annual Bonus</w:t>
      </w:r>
      <w:r>
        <w:rPr>
          <w:rFonts w:ascii="Times New Roman;Times;serif" w:hAnsi="Times New Roman;Times;serif"/>
          <w:sz w:val="20"/>
        </w:rPr>
        <w:t>. With respect to each fiscal year of the Company that ends during the Term, the Executive shall be eligible to receive an annual bonus having a target of 45% of the Executive’s then-current Base Salary (the “</w:t>
      </w:r>
      <w:r>
        <w:rPr>
          <w:rFonts w:ascii="Times New Roman;Times;serif" w:hAnsi="Times New Roman;Times;serif"/>
          <w:b/>
          <w:sz w:val="20"/>
        </w:rPr>
        <w:t>Annual Bonus</w:t>
      </w:r>
      <w:r>
        <w:rPr>
          <w:rFonts w:ascii="Times New Roman;Times;serif" w:hAnsi="Times New Roman;Times;serif"/>
          <w:sz w:val="20"/>
        </w:rPr>
        <w:t>”) (pro-rated for partial years)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upon the Executive’s overall performance of the Executive’s services on behalf of the Company during such fiscal year. The attainment of any applicable performance goals and the amount to be paid in respect of the Annual Bonus shall be determined by the Company’s Chief Executive Officer (“</w:t>
      </w:r>
      <w:r>
        <w:rPr>
          <w:rFonts w:ascii="Times New Roman;Times;serif" w:hAnsi="Times New Roman;Times;serif"/>
          <w:b/>
          <w:sz w:val="20"/>
        </w:rPr>
        <w:t>CEO</w:t>
      </w:r>
      <w:r>
        <w:rPr>
          <w:rFonts w:ascii="Times New Roman;Times;serif" w:hAnsi="Times New Roman;Times;serif"/>
          <w:sz w:val="20"/>
        </w:rPr>
        <w:t>”) in good faith and in accordance with such written goals and policies as may be established from time to time by the Company. The Annual Bonus shall be deemed to have been earned and accrued only upon the formal approval of the Company of the amount of the Annual Bonus following such determination. The Annual Bonus, if any, shall be payable as a lump-sum payment within sixty (60) days immediately following the last day of the applicable fiscal year. The Board of Directors of the Company (the “</w:t>
      </w:r>
      <w:r>
        <w:rPr>
          <w:rFonts w:ascii="Times New Roman;Times;serif" w:hAnsi="Times New Roman;Times;serif"/>
          <w:b/>
          <w:sz w:val="20"/>
        </w:rPr>
        <w:t>Board</w:t>
      </w:r>
      <w:r>
        <w:rPr>
          <w:rFonts w:ascii="Times New Roman;Times;serif" w:hAnsi="Times New Roman;Times;serif"/>
          <w:sz w:val="20"/>
        </w:rPr>
        <w:t>”) may delegate all or any of its obligations under this Agreement to the Compensation and Organization Development Committee of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Expenses.</w:t>
      </w:r>
      <w:r>
        <w:rPr>
          <w:rFonts w:ascii="Times New Roman;Times;serif" w:hAnsi="Times New Roman;Times;serif"/>
          <w:sz w:val="20"/>
        </w:rPr>
        <w:t xml:space="preserve"> The Company shall reimburse the Executive for any travel, hotel, entertainment and other expenses reasonably incurred by the Executive in furtherance of the Executive’s duties under this Agreement subject to and in accordance with the Company’s applicable travel and expense reimbursement policies in effect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 xml:space="preserve">Employee Benefits. </w:t>
      </w:r>
      <w:r>
        <w:rPr>
          <w:rFonts w:ascii="Times New Roman;Times;serif" w:hAnsi="Times New Roman;Times;serif"/>
          <w:sz w:val="20"/>
        </w:rPr>
        <w:t>The Executive shall be entitled to participate in any and all employee benefit plans in effect from time to time that are provided generally to employees of the Company (excluding severance plans, if any), and in any executive perquisite programs in effect from time to time that provides benefits to other executives of the Company of comparable stature and with comparable duties and responsibilities, in each case to the extent permissible under the general terms and provisions of such plans or programs and in accordance with the provisions thereof. The Company may amend, modify or rescind any employee benefit plan or program and/or change employee contribution amounts to benefit costs without notice in its discretion. The Executive shall, during the Term, be entitled to paid time off in accordance with applicable Company policies in effect from time to time, in addition to public holidays observed by the Company. Pursuant to the Company’s current paid time off policy, the Executive shall be entitled to twenty (20) business days of vacation each year (increasing to twenty-five (25) business days after ten (10) years of service as an employee of the Company (including employment with any subsidiary of the Company)). The Executive shall be entitled to carry any unused vacation days over to the next calendar year. However, in no event will Executive’s accrued but unused vacation exceed forty (40)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Directors’ and Officers’ Liability Insurance</w:t>
      </w:r>
      <w:r>
        <w:rPr>
          <w:rFonts w:ascii="Times New Roman;Times;serif" w:hAnsi="Times New Roman;Times;serif"/>
          <w:sz w:val="20"/>
        </w:rPr>
        <w:t>. The Company shall indemnify the Executive to the fullest extent permitted under its by-laws. During the Term, the Company shall acquire and pay for directors’ and officers’ liability insurance coverage for its senior executive officers, and the Executive shall be named as a covered officer under such policy during the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DUTIES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Duties.</w:t>
      </w:r>
      <w:r>
        <w:rPr>
          <w:rFonts w:ascii="Times New Roman;Times;serif" w:hAnsi="Times New Roman;Times;serif"/>
          <w:sz w:val="20"/>
        </w:rPr>
        <w:t xml:space="preserve"> During the Term, the Executive shall hold the title of Senior Vice President and General Counsel, shall perform such duties as the Company may reasonably require, and shall use the Executive’s best efforts to carry into effect the directions of the Company’s senior management. The Executive shall report to the CEO or any other officer of the Company that the CEO or Board shall designate from time to time. During the Term, the Executive shall be bound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and comply fully with, all of the Company’s policies and procedures in place from time to time for employees and, to the extent applicable,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Representation. </w:t>
      </w:r>
      <w:r>
        <w:rPr>
          <w:rFonts w:ascii="Times New Roman;Times;serif" w:hAnsi="Times New Roman;Times;serif"/>
          <w:sz w:val="20"/>
        </w:rPr>
        <w:t xml:space="preserve">During the Term, the Executive shall well and faithfully serve the Company and use the Executive’s best efforts to promote the interests of the Company. The Executive shall at all times give the Company the full benefit of the Executive’s knowledge, expertise, technical skill and ingenuity in the performance of the Executive’s duties and exercise of the Executive’s powers and authority in the capacity or capacities described in </w:t>
      </w:r>
      <w:r>
        <w:rPr>
          <w:rFonts w:ascii="Times New Roman;Times;serif" w:hAnsi="Times New Roman;Times;serif"/>
          <w:sz w:val="20"/>
          <w:u w:val="single"/>
        </w:rPr>
        <w:t>Section 4(a</w:t>
      </w:r>
      <w:r>
        <w:rPr>
          <w:rFonts w:ascii="Times New Roman;Times;serif" w:hAnsi="Times New Roman;Times;serif"/>
          <w:sz w:val="20"/>
        </w:rPr>
        <w:t>) hereof,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Time Devoted by Executive.</w:t>
      </w:r>
      <w:r>
        <w:rPr>
          <w:rFonts w:ascii="Times New Roman;Times;serif" w:hAnsi="Times New Roman;Times;serif"/>
          <w:sz w:val="20"/>
        </w:rPr>
        <w:t xml:space="preserve"> The Executive agrees to devote substantially all of the Executive’s time and attention during business hours and such additional time and attention as may reasonably be required to perform the Executive’s duties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RESTRICTIVE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General</w:t>
      </w:r>
      <w:r>
        <w:rPr>
          <w:rFonts w:ascii="Times New Roman;Times;serif" w:hAnsi="Times New Roman;Times;serif"/>
          <w:sz w:val="20"/>
        </w:rPr>
        <w:t>. The Executive acknowledges and recognizes the highly competitive nature of the business of the Company, that access to confidential information renders the Executive special and unique within the industry of the Company, and that the Executive will have the opportunity to develop substantial relationships with existing and prospective clients, accounts, customers, consultants, contractors, investors, and strategic partners of the Company during the course of and as a result of the Executive’s employment with the Company. In light of the foregoing, as a condition of the Executive’s employment by the Company, and in consideration of the Executive’s employment hereunder and the compensation and benefits provided herein, by entering into this Agreement, the Executive agrees to and affirms those obligations under that certain Employee Non-Disclosure Invention Assignment Agreement (“</w:t>
      </w:r>
      <w:r>
        <w:rPr>
          <w:rFonts w:ascii="Times New Roman;Times;serif" w:hAnsi="Times New Roman;Times;serif"/>
          <w:b/>
          <w:sz w:val="20"/>
        </w:rPr>
        <w:t>NDIAA</w:t>
      </w:r>
      <w:r>
        <w:rPr>
          <w:rFonts w:ascii="Times New Roman;Times;serif" w:hAnsi="Times New Roman;Times;serif"/>
          <w:sz w:val="20"/>
        </w:rPr>
        <w:t>”) which is attached hereto as Appendix A and forms a part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Termination</w:t>
      </w:r>
      <w:r>
        <w:rPr>
          <w:rFonts w:ascii="Times New Roman;Times;serif" w:hAnsi="Times New Roman;Times;serif"/>
          <w:sz w:val="20"/>
        </w:rPr>
        <w:t>. In the event of the Executive’s termination of employment hereunder for any reason, the NDIAA will continue in effect pursuant to its terms, and, upon the Executive’s termination of employment for any reason, or at any time sooner upon demand, the Executive shall deliver to the Company (and will not keep in the Executive’s possession, recreate, or deliver to anyone else, unless required for any legal or governmental use) any and all Confidential Information (as defined in the NDIAA) and all other documents, materials, information, and property developed by the Executive pursuant to the Executive’s employment hereunder or otherwise belonging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TERMINATION.</w:t>
      </w:r>
    </w:p>
    <w:tbl>
      <w:tblPr>
        <w:tblW w:w="3603" w:type="dxa"/>
        <w:jc w:val="left"/>
        <w:tblInd w:w="0" w:type="dxa"/>
        <w:tblLayout w:type="fixed"/>
        <w:tblCellMar>
          <w:top w:w="0" w:type="dxa"/>
          <w:left w:w="0" w:type="dxa"/>
          <w:bottom w:w="0" w:type="dxa"/>
          <w:right w:w="0" w:type="dxa"/>
        </w:tblCellMar>
      </w:tblPr>
      <w:tblGrid>
        <w:gridCol w:w="23"/>
        <w:gridCol w:w="155"/>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34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Cause by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This Agreement and the Term may be terminated “for cause” by the Company pursuant to the provisions of this Subsection 6.a. If the Company determines that “cause” exists for termination of the Executive’s employment, written notice thereof must be given to the Executive describing the state of affairs or facts deemed by the Company to constitute such cause. Unless the Company determines that the conduct constituting cause is not curable, the Executive shall have thirty (30) days after receipt of such notice to cure the reason constituting cause and if the Executive does so to the reasonable satisfaction of the Company, the Term shall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be terminated for the cause specified in the notice. During such thirty (30) day period, the Term shall continue and the Executive shall continue to receive the Executive’s full Base Salary, expenses and benefits pursuant to this Agreement. If such cause is not cured to the Company’s reasonable satisfaction within such thirty (30) day period, the Executive may then be immediately terminated by the Company. For purposes of this Agreement, the words “for cause” or “cause” means (i) dishonest statements or acts of the Executive with respect to the Company or any subsidiary or other affiliate of the Company; (ii) the commission by or indictment of the Executive for (A) a felony or (B) any misdemeanor involving moral turpitude, deceit, dishonesty or fraud (indictment, for these purposes, meaning an indictment, probable cause hearing or any other procedure pursuant to which an initial determination of probable or reasonable cause with respect to such offense is made); or (iii) gross negligence, willful misconduct or insubordination of the Executive with respect to the Company or any subsidiary or other affiliate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by the Company for cause, the Executive’s entire right to salary and benefits hereunder (with the exception of Base Salary and Annual Bonus (if any) earned and accrued but remaining unpaid prior to termination) shall cease upon such termination.</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0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Without Cause by the Company or for Good Reason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shall have the right to terminate the Term, at any time, without cause upon ninety (90) days’ written notice to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The Executive shall have the right to terminate the Term for good reason on thirty (30) days written notice to the Company. For purposes of this Agreement, the words “for good reason” or “good reason” shall be limited to the following actions by the Company without the Executive’s consent: (a) the assignment to the Executive of any duties or responsibilities that results in a material diminution in the Executive’s position or function; </w:t>
      </w:r>
      <w:r>
        <w:rPr>
          <w:rFonts w:ascii="Times New Roman;Times;serif" w:hAnsi="Times New Roman;Times;serif"/>
          <w:i/>
          <w:sz w:val="20"/>
        </w:rPr>
        <w:t>provided, however,</w:t>
      </w:r>
      <w:r>
        <w:rPr>
          <w:rFonts w:ascii="Times New Roman;Times;serif" w:hAnsi="Times New Roman;Times;serif"/>
          <w:sz w:val="20"/>
        </w:rPr>
        <w:t xml:space="preserve"> that a change in the Executive’s title or reporting relationships shall not provide the basis for a termination with good reason; (b) a relocation of the Executive’s business office to a location more than fifty (50) miles from the location in Hampton, New Jersey at which the Executive is working as of the Effective Date, except for required travel by the Executive on the Company’s business to an extent substantially consistent with the Executive’s business travel obligations as of the Effective Date; or (c) a material breach by the Company of any provision of this Agreement or any other material agreement between the Executive and the Company concerning the terms and conditions of the Executive’s employment. Such a termination by the Executive for good reason shall not be considered a resignation pursuant to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the event the Term is terminated pursuant to Subsection 6.b.(i) or 6.b.(ii), or in the event that the Term is terminated at the end of the Initial Term or a Renewal Term in connection with the Company providing the Executive with a Notice of Non-Renewal effective in connection with the expiration of the Initial Term or a Renewal Term, the Company shall pay the Executive as a severance benefit a lump sum cash severance payment in an amount equal to one hundred percent (100%) of the Executive’s then existing annual Base Salary (</w:t>
      </w:r>
      <w:r>
        <w:rPr>
          <w:rFonts w:ascii="Times New Roman;Times;serif" w:hAnsi="Times New Roman;Times;serif"/>
          <w:i/>
          <w:sz w:val="20"/>
        </w:rPr>
        <w:t>i.e.</w:t>
      </w:r>
      <w:r>
        <w:rPr>
          <w:rFonts w:ascii="Times New Roman;Times;serif" w:hAnsi="Times New Roman;Times;serif"/>
          <w:sz w:val="20"/>
        </w:rPr>
        <w:t>, twelve (12) months of Base Salary) (the “</w:t>
      </w:r>
      <w:r>
        <w:rPr>
          <w:rFonts w:ascii="Times New Roman;Times;serif" w:hAnsi="Times New Roman;Times;serif"/>
          <w:b/>
          <w:sz w:val="20"/>
        </w:rPr>
        <w:t>Severance Payment</w:t>
      </w:r>
      <w:r>
        <w:rPr>
          <w:rFonts w:ascii="Times New Roman;Times;serif" w:hAnsi="Times New Roman;Times;serif"/>
          <w:sz w:val="20"/>
        </w:rPr>
        <w:t>”) plus Base Salary and Annual Bonus (if any) earned and accrued but remaining unpaid prior to termination. In addition, if and to the extent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timely elects to continue the Executive’s health insurance employee benefits pursuant to COBRA, then the Company will pay the Executive for a period of eighteen (18 months), commencing with the payroll date on or following the sixty-third (63</w:t>
      </w:r>
      <w:r>
        <w:rPr>
          <w:rFonts w:ascii="Times New Roman;Times;serif" w:hAnsi="Times New Roman;Times;serif"/>
          <w:sz w:val="15"/>
        </w:rPr>
        <w:t>rd</w:t>
      </w:r>
      <w:r>
        <w:rPr>
          <w:rFonts w:ascii="Times New Roman;Times;serif" w:hAnsi="Times New Roman;Times;serif"/>
          <w:sz w:val="20"/>
        </w:rPr>
        <w:t>) day after the last day of the Executive’s employment with the Company, subject to the effectiveness of the Release (as defined below) a monthly amount, payable in accordance with the Company’s regular payroll practices, equal to the Company’s applicable COBRA costs in effect as of the date of termination, subject to applicable tax withholdings (the “</w:t>
      </w:r>
      <w:r>
        <w:rPr>
          <w:rFonts w:ascii="Times New Roman;Times;serif" w:hAnsi="Times New Roman;Times;serif"/>
          <w:b/>
          <w:sz w:val="20"/>
        </w:rPr>
        <w:t>Supplemental Payments</w:t>
      </w:r>
      <w:r>
        <w:rPr>
          <w:rFonts w:ascii="Times New Roman;Times;serif" w:hAnsi="Times New Roman;Times;serif"/>
          <w:sz w:val="20"/>
        </w:rPr>
        <w:t xml:space="preserve">”). The Severance Payment shall be paid within ten (10) days following the effectiveness of the Release (as defined below);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Internal Revenue Code of 1986, as amended (the “</w:t>
      </w:r>
      <w:r>
        <w:rPr>
          <w:rFonts w:ascii="Times New Roman;Times;serif" w:hAnsi="Times New Roman;Times;serif"/>
          <w:b/>
          <w:sz w:val="20"/>
        </w:rPr>
        <w:t>Code</w:t>
      </w:r>
      <w:r>
        <w:rPr>
          <w:rFonts w:ascii="Times New Roman;Times;serif" w:hAnsi="Times New Roman;Times;serif"/>
          <w:sz w:val="20"/>
        </w:rPr>
        <w:t>”) concerning payments to “specified employees,” to the extent applicable, such payment shall be delayed until the first business day of the seventh month following the Executive’s termination of employment and “separation from service” (within the meaning of Section 409A of the Code). Notwithstanding any provisions of the stock option plan or stock option agreement pursuant to which any stock options were granted to the Executive, the Executive shall be entitled to exercise the Executive’s vested equity awards until one (1) year from the date of termination of employment or the expiration of the stated period of the vested equity award,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 provision to the contrary contained herein, the Executive shall not be eligible or entitled to receive the Severance Payment, Supplemental Payments or Change in Control Payment (as defined below), as applicable, unless the Executive executes (and does not revoke during any applicable revocation period) and delivers to the Company a separation agreement and release of claims, in such form prepared in good faith by the Company and provided to the Executive to review no later than ten (10) days following the last day of the Executive’s employment with the Company, within fifty five (55) days following the Executive’s last day of employment with the Company (the “</w:t>
      </w:r>
      <w:r>
        <w:rPr>
          <w:rFonts w:ascii="Times New Roman;Times;serif" w:hAnsi="Times New Roman;Times;serif"/>
          <w:b/>
          <w:sz w:val="20"/>
        </w:rPr>
        <w:t>Release</w:t>
      </w:r>
      <w:r>
        <w:rPr>
          <w:rFonts w:ascii="Times New Roman;Times;serif" w:hAnsi="Times New Roman;Times;serif"/>
          <w:sz w:val="20"/>
        </w:rPr>
        <w:t>”). Notwithstanding anything to the contrary contained herein, in the event such fifty five (55)-day period covers more than one calendar year, the Severance Payment shall be paid in the second calendar year (on the first regular pay date of such calendar year following the date that the Release becomes effective and is no longer subject to revocation, unless a later date is required by Section 6.b.(iii) above), regardless of whether the Executive executes and delivers the Release in the first or the second calendar year encompassed in such fifty five (55)-day period.</w:t>
      </w:r>
    </w:p>
    <w:tbl>
      <w:tblPr>
        <w:tblW w:w="2688" w:type="dxa"/>
        <w:jc w:val="left"/>
        <w:tblInd w:w="0" w:type="dxa"/>
        <w:tblLayout w:type="fixed"/>
        <w:tblCellMar>
          <w:top w:w="0" w:type="dxa"/>
          <w:left w:w="0" w:type="dxa"/>
          <w:bottom w:w="0" w:type="dxa"/>
          <w:right w:w="0" w:type="dxa"/>
        </w:tblCellMar>
      </w:tblPr>
      <w:tblGrid>
        <w:gridCol w:w="23"/>
        <w:gridCol w:w="15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25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Resignation by the Executive.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Executive shall have the right to terminate the Term, by way of resignation, upon ninety (90) days’ written notice to the Company. A termination by the Executive for good reason pursuant to Subsection 6.b.(ii) shall not be considered a resignation pursuant to this Subsection 6.c.(i).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6.c.(i), the Executive’s entire right to salary and benefits hereunder (with the exception of Base Salary and Annual Bonus earned and accrued but remaining unpaid prior to termination) shall cease upon such termination.</w:t>
      </w:r>
    </w:p>
    <w:p>
      <w:pPr>
        <w:pStyle w:val="TextBody"/>
        <w:bidi w:val="0"/>
        <w:spacing w:before="0" w:after="240"/>
        <w:ind w:left="198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24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Upon 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purposes of this Agreement, a “</w:t>
      </w:r>
      <w:r>
        <w:rPr>
          <w:rFonts w:ascii="Times New Roman;Times;serif" w:hAnsi="Times New Roman;Times;serif"/>
          <w:b/>
          <w:sz w:val="20"/>
        </w:rPr>
        <w:t>Change in Control</w:t>
      </w:r>
      <w:r>
        <w:rPr>
          <w:rFonts w:ascii="Times New Roman;Times;serif" w:hAnsi="Times New Roman;Times;serif"/>
          <w:sz w:val="20"/>
        </w:rPr>
        <w:t>” shall mean any of the following events that occurs following the Effective Date: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1.An acquisition (other than directly from the Company) of any voting securities of the Company (the “</w:t>
      </w:r>
      <w:r>
        <w:rPr>
          <w:rFonts w:ascii="Times New Roman;Times;serif" w:hAnsi="Times New Roman;Times;serif"/>
          <w:b/>
          <w:sz w:val="20"/>
        </w:rPr>
        <w:t>Voting Securities</w:t>
      </w:r>
      <w:r>
        <w:rPr>
          <w:rFonts w:ascii="Times New Roman;Times;serif" w:hAnsi="Times New Roman;Times;serif"/>
          <w:sz w:val="20"/>
        </w:rPr>
        <w:t>”) other than in a “Non-Control Acquisition” (as defined below) by any “</w:t>
      </w:r>
      <w:r>
        <w:rPr>
          <w:rFonts w:ascii="Times New Roman;Times;serif" w:hAnsi="Times New Roman;Times;serif"/>
          <w:b/>
          <w:sz w:val="20"/>
        </w:rPr>
        <w:t>Person</w:t>
      </w:r>
      <w:r>
        <w:rPr>
          <w:rFonts w:ascii="Times New Roman;Times;serif" w:hAnsi="Times New Roman;Times;serif"/>
          <w:sz w:val="20"/>
        </w:rPr>
        <w:t>” (as the term “person” is used for purposes of Section 13(d) or 14(d) of the Securities Exchange Act of 1934, as amended, (the “</w:t>
      </w:r>
      <w:r>
        <w:rPr>
          <w:rFonts w:ascii="Times New Roman;Times;serif" w:hAnsi="Times New Roman;Times;serif"/>
          <w:b/>
          <w:sz w:val="20"/>
        </w:rPr>
        <w:t>1934 Act</w:t>
      </w:r>
      <w:r>
        <w:rPr>
          <w:rFonts w:ascii="Times New Roman;Times;serif" w:hAnsi="Times New Roman;Times;serif"/>
          <w:sz w:val="20"/>
        </w:rPr>
        <w:t>”)) which results in such Person first attaining “</w:t>
      </w:r>
      <w:r>
        <w:rPr>
          <w:rFonts w:ascii="Times New Roman;Times;serif" w:hAnsi="Times New Roman;Times;serif"/>
          <w:b/>
          <w:sz w:val="20"/>
        </w:rPr>
        <w:t>Beneficial Ownership</w:t>
      </w:r>
      <w:r>
        <w:rPr>
          <w:rFonts w:ascii="Times New Roman;Times;serif" w:hAnsi="Times New Roman;Times;serif"/>
          <w:sz w:val="20"/>
        </w:rPr>
        <w:t>” (within the meaning of Rule 13d-3 promulgated under the 1934 Act) of fifty-one percent (51%) or more of the combined voting power of the Company’s then outstanding Voting Securities. For purposes of the foregoing, a “</w:t>
      </w:r>
      <w:r>
        <w:rPr>
          <w:rFonts w:ascii="Times New Roman;Times;serif" w:hAnsi="Times New Roman;Times;serif"/>
          <w:b/>
          <w:sz w:val="20"/>
        </w:rPr>
        <w:t>Non-Control Acquisition</w:t>
      </w:r>
      <w:r>
        <w:rPr>
          <w:rFonts w:ascii="Times New Roman;Times;serif" w:hAnsi="Times New Roman;Times;serif"/>
          <w:sz w:val="20"/>
        </w:rPr>
        <w:t>” shall mean an acquisition by (i) an employee benefit plan (or a trust forming a part thereof) maintained by (x) the Company or (y) any corporation or other Person of which a majority of its voting power or its equity securities or equity interest is owned directly or indirectly by the Company (a “</w:t>
      </w:r>
      <w:r>
        <w:rPr>
          <w:rFonts w:ascii="Times New Roman;Times;serif" w:hAnsi="Times New Roman;Times;serif"/>
          <w:b/>
          <w:sz w:val="20"/>
        </w:rPr>
        <w:t>Subsidiary</w:t>
      </w:r>
      <w:r>
        <w:rPr>
          <w:rFonts w:ascii="Times New Roman;Times;serif" w:hAnsi="Times New Roman;Times;serif"/>
          <w:sz w:val="20"/>
        </w:rPr>
        <w:t>”), or (ii) the Company or any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2.The individuals who, as of the date of this Agreement, were members of the Board (the “</w:t>
      </w:r>
      <w:r>
        <w:rPr>
          <w:rFonts w:ascii="Times New Roman;Times;serif" w:hAnsi="Times New Roman;Times;serif"/>
          <w:b/>
          <w:sz w:val="20"/>
        </w:rPr>
        <w:t>Incumbent Board</w:t>
      </w:r>
      <w:r>
        <w:rPr>
          <w:rFonts w:ascii="Times New Roman;Times;serif" w:hAnsi="Times New Roman;Times;serif"/>
          <w:sz w:val="20"/>
        </w:rPr>
        <w:t xml:space="preserve">”) cease for any reason to constitute at least 66 2/3% of the Board; </w:t>
      </w:r>
      <w:r>
        <w:rPr>
          <w:rFonts w:ascii="Times New Roman;Times;serif" w:hAnsi="Times New Roman;Times;serif"/>
          <w:i/>
          <w:sz w:val="20"/>
        </w:rPr>
        <w:t>provided, however,</w:t>
      </w:r>
      <w:r>
        <w:rPr>
          <w:rFonts w:ascii="Times New Roman;Times;serif" w:hAnsi="Times New Roman;Times;serif"/>
          <w:sz w:val="20"/>
        </w:rPr>
        <w:t xml:space="preserve"> that if the election, or a nomination for election by the Company’s shareholders, of any new director was approved by a vote of at least 66 2/3% of the Incumbent Board, such new director shall be considered as a member of the Incumbent Board; </w:t>
      </w:r>
      <w:r>
        <w:rPr>
          <w:rFonts w:ascii="Times New Roman;Times;serif" w:hAnsi="Times New Roman;Times;serif"/>
          <w:i/>
          <w:sz w:val="20"/>
        </w:rPr>
        <w:t>provided further, however,</w:t>
      </w:r>
      <w:r>
        <w:rPr>
          <w:rFonts w:ascii="Times New Roman;Times;serif" w:hAnsi="Times New Roman;Times;serif"/>
          <w:sz w:val="20"/>
        </w:rPr>
        <w:t xml:space="preserve">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the proxies or consents by or on behalf of a Person other than the Board (a “</w:t>
      </w:r>
      <w:r>
        <w:rPr>
          <w:rFonts w:ascii="Times New Roman;Times;serif" w:hAnsi="Times New Roman;Times;serif"/>
          <w:b/>
          <w:sz w:val="20"/>
        </w:rPr>
        <w:t>Proxy Contest</w:t>
      </w:r>
      <w:r>
        <w:rPr>
          <w:rFonts w:ascii="Times New Roman;Times;serif" w:hAnsi="Times New Roman;Times;serif"/>
          <w:sz w:val="20"/>
        </w:rPr>
        <w:t>”) including by reason of any agreement intended to avoid or settle any Election Contest or Proxy Contest; or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3.The consummation of a transaction approved by the Company’s shareholders and involving: (1) a merger, consolidation or reorganization in which the Company is a constituent corporation, unless (i) the shareholders of the Company, immediately before such merger, consolidation or reorganization, own, directly or indirectly immediately following such merger, consolidation or reorganization, at least a majority of the combined voting power of the outstanding voting securities of the corporation resulting from such merger, consolidation or reorganization (the “</w:t>
      </w:r>
      <w:r>
        <w:rPr>
          <w:rFonts w:ascii="Times New Roman;Times;serif" w:hAnsi="Times New Roman;Times;serif"/>
          <w:b/>
          <w:sz w:val="20"/>
        </w:rPr>
        <w:t>Surviving Corporation</w:t>
      </w:r>
      <w:r>
        <w:rPr>
          <w:rFonts w:ascii="Times New Roman;Times;serif" w:hAnsi="Times New Roman;Times;serif"/>
          <w:sz w:val="20"/>
        </w:rPr>
        <w:t>”) in substantially the same proportion as their ownership of the voting securities immediately before such merger, consolidation or reorganization, (ii) the individuals who were members of the Incumbent Board immediately prior to the execution of the agreement providing for such merger, consolidation or reorganization constitute at least a majority of the members of the board of directors of the Surviving Corporation, and (iii) no Person other than (w) the Company, (x) any Subsidiary, (y) any employee benefit plan (or any trust forming a part thereof) maintained by the Company, the Surviving Corporation or any Subsidiary, or (z) any Person who, immediately prior to such merger, consolidation or reorganization had Beneficial Ownership of fifty-one percent (51%) or more of the then outstanding Voting Securities, has Beneficial Ownership of fifty-one percent (51%) or more of the combined voting power of the Surviving Corporation’s then outstanding voting securities (a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described in clauses (i) and (ii) shall herein be referred to as a “</w:t>
      </w:r>
      <w:r>
        <w:rPr>
          <w:rFonts w:ascii="Times New Roman;Times;serif" w:hAnsi="Times New Roman;Times;serif"/>
          <w:b/>
          <w:sz w:val="20"/>
        </w:rPr>
        <w:t>Non-Control Transaction</w:t>
      </w:r>
      <w:r>
        <w:rPr>
          <w:rFonts w:ascii="Times New Roman;Times;serif" w:hAnsi="Times New Roman;Times;serif"/>
          <w:sz w:val="20"/>
        </w:rPr>
        <w:t>”); (2) a complete liquidation or dissolution of the Company; or (3) an agreement for the sale or other disposition of all or substantially all of the assets of the Company to any Person (other than a transfer to a Subsidiary).</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4.Notwithstanding the foregoing, a Change in Control shall not be deemed to occur solely because the level of Beneficial Ownership held by any Person (the “</w:t>
      </w:r>
      <w:r>
        <w:rPr>
          <w:rFonts w:ascii="Times New Roman;Times;serif" w:hAnsi="Times New Roman;Times;serif"/>
          <w:b/>
          <w:sz w:val="20"/>
        </w:rPr>
        <w:t>Subject Person</w:t>
      </w:r>
      <w:r>
        <w:rPr>
          <w:rFonts w:ascii="Times New Roman;Times;serif" w:hAnsi="Times New Roman;Times;serif"/>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Beneficial Owner of any additional Voting Securities which, assuming the repurchase or other acquisition had not occurred, increases the percentage of the then outstanding Voting Securities Beneficially Owned by the Subject Person over the designated percentage threshold, then 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of a termination of the Term pursuant to an event described in Section 6.b. above, that occurs within a period of one (1) year immediately following a Change in Control, then Sections 4.3 and 4.4 of the NDIAA shall not apply, and this Section 6.d. shall apply instead of Section 6.b., and the Company shall provide the Executive the following benefits: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b/>
          <w:sz w:val="20"/>
        </w:rPr>
        <w:t>Amount:</w:t>
      </w:r>
      <w:r>
        <w:rPr>
          <w:rFonts w:ascii="Times New Roman;Times;serif" w:hAnsi="Times New Roman;Times;serif"/>
          <w:sz w:val="20"/>
        </w:rPr>
        <w:t xml:space="preserve"> In addition to all compensation for services rendered by Executive to the Company up to the date of termination, the Company shall pay to Executive a single lump-sum payment in an amount equal to (i) twenty-four (24) times Executive’s highest monthly base compensation paid hereunder during the preceding twenty-four (24) month period, plus (ii) one hundred fifty percent (150%) of the highest one (1)-year Annual Bonus actually received by the Executive during the preceding two (2) full fiscal years prior to the date of termination (such aggregate amount the “</w:t>
      </w:r>
      <w:r>
        <w:rPr>
          <w:rFonts w:ascii="Times New Roman;Times;serif" w:hAnsi="Times New Roman;Times;serif"/>
          <w:b/>
          <w:sz w:val="20"/>
        </w:rPr>
        <w:t>Change in Control Payment</w:t>
      </w:r>
      <w:r>
        <w:rPr>
          <w:rFonts w:ascii="Times New Roman;Times;serif" w:hAnsi="Times New Roman;Times;serif"/>
          <w:sz w:val="20"/>
        </w:rPr>
        <w:t xml:space="preserve">”). The Change in Control Payment shall be paid within ten (10) days following the effectiveness of the Release;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necessary to comply with the restriction in Section 409A(a)(2)(B) of the Code concerning payments to “specified employees,” to the extent applicable, such payment shall be delayed until the first business day of the seventh month following the Executive’s termination of employment and “separation from service” (within the meaning of Section 409A of the Code).</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b/>
          <w:sz w:val="20"/>
        </w:rPr>
        <w:t>Benefits:</w:t>
      </w:r>
      <w:r>
        <w:rPr>
          <w:rFonts w:ascii="Times New Roman;Times;serif" w:hAnsi="Times New Roman;Times;serif"/>
          <w:sz w:val="20"/>
        </w:rPr>
        <w:t xml:space="preserve"> In addition to the payment described above, the Company shall provide the Executive with the Supplemental Payments.</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b/>
          <w:sz w:val="20"/>
        </w:rPr>
        <w:t>Acceleration of Options:</w:t>
      </w:r>
      <w:r>
        <w:rPr>
          <w:rFonts w:ascii="Times New Roman;Times;serif" w:hAnsi="Times New Roman;Times;serif"/>
          <w:sz w:val="20"/>
        </w:rPr>
        <w:t xml:space="preserve"> One hundred (100%) percent of the Executive’s outstanding, unvested options, restricted stock and/or equity awards (“</w:t>
      </w:r>
      <w:r>
        <w:rPr>
          <w:rFonts w:ascii="Times New Roman;Times;serif" w:hAnsi="Times New Roman;Times;serif"/>
          <w:b/>
          <w:sz w:val="20"/>
        </w:rPr>
        <w:t>Equity Awards</w:t>
      </w:r>
      <w:r>
        <w:rPr>
          <w:rFonts w:ascii="Times New Roman;Times;serif" w:hAnsi="Times New Roman;Times;serif"/>
          <w:sz w:val="20"/>
        </w:rPr>
        <w:t>”) shall, immediately prior to the consummation of the Change in Control, become fully and immediately vested to the extent not already so provided under the terms of such Equity Awards; provided, however, that if the acquirer in a Change in Control grants Equity Awards having (in the reasonable opinion of the Board) a value at least equal to the value of Executive’s then-unvested Company Equity Awards, then fifty percent (50%) of the Executive’s outstanding, unvested Company Equity Awards shall become fully and immediately vested immediately prior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consummation of the Change in Control (and the remaining fifty percent (50%) shall terminate upon the consummation of the Change in Control). Notwithstanding any provisions of the stock option plan or stock option agreement pursuant to which any stock options subject to the preceding sentence were granted, the Executive shall be entitled to exercise such Equity Awards until three years from the date of termination of employment or the expiration of the stated period of the Equity Award, whichever period is the shorter.</w:t>
      </w:r>
    </w:p>
    <w:p>
      <w:pPr>
        <w:pStyle w:val="TextBody"/>
        <w:bidi w:val="0"/>
        <w:spacing w:before="0" w:after="240"/>
        <w:ind w:left="0" w:right="0" w:firstLine="252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b/>
          <w:sz w:val="20"/>
        </w:rPr>
        <w:t>Golden Parachute Payment Provisions:</w:t>
      </w:r>
      <w:r>
        <w:rPr>
          <w:rFonts w:ascii="Times New Roman;Times;serif" w:hAnsi="Times New Roman;Times;serif"/>
          <w:sz w:val="20"/>
        </w:rPr>
        <w:t xml:space="preserve"> If any payment or benefit the Executive would receive pursuant to a Change in Control from the Company or otherwise (including, without limitation, the acceleration of any Company Equity Awards) (“</w:t>
      </w:r>
      <w:r>
        <w:rPr>
          <w:rFonts w:ascii="Times New Roman;Times;serif" w:hAnsi="Times New Roman;Times;serif"/>
          <w:b/>
          <w:sz w:val="20"/>
        </w:rPr>
        <w:t>Payment</w:t>
      </w:r>
      <w:r>
        <w:rPr>
          <w:rFonts w:ascii="Times New Roman;Times;serif" w:hAnsi="Times New Roman;Times;serif"/>
          <w:sz w:val="20"/>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sz w:val="20"/>
        </w:rPr>
        <w:t>Excise Tax</w:t>
      </w:r>
      <w:r>
        <w:rPr>
          <w:rFonts w:ascii="Times New Roman;Times;serif" w:hAnsi="Times New Roman;Times;serif"/>
          <w:sz w:val="20"/>
        </w:rPr>
        <w:t>”), then such Payment shall be reduced to the Reduced Amount. The “</w:t>
      </w:r>
      <w:r>
        <w:rPr>
          <w:rFonts w:ascii="Times New Roman;Times;serif" w:hAnsi="Times New Roman;Times;serif"/>
          <w:b/>
          <w:sz w:val="20"/>
        </w:rPr>
        <w:t>Reduced Amount</w:t>
      </w:r>
      <w:r>
        <w:rPr>
          <w:rFonts w:ascii="Times New Roman;Times;serif" w:hAnsi="Times New Roman;Times;serif"/>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stock options or equity awards; reduction of employee benefits. In the event that acceleration of vesting of stock option or equity award compensation is to be reduced, such acceleration of vesting shall be cancelled in the reverse order of the date of grant of the Executive’s stock options or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by the Company for general audit purposes as of the day prior to the effective date of the Change in Control shall perform the foregoing calculations and shall make all determinations relating to the reduction of parachute payments described in the foregoing paragraph. If the accounting firm so engaged by the Company is also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firm engaged to make the determinations hereunder shall provide its calculations, together with detailed supporting documentation, to the Company and the Executive within fifteen (15) calendar days after the date on which the Executive’s right to a Payment is triggered (if requested at that time by the Company or the Executive) or such other time as requested by the Company or the Executive. If the accounting firm determines that no Excise Tax is payable with respect to a Payment, either before or after the application of the Reduced Amount, it shall furnish the Company and the Executive with an opinion reasonably acceptable to the Executive that no Excise Tax will be imposed with respect to such Payment. Any good faith determinations of the accounting firm made hereunder shall be final, binding and conclusive upon the Company and the Executive.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2493" w:type="dxa"/>
        <w:jc w:val="left"/>
        <w:tblInd w:w="0" w:type="dxa"/>
        <w:tblLayout w:type="fixed"/>
        <w:tblCellMar>
          <w:top w:w="0" w:type="dxa"/>
          <w:left w:w="0" w:type="dxa"/>
          <w:bottom w:w="0" w:type="dxa"/>
          <w:right w:w="0" w:type="dxa"/>
        </w:tblCellMar>
      </w:tblPr>
      <w:tblGrid>
        <w:gridCol w:w="23"/>
        <w:gridCol w:w="15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23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for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Should the Executive be absent from work as a result of personal injury, sickness or other disability for any continuous period of time exceeding one hundred eighty (180) days, the Term may be terminated by the Company, upon written notice given to the Executive, because of the Executive’s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In the event the Term is terminated pursuant to Subsection 6.e.(i), the Company shall have no further obligation to the Executive except to pay to the Executive any Base Salary or Annual Bonus earned and accrued but remaining unpaid prior to termination of the Term (and to provide the Executive with the benefits under any disability insurance or disability benefits plan then-maintained by the Company for the Executive’s benefit, in accordance with the terms and conditions of such plan). In addition, notwithstanding any provisions of the stock option plan or stock option agreement pursuant to which any stock options were granted, the Executive shall be entitled to exercise any of Executive’s stock options vested as of the final day of the Term until eighteen (18) months from the final day of the Term or the expiration of the stated period of the option, whichever period is the shorter.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Termination Upon Death.</w:t>
      </w:r>
      <w:r>
        <w:rPr>
          <w:rFonts w:ascii="Times New Roman;Times;serif" w:hAnsi="Times New Roman;Times;serif"/>
          <w:sz w:val="20"/>
        </w:rPr>
        <w:t xml:space="preserve"> The Term shall terminate upon the death of the Executive and the Company shall have no further obligation to the Executive or the Executive’s estate except to pay the Executive’s estate any Base Salary or Annual Bonus earned and accrued but remaining unpaid prior to the Executive’s death. In addition, notwithstanding any provisions of the stock option plan or stock option agreement pursuant to which any stock options were granted, the Executive’s estate shall be entitled to exercise any of Executive’s stock options vested as of the final day of the Term until eighteen (18) months from the final day of the Term or the expiration of the stated period of the option, whichever period is the shorter.</w:t>
      </w:r>
    </w:p>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176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Notice.</w:t>
      </w:r>
      <w:r>
        <w:rPr>
          <w:rFonts w:ascii="Times New Roman;Times;serif" w:hAnsi="Times New Roman;Times;serif"/>
          <w:sz w:val="20"/>
        </w:rPr>
        <w:t xml:space="preserve"> Any notice to be given hereunder shall either be delivered personally, sent by nationally recognized overnight courier service (with next business day delivery requested) and/or sent by first class certified mail and regular mail. The address for service on the Company shall be its registered office, and the address for service on the Executive shall be the Executive’s last known place of residence. A notice shall be deemed to have been served as follows:</w:t>
      </w:r>
    </w:p>
    <w:tbl>
      <w:tblPr>
        <w:tblW w:w="3933" w:type="dxa"/>
        <w:jc w:val="left"/>
        <w:tblInd w:w="0" w:type="dxa"/>
        <w:tblLayout w:type="fixed"/>
        <w:tblCellMar>
          <w:top w:w="0" w:type="dxa"/>
          <w:left w:w="0" w:type="dxa"/>
          <w:bottom w:w="0" w:type="dxa"/>
          <w:right w:w="0" w:type="dxa"/>
        </w:tblCellMar>
      </w:tblPr>
      <w:tblGrid>
        <w:gridCol w:w="23"/>
        <w:gridCol w:w="125"/>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37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personally delivered, at the time of delivery;</w:t>
            </w:r>
          </w:p>
        </w:tc>
      </w:tr>
    </w:tbl>
    <w:tbl>
      <w:tblPr>
        <w:tblW w:w="6558" w:type="dxa"/>
        <w:jc w:val="left"/>
        <w:tblInd w:w="0" w:type="dxa"/>
        <w:tblLayout w:type="fixed"/>
        <w:tblCellMar>
          <w:top w:w="0" w:type="dxa"/>
          <w:left w:w="0" w:type="dxa"/>
          <w:bottom w:w="0" w:type="dxa"/>
          <w:right w:w="0" w:type="dxa"/>
        </w:tblCellMar>
      </w:tblPr>
      <w:tblGrid>
        <w:gridCol w:w="23"/>
        <w:gridCol w:w="185"/>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63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sent by overnight courier service, at the end of the next business day; and/or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posted, at the expiration of forty-eight (48) hours (ten (10) days if international) after the envelope containing the same was delivered into the custody of the postal authorities.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 xml:space="preserve">Taxes. </w:t>
      </w:r>
      <w:r>
        <w:rPr>
          <w:rFonts w:ascii="Times New Roman;Times;serif" w:hAnsi="Times New Roman;Times;serif"/>
          <w:sz w:val="20"/>
        </w:rPr>
        <w:t>Any payments made pursuant to this Agreement shall be subject to any tax or similar withholding requirements under applicable federal, state or local employment or income tax laws or similar statutes or other provisions of law then in effect. This Agreement is intended to comply with the requirements of Section 409A (“</w:t>
      </w:r>
      <w:r>
        <w:rPr>
          <w:rFonts w:ascii="Times New Roman;Times;serif" w:hAnsi="Times New Roman;Times;serif"/>
          <w:b/>
          <w:sz w:val="20"/>
        </w:rPr>
        <w:t>Section 409A</w:t>
      </w:r>
      <w:r>
        <w:rPr>
          <w:rFonts w:ascii="Times New Roman;Times;serif" w:hAnsi="Times New Roman;Times;serif"/>
          <w:sz w:val="20"/>
        </w:rPr>
        <w:t>”) of the Code and the regulations thereunder (including, as applicable, the exemptions and exceptions set forth therein).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provided for herein are intended to be exempt from Section 409A and to not constitute “nonqualified deferred compensation” as defined in Section 409A. To the extent that any provision in this Agreement is ambiguous as to its compliance with Section 409A, the provision shall be interpreted in a manner so that no payment due to the Executive shall be deemed subject to an “additional tax” within the meaning of Section 409A(a)(1)(B) of the Code. For purposes of Section 409A, each payment made under this Agreement shall be treated as a separate payment. Notwithstanding anything contained herein to the contrary, to the extent any payment under Section 6 hereof is determined to constitute “nonqualified deferred compensation” as defined in Section 409A, the Executive shall not be considered to have terminated employment with the Company for purposes of Section 6 hereof unless the Executive has incurred a “termination of employment” from the Company within the meaning of Treasury Regulation §1.409A-1(h)(1)(ii) promulgated under Section 409A of the Code. Notwithstanding the foregoing, if necessary to comply with the restriction in Section 409A(a)(2)(B) of the Code concerning payments to “specified employees,” any payment made to the Executive pursuant to this Agreement on account of the Executive’s separation from service that would otherwise be due hereunder within six (6) months after such separation from service shall nonetheless be delayed until the first business day of the seventh month following the Executive’s separation from service. In no event may the Executive, directly or indirectly, designate the calendar year of any payment.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The Executive further acknowledges that, while this Agreement is intended to comply with Section 409A, any tax liability incurred by the Executive under Section 409A is solely the responsibility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Recoupment of Erroneously Awarded Compensation</w:t>
      </w:r>
      <w:r>
        <w:rPr>
          <w:rFonts w:ascii="Times New Roman;Times;serif" w:hAnsi="Times New Roman;Times;serif"/>
          <w:sz w:val="20"/>
        </w:rPr>
        <w:t>. In accordance with the Nasdaq Stock Exchange listing standards and the requirements thereunder, the Company has adopted a clawback policy (the “</w:t>
      </w:r>
      <w:r>
        <w:rPr>
          <w:rFonts w:ascii="Times New Roman;Times;serif" w:hAnsi="Times New Roman;Times;serif"/>
          <w:b/>
          <w:sz w:val="20"/>
        </w:rPr>
        <w:t>Clawback Policy</w:t>
      </w:r>
      <w:r>
        <w:rPr>
          <w:rFonts w:ascii="Times New Roman;Times;serif" w:hAnsi="Times New Roman;Times;serif"/>
          <w:sz w:val="20"/>
        </w:rPr>
        <w:t>”). The Executive acknowledges and agrees that as set forth in such Clawback Policy: (i) the Executive shall be bound by and abide by the terms of the Clawback Policy as it currently exists; (ii) the Clawback Policy may be amended or restated from time to time, and the Executive shall be bound by and abide by the terms of the Clawback Policy as it may change over time; (iii) the Executive shall cooperate and shall promptly return any incentive-based compensation that the Company determines is subject to recoupment under the Clawback Policy; and (iv) any incentive-based or other compensation paid to the Executive under any agreement or arrangement with the Company which is subject to recovery under any law, government regulation or stock exchange listing requirement will be subject to such deductions and clawback as may be required by such law, government regulation or stock exchange listing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Binding Effect.</w:t>
      </w:r>
      <w:r>
        <w:rPr>
          <w:rFonts w:ascii="Times New Roman;Times;serif" w:hAnsi="Times New Roman;Times;serif"/>
          <w:sz w:val="20"/>
        </w:rPr>
        <w:t xml:space="preserve"> This Agreement shall be binding upon and inure to the benefit of the Parties hereto and their respective heirs, personal representatives, successors and assigns, provided that neither Party shall assign any of its rights or privileges hereunder without the prior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written consent of the other Party except that the Company may assign its rights hereunder to a successor in ownership of all or substantially all the assets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Severability.</w:t>
      </w:r>
      <w:r>
        <w:rPr>
          <w:rFonts w:ascii="Times New Roman;Times;serif" w:hAnsi="Times New Roman;Times;serif"/>
          <w:sz w:val="20"/>
        </w:rPr>
        <w:t xml:space="preserve"> Should any part or provision of this Agreement be held unenforceable by a court of competent jurisdiction, the validity of the remaining parts or provisions shall not be affected by such holding, unless such enforceability substantially impairs the benefit of the remaining portions of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Waiver.</w:t>
      </w:r>
      <w:r>
        <w:rPr>
          <w:rFonts w:ascii="Times New Roman;Times;serif" w:hAnsi="Times New Roman;Times;serif"/>
          <w:sz w:val="20"/>
        </w:rPr>
        <w:t xml:space="preserve"> No failure or delay on the part of either Party in the exercise of any right or privilege hereunder shall operate as a waiver thereof, nor shall any single or partial exercise of any such right or privilege preclude other or further exercise thereof or of any other right of privilege.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Captions.</w:t>
      </w:r>
      <w:r>
        <w:rPr>
          <w:rFonts w:ascii="Times New Roman;Times;serif" w:hAnsi="Times New Roman;Times;serif"/>
          <w:sz w:val="20"/>
        </w:rPr>
        <w:t xml:space="preserve"> The captions used in this Agreement are for convenience only and are not to be used in interpreting the obligations of the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Choice of Law; Jury Trial Waiver.</w:t>
      </w:r>
      <w:r>
        <w:rPr>
          <w:rFonts w:ascii="Times New Roman;Times;serif" w:hAnsi="Times New Roman;Times;serif"/>
          <w:sz w:val="20"/>
        </w:rPr>
        <w:t xml:space="preserve"> The validity, construction and performance of this Agreement and all matters directly or indirectly arising hereunder shall be governed by the laws of the State of Delaware, without regard to choice of laws provisions, and the Company and the Executive irrevocably consent to the exclusive jurisdiction and venue of the federal and state courts located within Delaware, and courts with appellate jurisdiction therefrom, in connection with any matter based upon or arising out of this Agreement. THE COMPANY AND THE EXECUTIVE HEREBY WAIVE THEIR RESPECTIVE RIGHT TO TRIAL BY JURY IN ANY ACTION CONCERNING THIS AGREEMENT OR ANY AND ALL MATTERS ARISING DIRECTLY OR INDIRECTLY HEREFROM AND REPRESENT THAT THEY HAVE CONSULTED WITH COUNSEL OF THEIR CHOICE OR HAVE CHOSEN VOLUNTARILY NOT TO DO SO SPECIFICALLY WITH RESPECT TO THIS WAIVER, EXCEPT AS PROHIBITED BY NJSA 10:5-12.7, NJSA 10:5-12.8 OR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Entire Agreement.</w:t>
      </w:r>
      <w:r>
        <w:rPr>
          <w:rFonts w:ascii="Times New Roman;Times;serif" w:hAnsi="Times New Roman;Times;serif"/>
          <w:sz w:val="20"/>
        </w:rPr>
        <w:t xml:space="preserve"> This Agreement embodies the entire understanding of the Parties as it relates to the subject matter contained herein and as such, supersedes any prior agreement or understanding between the Parties relating to the terms of employment of the Executive (but not any option grant agreement issued by the Company to the Executive), including without limitation the Prior Employment Agreement. No amendment or modification of this Agreement shall be valid or binding upon the Parties unless in writing executed by the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hereto have caused this Agreement to be duly executed as of the day and year first written above.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74" w:type="dxa"/>
        <w:jc w:val="left"/>
        <w:tblInd w:w="0" w:type="dxa"/>
        <w:tblLayout w:type="fixed"/>
        <w:tblCellMar>
          <w:top w:w="0" w:type="dxa"/>
          <w:left w:w="0" w:type="dxa"/>
          <w:bottom w:w="0" w:type="dxa"/>
          <w:right w:w="0" w:type="dxa"/>
        </w:tblCellMar>
      </w:tblPr>
      <w:tblGrid>
        <w:gridCol w:w="124"/>
        <w:gridCol w:w="849"/>
        <w:gridCol w:w="2301"/>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Marucci</w:t>
            </w:r>
          </w:p>
        </w:tc>
      </w:tr>
      <w:tr>
        <w:trPr/>
        <w:tc>
          <w:tcPr>
            <w:tcW w:w="124"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Marucci</w:t>
            </w:r>
          </w:p>
        </w:tc>
      </w:tr>
      <w:tr>
        <w:trPr/>
        <w:tc>
          <w:tcPr>
            <w:tcW w:w="124"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CEO</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Freddy Jimenez</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Freddy Jimenez</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Employee Non-Disclosure Invention Assignment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condition of the Executive’s employment with Celldex Therapeutics, Inc., a Delaware Corporation, its subsidiaries, affiliates, successors or assigns (collectively, the “</w:t>
      </w:r>
      <w:r>
        <w:rPr>
          <w:rFonts w:ascii="Times New Roman;Times;serif" w:hAnsi="Times New Roman;Times;serif"/>
          <w:b/>
          <w:sz w:val="20"/>
        </w:rPr>
        <w:t>Company</w:t>
      </w:r>
      <w:r>
        <w:rPr>
          <w:rFonts w:ascii="Times New Roman;Times;serif" w:hAnsi="Times New Roman;Times;serif"/>
          <w:sz w:val="20"/>
        </w:rPr>
        <w:t>”), and in consideration of the Executive’s employment and the compensation and benefits afforded to the Executive in connection with that employment, the Executive is entering into this Employee Non-Disclosure, Invention Assignment and Restrictive Covenants Agreement (this “</w:t>
      </w:r>
      <w:r>
        <w:rPr>
          <w:rFonts w:ascii="Times New Roman;Times;serif" w:hAnsi="Times New Roman;Times;serif"/>
          <w:b/>
          <w:sz w:val="20"/>
        </w:rPr>
        <w:t>NDIAA</w:t>
      </w:r>
      <w:r>
        <w:rPr>
          <w:rFonts w:ascii="Times New Roman;Times;serif" w:hAnsi="Times New Roman;Times;serif"/>
          <w:sz w:val="20"/>
        </w:rPr>
        <w:t>”).</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w:t>
            </w:r>
          </w:p>
        </w:tc>
        <w:tc>
          <w:tcPr>
            <w:tcW w:w="37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Representations and Warranties;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No Conflict with any Other Agreement or Obligation. </w:t>
      </w:r>
      <w:r>
        <w:rPr>
          <w:rFonts w:ascii="Times New Roman;Times;serif" w:hAnsi="Times New Roman;Times;serif"/>
          <w:sz w:val="20"/>
        </w:rPr>
        <w:t xml:space="preserve">The Executive represents and warrants that the Executive is not bound by any agreement or arrangement with or duty to any other person that would conflict with this NDIAA. Except for any obligation described on </w:t>
      </w:r>
      <w:r>
        <w:rPr>
          <w:rFonts w:ascii="Times New Roman;Times;serif" w:hAnsi="Times New Roman;Times;serif"/>
          <w:sz w:val="20"/>
          <w:u w:val="single"/>
        </w:rPr>
        <w:t>Exhibit A</w:t>
      </w:r>
      <w:r>
        <w:rPr>
          <w:rFonts w:ascii="Times New Roman;Times;serif" w:hAnsi="Times New Roman;Times;serif"/>
          <w:sz w:val="20"/>
        </w:rPr>
        <w:t xml:space="preserve"> attached to this NDIAA (if none listed, the Executive represents there are none), the Executive does not have any non-disclosure, confidentiality, non-competition or other similar obligations to any other person concerning proprietary, secret or confidential information that the Executive learned of during any previous engagement, employment or association nor has the Executive had any obligation to assign contributions or inventions of any kind to any other person. The Executive shall not disclose to the Company or induce the Company to use any proprietary, trade secret or confidential information or material belonging to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No Infringement of Third-Party Intellectual Property Rights. </w:t>
      </w:r>
      <w:r>
        <w:rPr>
          <w:rFonts w:ascii="Times New Roman;Times;serif" w:hAnsi="Times New Roman;Times;serif"/>
          <w:sz w:val="20"/>
        </w:rPr>
        <w:t>The Executive represents and warrants that the Inventions (as defined in Section 3 below) will not infringe any patent, copyright, trade secret or other proprietary right of any third party.</w:t>
      </w:r>
    </w:p>
    <w:tbl>
      <w:tblPr>
        <w:tblW w:w="2365" w:type="dxa"/>
        <w:jc w:val="left"/>
        <w:tblInd w:w="0" w:type="dxa"/>
        <w:tblLayout w:type="fixed"/>
        <w:tblCellMar>
          <w:top w:w="0" w:type="dxa"/>
          <w:left w:w="0" w:type="dxa"/>
          <w:bottom w:w="0" w:type="dxa"/>
          <w:right w:w="0" w:type="dxa"/>
        </w:tblCellMar>
      </w:tblPr>
      <w:tblGrid>
        <w:gridCol w:w="170"/>
        <w:gridCol w:w="219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2.</w:t>
            </w:r>
          </w:p>
        </w:tc>
        <w:tc>
          <w:tcPr>
            <w:tcW w:w="21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Confidential Information.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Definition of Confidential Information. </w:t>
      </w:r>
      <w:r>
        <w:rPr>
          <w:rFonts w:ascii="Times New Roman;Times;serif" w:hAnsi="Times New Roman;Times;serif"/>
          <w:sz w:val="20"/>
        </w:rPr>
        <w:t>“</w:t>
      </w:r>
      <w:r>
        <w:rPr>
          <w:rFonts w:ascii="Times New Roman;Times;serif" w:hAnsi="Times New Roman;Times;serif"/>
          <w:b/>
          <w:sz w:val="20"/>
        </w:rPr>
        <w:t>Confidential Information</w:t>
      </w:r>
      <w:r>
        <w:rPr>
          <w:rFonts w:ascii="Times New Roman;Times;serif" w:hAnsi="Times New Roman;Times;serif"/>
          <w:sz w:val="20"/>
        </w:rPr>
        <w:t>” includes, whether or not expressly labeled as confidential, all of the trade secrets, know-how, ideas, business plans, pricing information, the identity of and any information concerning customers or suppliers, computer programs (whether in source code or object code), procedures, processes, strategies, methods, systems, designs, discoveries, inventions, production methods and sources, marketing and sales information, information received from others that the Company is obligated to treat as confidential or proprietary, and any other technical, operating, financial and other business information that has commercial value, relating to the Company, its business, potential business, operations or finances, or the business of the Company’s affiliates or customers, of which the Executive may have acquired or developed knowledge or of which the Executive may in the future acquire or develop knowledge of during my work for the Company, or from the Executive’s colleagues while working for the Company. The Executive acknowledges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Protection of Confidential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use the Confidential Information only in the performance of my duties for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Executive will not disclose the Confidential Information, directly or indirectly, at any time during or after the Executive’s employment with the Company except to persons authorized by the Company to receive this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Executive will not use the Confidential Information, directly or indirectly, at any time during or after the Executive’s employment with the Company, for the Executive’s personal benefit, for the benefit of any other person or entity, or in any manner adverse to the interests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Executive will take all action reasonably necessary to protect the Confidential Information from being disclosed to anyone other than persons authorized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Executive acknowledges that the Executive’s obligation of non-disclosure and non-use of Confidential Information under this NDIAA shall continue until the Executive can document that it is or becomes readily generally available to the public without restriction through no fault of the Executive (including breach of this NDIAA) or, if a court requires a shorter duration, then the maximum time allowable by law will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Permitted disclosures. </w:t>
      </w:r>
      <w:r>
        <w:rPr>
          <w:rFonts w:ascii="Times New Roman;Times;serif" w:hAnsi="Times New Roman;Times;serif"/>
          <w:sz w:val="20"/>
        </w:rPr>
        <w:t>Nothing in this NDIAA shall be construed to prevent disclosure of Confidential Information as may be required by applicable law or regulation, or pursuant to the valid order of a court of competent jurisdiction or an authorized government agency. The Executive acknowledges that nothing in this NDIAA prohibits or restricts the Executive from, without notice to the Company, (i) initiating communications directly with or providing information to, responding to an inquiry from, or providing testimony before, the Securities and Exchange Commission (SEC), the Financial Industry Regulatory Authority (FINRA), or any other self-regulatory organization, or any other federal or state regulatory authority, or (ii) otherwise engaging in activity protected by applicable whistleblower laws. The Executive further acknowledges that pursuant to the Defend Trade Secrets Act, 18 USC Sections 1833(b)(1) and (2): (a) the Executive will not be held criminally or civilly liable under any federal or state trade secret law for the disclosure of a trade secret if (i) the Executive make such disclosure in confidence to a federal, state, or local government official, either directly or indirectly, or to an attorney and such disclosure is made solely for the purpose of reporting or investigating a suspected violation of law; or (ii) the Executive makes such disclosure in a complaint or other document filed in a lawsuit or other proceeding if such filing is made under seal; and (b) if an individual files a lawsuit for retaliation by an employer for reporting suspected violation of law, the individual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Return of Confidential Information. </w:t>
      </w:r>
      <w:r>
        <w:rPr>
          <w:rFonts w:ascii="Times New Roman;Times;serif" w:hAnsi="Times New Roman;Times;serif"/>
          <w:sz w:val="20"/>
        </w:rPr>
        <w:t>When the Executive’s employment with the Company terminates, for any reason or no reason, or at any time during the Executive’s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employment upon demand, the Executive will immediately, and without the need for request by the Company: (a) </w:t>
      </w:r>
      <w:r>
        <w:rPr>
          <w:rFonts w:ascii="Times New Roman;Times;serif" w:hAnsi="Times New Roman;Times;serif"/>
          <w:color w:val="212121"/>
          <w:sz w:val="20"/>
        </w:rPr>
        <w:t xml:space="preserve">provide or return to the Company any and all Company property, including keys, key cards, access cards, identification cards, security devices, Company credit cards, network access devices, computers, cell phones, smartphones, PDAs, pagers, fax machines, equipment, speakers, webcams, manuals, reports, files, books, compilations, work product, email messages, recordings, tapes, disks, thumb drives, or other removable information storage devices, hard drives, and data and all Company documents and materials belonging to the Company and stored in any fashion, including but not limited to those that constitute or contain any Confidential Information, that are in the Executive’s possession or control, whether they were provided to the Executive by the Company or created by the Executive in connection with the Executive’s employment by the Company; and (b) delete or destroy all copies of any such documents and materials not returned to the Company that remain in the Executive possession or control, including those stored on any non-Company devices, networks, storage locations, and media in the Executive possession or control. </w:t>
      </w:r>
      <w:r>
        <w:rPr>
          <w:rFonts w:ascii="Times New Roman;Times;serif" w:hAnsi="Times New Roman;Times;serif"/>
          <w:sz w:val="20"/>
        </w:rPr>
        <w:t>The Executive agrees that any social media or other electronic accounts the Executive opens, handles or becomes involved with on the Company’s behalf constitute Company property and the Executive agrees the Executive will provide all access codes, passcodes, and administrator rights to the Company at any time during or after the Executive’s employment on demand. In the event that the Executive leaves the employ of the Company, the Executive hereby grants consent for the Company to notify the Executive’s new employer about the Executive’s rights and obligations under this NDIAA.</w:t>
      </w:r>
    </w:p>
    <w:tbl>
      <w:tblPr>
        <w:tblW w:w="1120" w:type="dxa"/>
        <w:jc w:val="left"/>
        <w:tblInd w:w="0" w:type="dxa"/>
        <w:tblLayout w:type="fixed"/>
        <w:tblCellMar>
          <w:top w:w="0" w:type="dxa"/>
          <w:left w:w="0" w:type="dxa"/>
          <w:bottom w:w="0" w:type="dxa"/>
          <w:right w:w="0" w:type="dxa"/>
        </w:tblCellMar>
      </w:tblPr>
      <w:tblGrid>
        <w:gridCol w:w="170"/>
        <w:gridCol w:w="95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3.</w:t>
            </w:r>
          </w:p>
        </w:tc>
        <w:tc>
          <w:tcPr>
            <w:tcW w:w="9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Inventions.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Definition of Inventions</w:t>
      </w:r>
      <w:r>
        <w:rPr>
          <w:rFonts w:ascii="Times New Roman;Times;serif" w:hAnsi="Times New Roman;Times;serif"/>
          <w:sz w:val="20"/>
        </w:rPr>
        <w:t>. The term “Inventions” includes: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contributions and inventions, discoveries, creations, developments, improvements, works of authorship and ideas (whether or not they are patentable or copyrightable) of any kind that are or were, since the date of commencement of the Executive’s employment with the Company, conceived, created, developed or reduced to practice by the Executive, alone or with others, while employed by the Company that are either: (i) conceived during regular working hours or at the Executive’s place of work, whether located at Company, affiliate or customer facilities, or at the Executive’s own facilities; or (ii) regardless of whether they are conceived or made during regular working hours or at the Executive’s place of work, are directly or indirectly related to the Company’s business or potential business, result from tasks assigned to the Executive by the Company, or are conceived or made with the use of the Company’s resources, facilities or materials;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and all patents, patent applications, copyrights, trade secrets, trademarks, domain names and other intellectual property rights, worldwide,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term “</w:t>
      </w:r>
      <w:r>
        <w:rPr>
          <w:rFonts w:ascii="Times New Roman;Times;serif" w:hAnsi="Times New Roman;Times;serif"/>
          <w:b/>
          <w:sz w:val="20"/>
        </w:rPr>
        <w:t>Inventions</w:t>
      </w:r>
      <w:r>
        <w:rPr>
          <w:rFonts w:ascii="Times New Roman;Times;serif" w:hAnsi="Times New Roman;Times;serif"/>
          <w:sz w:val="20"/>
        </w:rPr>
        <w:t xml:space="preserve">” specifically excludes any invention that: (i) by law (including, without limitation, the applicable statutory provision for my state of employment set forth in </w:t>
      </w:r>
      <w:r>
        <w:rPr>
          <w:rFonts w:ascii="Times New Roman;Times;serif" w:hAnsi="Times New Roman;Times;serif"/>
          <w:sz w:val="20"/>
          <w:u w:val="single"/>
        </w:rPr>
        <w:t>Exhibit C</w:t>
      </w:r>
      <w:r>
        <w:rPr>
          <w:rFonts w:ascii="Times New Roman;Times;serif" w:hAnsi="Times New Roman;Times;serif"/>
          <w:sz w:val="20"/>
        </w:rPr>
        <w:t>, if any) the Executive cannot be required to assign; or (ii) inventions the Executive developed entirely on the Executive’s own time without using any Company equipment, supplies, facilities or trade secret information, unless (1) the invention related at the time of conception or reduction to practice of the invention to (x) the Company’s business, or (y)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Company’s actual or demonstrably anticipated research or development, or (2) the invention results from any work performed by the Executive for the Company. Nevertheless, if the Executive believes any invention, work of authorship or other matter created by the Executive during the term of the Executive’s employment is not within the definition of Inventions, the Executive will disclose it to the Company so that the Company may make an assessment of whether it falls within the definition of Invention within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All Inventions are Exclusively the Property of the Company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Executive will promptly disclose all Inventions, in full detail, to persons authorized by the Company. The Executive will not disclose any Invention to anyone other than persons authorized by the Company or by law, without the Company’s express prior written instruction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Inventions will be deemed “work made for hire” as that term is used in the U.S. Copyright Act and belong solely to the Company from conception. The Executive hereby expressly disclaims all interest in all Inventions. To the extent that title to any Invention or any materials comprising or including any Invention is found not be a “work made for hire” as a matter of law, the Executive hereby irrevocably assign to the Company all of the Executive’s right, title and interest to that Invention. At any time during or after the Executive’s employment with the Company that the Company requests, the Executive will sign whatever written documents of assignment are necessary to formally evidence the Executive’s irrevocable assignment to the Company of any Invention.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all times during or after the Executive’s employment with the Company the Executive will assist the Company in obtaining, perfecting, maintaining and renewing patent, copyright, trademark and other appropriate protection for any Invention, in the United States and in any other country, at the Company’s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In the event that the Company is unable to secure the Executive’s signature on any such document, the Executive hereby irrevocably designates and appoints the Company and each of its duly authorized officers and agents as my agent and attorney-in-fact, to act for and on the Executive’s behalf, to sign and file any such document and to do all other lawful acts to further the prosecution, issuance and enforcement of patents, copyrights or other rights or protections with the same force and effect as if the Executive had signed such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any copyrights are assigned under this NDIAA, the Executive hereby irrevocably waives to the extent permitted by applicable law, any and all claims the Executive may now or hereafter have in any jurisdiction to all rights of paternity, integrity, disclosure, and withdrawal and any other rights that may be known as “moral rights” with respect to all Inventions and all intellectual property rights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Prior Inventions. </w:t>
      </w:r>
      <w:r>
        <w:rPr>
          <w:rFonts w:ascii="Times New Roman;Times;serif" w:hAnsi="Times New Roman;Times;serif"/>
          <w:sz w:val="20"/>
        </w:rPr>
        <w:t xml:space="preserve">The Executive acknowledges that this Section 3 requiring assignment of Inventions to the Company may not apply to any inventions the applicable statutory provision for the Executive’s state of employment set forth in </w:t>
      </w:r>
      <w:r>
        <w:rPr>
          <w:rFonts w:ascii="Times New Roman;Times;serif" w:hAnsi="Times New Roman;Times;serif"/>
          <w:sz w:val="20"/>
          <w:u w:val="single"/>
        </w:rPr>
        <w:t>Exhibit C</w:t>
      </w:r>
      <w:r>
        <w:rPr>
          <w:rFonts w:ascii="Times New Roman;Times;serif" w:hAnsi="Times New Roman;Times;serif"/>
          <w:sz w:val="20"/>
        </w:rPr>
        <w:t xml:space="preserve">, if any, provides the Executive cannot be required to assign. The Executive acknowledges that the Executive reviewed the applicable state statutory provision, if any, in </w:t>
      </w:r>
      <w:r>
        <w:rPr>
          <w:rFonts w:ascii="Times New Roman;Times;serif" w:hAnsi="Times New Roman;Times;serif"/>
          <w:sz w:val="20"/>
          <w:u w:val="single"/>
        </w:rPr>
        <w:t>Exhibit C</w:t>
      </w:r>
      <w:r>
        <w:rPr>
          <w:rFonts w:ascii="Times New Roman;Times;serif" w:hAnsi="Times New Roman;Times;serif"/>
          <w:sz w:val="20"/>
        </w:rPr>
        <w:t xml:space="preserve"> prior to the Executive’s execution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NDIAA. Nevertheless, the Executive shall comply with the provisions of this Section 3 and disclose any inventions that the Executive believes are not subject to assignment under this NDIAA, pursuant to state law or otherwise, so that the Company may make its assessment. On </w:t>
      </w:r>
      <w:r>
        <w:rPr>
          <w:rFonts w:ascii="Times New Roman;Times;serif" w:hAnsi="Times New Roman;Times;serif"/>
          <w:sz w:val="20"/>
          <w:u w:val="single"/>
        </w:rPr>
        <w:t>Exhibit B</w:t>
      </w:r>
      <w:r>
        <w:rPr>
          <w:rFonts w:ascii="Times New Roman;Times;serif" w:hAnsi="Times New Roman;Times;serif"/>
          <w:sz w:val="20"/>
        </w:rPr>
        <w:t xml:space="preserve"> attached to this NDIAA the Executive has included a complete list, with nonconfidential descriptions, of any inventions, ideas, reports and other creative works that the Executive made or conceived prior to the Executive’s employment with the Company, in each case limited to items that are owned by the Executive or by an entity controlled by the Executive, or items that the Executive or an entity controlled by the Executive may license to others (collectively, the “</w:t>
      </w:r>
      <w:r>
        <w:rPr>
          <w:rFonts w:ascii="Times New Roman;Times;serif" w:hAnsi="Times New Roman;Times;serif"/>
          <w:b/>
          <w:sz w:val="20"/>
        </w:rPr>
        <w:t>Prior Inventions</w:t>
      </w:r>
      <w:r>
        <w:rPr>
          <w:rFonts w:ascii="Times New Roman;Times;serif" w:hAnsi="Times New Roman;Times;serif"/>
          <w:sz w:val="20"/>
        </w:rPr>
        <w:t xml:space="preserve">”), or, if no such list is attached the Executive represents and warrants that there are no such Prior Inventions. The Executive intends that the items on that list and only the items on that list shall be excluded from the restrictions set forth in this NDIAA. The Executive will not assert any right, title or interest in or to any invention or claim that the Executive made, conceived or acquired any invention before the Executive’s employment with the Company unless the Executive has specifically identified that invention on the attached </w:t>
      </w:r>
      <w:r>
        <w:rPr>
          <w:rFonts w:ascii="Times New Roman;Times;serif" w:hAnsi="Times New Roman;Times;serif"/>
          <w:sz w:val="20"/>
          <w:u w:val="single"/>
        </w:rPr>
        <w:t>Exhibit B</w:t>
      </w:r>
      <w:r>
        <w:rPr>
          <w:rFonts w:ascii="Times New Roman;Times;serif" w:hAnsi="Times New Roman;Times;serif"/>
          <w:sz w:val="20"/>
        </w:rPr>
        <w:t>. In the event that any Prior Invention is incorporated into or necessary for the use of any Invention, the Executive hereby grants the Company an unrestricted, perpetual, irrevocable, transferable, worldwide, royalty free, paid-up, non-exclusive license, with the right to grant sublicenses through multiple tiers, under all intellectual property and other rights with respect to the Prior Invention, to make, have made, use, sell, offer to sell, import, reproduce, prepare derivative works, distribute, perform, display and otherwise fully exploit, and reproduce the Prior Invention and any products, services, methods, processes, technologies and other items derived from, incorporating or using the Prior Invention, for commercial, internal business and all other purposes.</w:t>
      </w:r>
    </w:p>
    <w:tbl>
      <w:tblPr>
        <w:tblW w:w="2080" w:type="dxa"/>
        <w:jc w:val="left"/>
        <w:tblInd w:w="0" w:type="dxa"/>
        <w:tblLayout w:type="fixed"/>
        <w:tblCellMar>
          <w:top w:w="0" w:type="dxa"/>
          <w:left w:w="0" w:type="dxa"/>
          <w:bottom w:w="0" w:type="dxa"/>
          <w:right w:w="0" w:type="dxa"/>
        </w:tblCellMar>
      </w:tblPr>
      <w:tblGrid>
        <w:gridCol w:w="170"/>
        <w:gridCol w:w="1910"/>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191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Restrictive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b/>
          <w:sz w:val="20"/>
        </w:rPr>
        <w:t>Business Partner</w:t>
      </w:r>
      <w:r>
        <w:rPr>
          <w:rFonts w:ascii="Times New Roman;Times;serif" w:hAnsi="Times New Roman;Times;serif"/>
          <w:sz w:val="20"/>
        </w:rPr>
        <w:t>” means any of the Company’s customers, clients, members, suppliers, or business partners or relations.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b/>
          <w:sz w:val="20"/>
        </w:rPr>
        <w:t>Competitive Business</w:t>
      </w:r>
      <w:r>
        <w:rPr>
          <w:rFonts w:ascii="Times New Roman;Times;serif" w:hAnsi="Times New Roman;Times;serif"/>
          <w:sz w:val="20"/>
        </w:rPr>
        <w:t>” means (i) the business of immunology therapies, including without limitation biologic and small molecule treatments that engage the human immune system and directly affect critical pathways for patients with allergic and inflammatory disorders, as well as the business of immunology therapies, including without limitation biologic and small molecule treatments, that target mast cell mediated disorders, and developing and commercializing such therapies for inflammatory and allergic diseases or conditions; or (ii) a person or division or unit of a larger enterprise engaged in the same, similar, or other additional lines of business in which the Company engages or has taken active steps to engage based on discussions or actions taken by or among senior management or the Board of Directors of the Company during the Executive’s employment up to the date of termination of the Executive’s employment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b/>
          <w:sz w:val="20"/>
        </w:rPr>
        <w:t>Prohibited Activity</w:t>
      </w:r>
      <w:r>
        <w:rPr>
          <w:rFonts w:ascii="Times New Roman;Times;serif" w:hAnsi="Times New Roman;Times;serif"/>
          <w:sz w:val="20"/>
        </w:rPr>
        <w:t>” is activity in which the Executive contributes the Executive’s knowledge, directly or indirectly, in whole or in part, as an employee, employer, owner, operator, manager, advisor, consultant, agent, partner, director, stockholder, officer, volunteer, intern or any other similar capacity to (i) a person or entity engaged in the same or similar business as the Company, including those engaged in a Competitive Business, or (ii)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activity that may require or inevitably require disclosure of trade secrets, proprietary information or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b/>
          <w:sz w:val="20"/>
        </w:rPr>
        <w:t xml:space="preserve">Restricted Area </w:t>
      </w:r>
      <w:r>
        <w:rPr>
          <w:rFonts w:ascii="Times New Roman;Times;serif" w:hAnsi="Times New Roman;Times;serif"/>
          <w:sz w:val="20"/>
        </w:rPr>
        <w:t>means any geographic location (i) where the Executive performed direct, substantive services for any of the Company’s customers, (ii) in which the Executive provided services to the Company, or (iii) where the Executive’s use or disclosure of Confidential Information could disadvantage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b/>
          <w:sz w:val="20"/>
        </w:rPr>
        <w:t>Restricted Period</w:t>
      </w:r>
      <w:r>
        <w:rPr>
          <w:rFonts w:ascii="Times New Roman;Times;serif" w:hAnsi="Times New Roman;Times;serif"/>
          <w:sz w:val="20"/>
        </w:rPr>
        <w:t>” means the period of employment and twelve months following the termination of employment for any reason.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 xml:space="preserve">Obligations During Employment. </w:t>
      </w:r>
      <w:r>
        <w:rPr>
          <w:rFonts w:ascii="Times New Roman;Times;serif" w:hAnsi="Times New Roman;Times;serif"/>
          <w:sz w:val="20"/>
        </w:rPr>
        <w:t>To protect the legitimate business interests of the Company and in consideration of the Company’s willingness to provide to the Executive access to its Confidential Information, customer relationships and goodwill, the Executive agrees that during the term of employment with the Company,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(b) solicit, induce, recruit or encourage any person engaged or employed by the Company to terminate his or her employment or engagement, (c) engage in Prohibited Activity, or (d) become employed by, engage, invest or participate in any Competitive Business,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 xml:space="preserve">Post-Employment Non-Solicitation Obligations. </w:t>
      </w:r>
      <w:r>
        <w:rPr>
          <w:rFonts w:ascii="Times New Roman;Times;serif" w:hAnsi="Times New Roman;Times;serif"/>
          <w:sz w:val="20"/>
        </w:rPr>
        <w:t xml:space="preserve">To protect the legitimate business interests of the Company and in consideration of the Company’s willingness to provide to the Executive access to its Confidential Information, customer relationships and goodwill, the Executive agrees that during the Restricted Period and in the Restricted Area, the Executive will not directly or indirectly, whether as employee, owner, sole proprietor, partner, shareholder, director, member, consultant, agent, founder, co-venture partner or otherwise, (a) do anything to divert or attempt to divert from the Company any business of any kind, including, without limitation, solicit or interfere with any of the Company’s Business Partners with whom the Executive performed direct, substantive services during the Executive’s employment or as to whom the Executive had access to Confidential Information where the Executive’s use or disclosure of Confidential Information could disadvantage the Company, or (b) solicit, induce, recruit or encourage any person engaged or employed by the Company who had access to Confidential Information to terminate his or her employment or engagement. This restriction in Section 4.3(a) shall not apply with respect to any Business Partner with whom the Executive can demonstrate the Executive had a pre-existing relationship prior to the Executive’s employment with the Company. </w:t>
      </w:r>
      <w:r>
        <w:rPr>
          <w:rFonts w:ascii="Times New Roman;Times;serif" w:hAnsi="Times New Roman;Times;serif"/>
          <w:b/>
          <w:sz w:val="20"/>
        </w:rPr>
        <w:t>THIS SECTION 4.3 SHALL NOT APPLY AS SET FORTH IN, AND/OR SHALL BE LIMITED BY ANY APPLICABLE LIMITATION LISTED ON, EXHIBIT 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4.4</w:t>
      </w:r>
      <w:r>
        <w:rPr>
          <w:rFonts w:ascii="Times New Roman;Times;serif" w:hAnsi="Times New Roman;Times;serif"/>
          <w:b/>
          <w:sz w:val="20"/>
        </w:rPr>
        <w:t xml:space="preserve">Post-Employment Non-Competition Obligations. </w:t>
      </w:r>
      <w:r>
        <w:rPr>
          <w:rFonts w:ascii="Times New Roman;Times;serif" w:hAnsi="Times New Roman;Times;serif"/>
          <w:sz w:val="20"/>
        </w:rPr>
        <w:t>To protect the Company’s legitimate protectable interests in, among other things, the Company’s Confidential Information, customer relationships and goodwill, the Executive agrees that during the Restricted Period and in the Restricted Area, the Executive shall not, directly or indirectly, become employed by, engage with (as a consultant, advisor or otherwise), invest in or otherwise own or participate in any Competitive Business in any capacity in which the Company’s Confidential Information of which the Executive has or gains knowledge or to which the Executive has access during the Executive’s employment would reasonably be considered useful to the competitor or would enable the other third party to become a competitor of the Company; provided, however, that the Executive may own, as a passive investor, publicly-traded securities of any corporation that competes with the business of the Company so long as such securities do not, in the aggregate, constitute more than two percent (2%) of any class of outstanding securities of such corporations. </w:t>
      </w:r>
      <w:r>
        <w:rPr>
          <w:rFonts w:ascii="Times New Roman;Times;serif" w:hAnsi="Times New Roman;Times;serif"/>
          <w:b/>
          <w:sz w:val="20"/>
        </w:rPr>
        <w:t>THIS SECTION 4.4 SHALL NOT APPLY AS SET FORTH IN, AND/OR SHALL BE LIMITED BY ANY APPLICABLE LIMITATIONS LISTED ON, EXHIBIT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4.5</w:t>
      </w:r>
      <w:r>
        <w:rPr>
          <w:rFonts w:ascii="Times New Roman;Times;serif" w:hAnsi="Times New Roman;Times;serif"/>
          <w:b/>
          <w:sz w:val="20"/>
        </w:rPr>
        <w:t xml:space="preserve">Reformation of Prohibited Terms. </w:t>
      </w:r>
      <w:r>
        <w:rPr>
          <w:rFonts w:ascii="Times New Roman;Times;serif" w:hAnsi="Times New Roman;Times;serif"/>
          <w:sz w:val="20"/>
        </w:rPr>
        <w:t>Any term contained in this Section 4 shall be deemed modified, blue-penciled, and/or stricken from the NDIAA to the extent necessary if the Executive works in a state where such restriction is prohibited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4.6</w:t>
      </w:r>
      <w:r>
        <w:rPr>
          <w:rFonts w:ascii="Times New Roman;Times;serif" w:hAnsi="Times New Roman;Times;serif"/>
          <w:b/>
          <w:sz w:val="20"/>
        </w:rPr>
        <w:t>Covenant of Non-Disparagement</w:t>
      </w:r>
      <w:r>
        <w:rPr>
          <w:rFonts w:ascii="Times New Roman;Times;serif" w:hAnsi="Times New Roman;Times;serif"/>
          <w:sz w:val="20"/>
        </w:rPr>
        <w:t>. Unless authorized by law, the Executive will not at any time, either during or after the Executive’s employment with the Company, disparage the reputation of the Company, its customers, and/or its or their respective affiliates or any of its or their respective officers, directors, employees or agents. Nothing in this NDIAA shall be deemed to prohibit the Executive from (a) discussing or disclosing information about unlawful acts in the workplace, such as harassment or discrimination or any other conduct that the Executive has reason to believe is unlawful or (b) exercising the Executive’s rights under Section 7 of the National Labor Relations Act.</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Interpretation and Scope of this NDIAA. </w:t>
      </w:r>
      <w:r>
        <w:rPr>
          <w:rFonts w:ascii="Times New Roman;Times;serif" w:hAnsi="Times New Roman;Times;serif"/>
          <w:sz w:val="20"/>
        </w:rPr>
        <w:t>Each provision of this NDIAA shall be interpreted on its own. If any provision is held to be unenforceable as written, including but not limited to being too broad as to the period of time, territory, and/or scope, then such provision will nonetheless remain valid and fully effective, but will be considered to be amended so that the period of time, territory, and/or scope set forth will be changed to be the maximum period of time, the largest territory, and/or the broadest scope, as the case may be, that would be found enforceable by such court or arbitrator. In the event that one or more of the provisions contained in this NDIAA shall for any reason be held unenforceable in any respect under the law of any state of the United States or the United States, then it shall (a) be enforced to the fullest extent permitted under applicable law and (b) such unenforceability shall not affect any other provision of this NDIAA, but this NDIAA shall then be construed as if such unenforceable portion(s) had never been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Remedies. </w:t>
      </w:r>
      <w:r>
        <w:rPr>
          <w:rFonts w:ascii="Times New Roman;Times;serif" w:hAnsi="Times New Roman;Times;serif"/>
          <w:sz w:val="20"/>
        </w:rPr>
        <w:t>The Executive understands and agrees that if the Executive breaches or threatens to breach any of the provisions of this NDIAA the Company would suffer immediate and irreparable harm and that monetary damages would be an inadequate remedy. The Executive agrees that, in the event of the Executive’s breach or threatened breach of any of the provisions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NDIAA, the Company shall have the right to seek relief from a court to restrain the Executive (on a temporary, preliminary and permanent basis) from using or disclosing Company Confidential Information or Inventions or otherwise violating the provisions of this NDIAA, and that any such restraint shall be in addition to (and not instead of) any and all other remedies to which the Company shall be entitled, including money damages. The Company shall not be required to post a bond to secure against an imprudently granted injunction (whether temporary, preliminary or permanent). In addition, and not instead of those rights, the Executive further covenants that the Executive shall be responsible for payment of the fees and expenses of the Company’s attorneys and experts, as well as the Company’s court costs, pertaining to any suit, arbitration, mediation, action or other proceeding, including the costs of any investigation related thereto, arising directly or indirectly out of the Executive’s violation or threatened violation of any of the provisions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Reasonableness of Covenants. </w:t>
      </w:r>
      <w:r>
        <w:rPr>
          <w:rFonts w:ascii="Times New Roman;Times;serif" w:hAnsi="Times New Roman;Times;serif"/>
          <w:sz w:val="20"/>
        </w:rPr>
        <w:t>The Executive understands that the nature of the Executive’s position gives the Executive access to and knowledge of Confidential Information and places the Executive in a position of trust and confidence with the Company. The Executive understands and acknowledges that the services the Executive provides to the Company are unique, special or extraordinary because of the Executive’s educational background, technical expertise, knowledge of the industry, and relationships with potential clients and vendors related to the Company’s business. The Executive further understands and acknowledges that the Company’s ability to reserve these for the exclusive knowledge and use of the Company is of great competitive importance and commercial value to the Company, and that improper use or disclosure by the Executive is likely to result in unfair or unlawful competitive activity. The Executive acknowledges and agrees that the restrictions that are set forth in this NDIAA and the location and period of time for which such restrictions apply are reasonable and necessary to protect the Company’s legitimate business interests and shall survive the termination of the Executive’s employment. The Executive further acknowledges that the restrictions contained in this NDIAA will not prevent the Executive from earning a livelihood during the applicable period of restriction.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Governing Law; Jury Waiver; Consent to Jurisdiction. </w:t>
      </w:r>
      <w:r>
        <w:rPr>
          <w:rFonts w:ascii="Times New Roman;Times;serif" w:hAnsi="Times New Roman;Times;serif"/>
          <w:sz w:val="20"/>
        </w:rPr>
        <w:t>This NDIAA (together with any and all modifications, extensions and amendments of it) and any and all matters arising directly or indirectly herefrom shall be governed by and construed and enforced in accordance with the internal laws of the State of Delaware applicable to agreements made and to be performed entirely in such state, without giving effect to the conflict or choice of law principles thereof. For all matters arising directly or indirectly from this NDIAA (“</w:t>
      </w:r>
      <w:r>
        <w:rPr>
          <w:rFonts w:ascii="Times New Roman;Times;serif" w:hAnsi="Times New Roman;Times;serif"/>
          <w:b/>
          <w:sz w:val="20"/>
        </w:rPr>
        <w:t>NDIAA Matters</w:t>
      </w:r>
      <w:r>
        <w:rPr>
          <w:rFonts w:ascii="Times New Roman;Times;serif" w:hAnsi="Times New Roman;Times;serif"/>
          <w:sz w:val="20"/>
        </w:rPr>
        <w:t>”), the Executive hereby (a) irrevocably consents and submits to the sole exclusive jurisdiction of the federal and state courts in Delaware (and of the appropriate appellate courts from any of the foregoing) in connection with any legal action, lawsuit, arbitration, mediation, or other legal or quasi-legal proceeding directly or indirectly arising out of or relating to any NDIAA Matter (“</w:t>
      </w:r>
      <w:r>
        <w:rPr>
          <w:rFonts w:ascii="Times New Roman;Times;serif" w:hAnsi="Times New Roman;Times;serif"/>
          <w:b/>
          <w:sz w:val="20"/>
        </w:rPr>
        <w:t>Proceeding</w:t>
      </w:r>
      <w:r>
        <w:rPr>
          <w:rFonts w:ascii="Times New Roman;Times;serif" w:hAnsi="Times New Roman;Times;serif"/>
          <w:sz w:val="20"/>
        </w:rPr>
        <w:t>”); provided that a party to this NDIAA shall be entitled to enforce an order or judgment of any such court in any United States or foreign court having jurisdiction over the other party, (b) irrevocably waives, to the fullest extent permitted by law, any objection that the Executive may now or later have to the laying of the venue of any such Proceeding in any such court or that any such Proceeding which is brought in any such court has been brought in an inconvenient forum, (c) irrevocably waives, to the fullest extent permitted by law, any immunity from jurisdiction of any such court or from any legal process therein, (d) irrevocably waives, to the fullest extent permitted by law, any right to a trial by jury in connection with a Proceeding, (e) covenants that the Executive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will not, directly or indirectly, commence any Proceeding other than in such courts and (f) agrees that service of any summons, complaint, notice or other process relating to such Proceeding may be effected in the manner provided for the giving of notice as set forth in this NDIAA. </w:t>
      </w:r>
      <w:r>
        <w:rPr>
          <w:rFonts w:ascii="Times New Roman;Times;serif" w:hAnsi="Times New Roman;Times;serif"/>
          <w:b/>
          <w:sz w:val="20"/>
        </w:rPr>
        <w:t>NOTWITHSTANDING THE FOREGOING, IF THE EXECUTIVE WORKS IN A STATE THAT REQUIRES THE STATE LAW AND FORUM OF SUCH STATE TO APPLY, THIS NDIAA SHALL BE DEEMED MODIFIED ACCORDINGLY TO INSTEAD REFERENCE SUCH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 xml:space="preserve">Entire Agreement; Amendments and Waivers. </w:t>
      </w:r>
      <w:r>
        <w:rPr>
          <w:rFonts w:ascii="Times New Roman;Times;serif" w:hAnsi="Times New Roman;Times;serif"/>
          <w:sz w:val="20"/>
        </w:rPr>
        <w:t>This NDIAA (including the exhibits attached hereto) represents the entire understanding and agreement among the parties hereto with respect to the subject matter hereof and can be amended, supplemented, or changed and any provision hereof can be waived, only by written instrument signed by the party against whom enforcement of any such amendment, supplement, change or waiver is sought. Notwithstanding the foregoing, in the event of any conflict between this NDIAA and any other agreement the Executive has signed or hereafter signs containing terms that are more expansive or otherwise more favorable to the Company, including, without limitation, with respect to scope or duration, the more expansive provisions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 xml:space="preserve">Captions. </w:t>
      </w:r>
      <w:r>
        <w:rPr>
          <w:rFonts w:ascii="Times New Roman;Times;serif" w:hAnsi="Times New Roman;Times;serif"/>
          <w:sz w:val="20"/>
        </w:rPr>
        <w:t>The captions and section headings in this NDIAA are included solely for convenience of reference and are not intended to affect the interpretation of any provision of this NDIAA.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Counterparts; Binding Effect</w:t>
      </w:r>
      <w:r>
        <w:rPr>
          <w:rFonts w:ascii="Times New Roman;Times;serif" w:hAnsi="Times New Roman;Times;serif"/>
          <w:sz w:val="20"/>
        </w:rPr>
        <w:t>. This NDIAA may be executed in counterparts by executing the Employment Agreement to which it is an appendix, each of which shall be deemed an original agreement, but all of which together shall constitute one and the same agreement. Except as otherwise expressly provided herein, this NDIAA shall be binding upon and inure to the benefit of the parties hereto and their respective successors and permitted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 xml:space="preserve">Notices. </w:t>
      </w:r>
      <w:r>
        <w:rPr>
          <w:rFonts w:ascii="Times New Roman;Times;serif" w:hAnsi="Times New Roman;Times;serif"/>
          <w:sz w:val="20"/>
        </w:rPr>
        <w:t>All notices and other communications given or made pursuant to this NDIAA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to the Executive shall be sent to the Executive at the Executive’s address as set forth in the Company’s records, or to such e-mail address, facsimile number or address as subsequently modified by written notice given in accordance with this Section and all notices to the Company shall be provided to the Company’s headquarters, attention CEO.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 xml:space="preserve">Electronic Monitoring Notice. </w:t>
      </w:r>
      <w:r>
        <w:rPr>
          <w:rFonts w:ascii="Times New Roman;Times;serif" w:hAnsi="Times New Roman;Times;serif"/>
          <w:sz w:val="20"/>
        </w:rPr>
        <w:t>The Executive has been advised that, upon the Executive’s hire, any and all telephone conversations or transmissions, electronic mail or transmissions, or internet access or usage by the Executive by any electronic device or system, including but not limited to the use of computer, telephone, wire, radio, or electromagnetic, photo electronic, or photo-optical systems, may be subject to monitoring by the Company at any and all times and by any lawful means.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 xml:space="preserve">Subsequent Employment. </w:t>
      </w:r>
      <w:r>
        <w:rPr>
          <w:rFonts w:ascii="Times New Roman;Times;serif" w:hAnsi="Times New Roman;Times;serif"/>
          <w:sz w:val="20"/>
        </w:rPr>
        <w:t>The Executive agrees that if, during the Restricted Period, the Executive accepts an offer of employment from a new employer, the Executive will immediately disclose to the Company in writing the identity of such new employer, the job title of the Executive’s new position, and a general description of services to be rendered to that employer. In addition, the Executive agrees to respond within five (5) days to any written request from the Company for further information concerning the Executive’s work activities sufficient to provide the Company with assurances that the Executive is not violating any of the obligations the Executive has undertaken in this NDIAA.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Appendix - 10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olor w:val="231F20"/>
          <w:sz w:val="20"/>
        </w:rPr>
      </w:pPr>
      <w:bookmarkStart w:id="980" w:name="cldx-20251231xex21d1.htm"/>
      <w:bookmarkStart w:id="981" w:name="kscldx20251231xex21d1"/>
      <w:bookmarkEnd w:id="980"/>
      <w:bookmarkEnd w:id="981"/>
      <w:r>
        <w:rPr>
          <w:rFonts w:ascii="Times New Roman;Times;serif" w:hAnsi="Times New Roman;Times;serif"/>
          <w:b/>
          <w:color w:val="231F20"/>
          <w:sz w:val="20"/>
        </w:rPr>
        <w:t>Exhibit 21.1</w:t>
      </w:r>
      <w:r>
        <w:br w:type="page"/>
      </w:r>
    </w:p>
    <w:p>
      <w:pPr>
        <w:pStyle w:val="TextBody"/>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SUBSIDIARIES OF CELLDEX THERAPEUTICS, INC.</w:t>
      </w:r>
    </w:p>
    <w:p>
      <w:pPr>
        <w:pStyle w:val="TextBody"/>
        <w:bidi w:val="0"/>
        <w:spacing w:before="0" w:after="0"/>
        <w:ind w:left="0" w:right="0" w:hanging="0"/>
        <w:jc w:val="center"/>
        <w:rPr/>
      </w:pPr>
      <w:r>
        <w:rPr/>
        <w:t>​</w:t>
      </w:r>
    </w:p>
    <w:tbl>
      <w:tblPr>
        <w:tblW w:w="6620" w:type="dxa"/>
        <w:jc w:val="left"/>
        <w:tblInd w:w="0" w:type="dxa"/>
        <w:tblLayout w:type="fixed"/>
        <w:tblCellMar>
          <w:top w:w="0" w:type="dxa"/>
          <w:left w:w="0" w:type="dxa"/>
          <w:bottom w:w="0" w:type="dxa"/>
          <w:right w:w="0" w:type="dxa"/>
        </w:tblCellMar>
      </w:tblPr>
      <w:tblGrid>
        <w:gridCol w:w="3436"/>
        <w:gridCol w:w="346"/>
        <w:gridCol w:w="1381"/>
        <w:gridCol w:w="346"/>
        <w:gridCol w:w="111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81860" cy="175260"/>
                      <wp:effectExtent l="0" t="0" r="0" b="0"/>
                      <wp:wrapNone/>
                      <wp:docPr id="311" name="Frame310"/>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876935" cy="175260"/>
                      <wp:effectExtent l="0" t="0" r="0" b="0"/>
                      <wp:wrapNone/>
                      <wp:docPr id="312" name="Frame31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05485" cy="175260"/>
                      <wp:effectExtent l="0" t="0" r="0" b="0"/>
                      <wp:wrapNone/>
                      <wp:docPr id="313" name="Frame31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Contents"/>
              <w:bidi w:val="0"/>
              <w:spacing w:before="0" w:after="0"/>
              <w:ind w:left="0" w:right="0" w:hanging="0"/>
              <w:jc w:val="center"/>
              <w:rPr/>
            </w:pPr>
            <w:r>
              <w:rPr/>
              <w:t>  ​ ​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Jurisdiction of</w:t>
            </w:r>
            <w:r>
              <w:rPr>
                <w:rFonts w:ascii="Times New Roman;Times;serif" w:hAnsi="Times New Roman;Times;serif"/>
                <w:sz w:val="20"/>
              </w:rPr>
              <w:t xml:space="preserve"> </w:t>
              <w:br/>
            </w:r>
            <w:r>
              <w:rPr>
                <w:rFonts w:ascii="Times New Roman;Times;serif" w:hAnsi="Times New Roman;Times;serif"/>
                <w:b/>
                <w:sz w:val="20"/>
              </w:rPr>
              <w:t>Organization</w:t>
            </w:r>
          </w:p>
        </w:tc>
        <w:tc>
          <w:tcPr>
            <w:tcW w:w="346" w:type="dxa"/>
            <w:tcBorders/>
            <w:vAlign w:val="center"/>
          </w:tcPr>
          <w:p>
            <w:pPr>
              <w:pStyle w:val="TableContents"/>
              <w:bidi w:val="0"/>
              <w:spacing w:before="0" w:after="0"/>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Ownership</w:t>
            </w:r>
            <w:r>
              <w:rPr>
                <w:rFonts w:ascii="Times New Roman;Times;serif" w:hAnsi="Times New Roman;Times;serif"/>
                <w:sz w:val="20"/>
              </w:rPr>
              <w:t xml:space="preserve"> </w:t>
              <w:br/>
            </w:r>
            <w:r>
              <w:rPr>
                <w:rFonts w:ascii="Times New Roman;Times;serif" w:hAnsi="Times New Roman;Times;serif"/>
                <w:b/>
                <w:sz w:val="20"/>
              </w:rPr>
              <w:t>Percentage</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Celldex Therapeutics Switzerland GmbH</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olor w:val="231F20"/>
          <w:sz w:val="20"/>
        </w:rPr>
      </w:pPr>
      <w:bookmarkStart w:id="982" w:name="cldx-20251231xex23d1.htm"/>
      <w:bookmarkStart w:id="983" w:name="kscldx20251231xex23d1"/>
      <w:bookmarkEnd w:id="982"/>
      <w:bookmarkEnd w:id="983"/>
      <w:r>
        <w:rPr>
          <w:rFonts w:ascii="Times New Roman;Times;serif" w:hAnsi="Times New Roman;Times;serif"/>
          <w:b/>
          <w:color w:val="231F20"/>
          <w:sz w:val="20"/>
        </w:rPr>
        <w:t>Exhibit 23.1</w:t>
      </w:r>
      <w:r>
        <w:br w:type="page"/>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CONSENT OF INDEPENDENT REGISTERED PUBLIC ACCOUNTING FIRM</w:t>
      </w:r>
    </w:p>
    <w:p>
      <w:pPr>
        <w:pStyle w:val="TextBody"/>
        <w:bidi w:val="0"/>
        <w:spacing w:before="0" w:after="24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We hereby consent to the incorporation by reference in the Registration Statements on Form S-8 (Nos. 333-287839, 333-280207, 333-272804, 333-257137, 333-239463, 333-232253, 333-232255, 333-219867, 333-219869, 333-205694, 333-189336, 333-182142, 333-151728 and 333-117602) and on Form S-3 (Nos. 333-275300 and 333-215747) of Celldex Therapeutics, Inc. of our report dated February 25, 2026 relating to the financial statements and the effectiveness of internal control over financial reporting, which appears in this Form 10-K.</w:t>
      </w:r>
    </w:p>
    <w:p>
      <w:pPr>
        <w:pStyle w:val="TextBody"/>
        <w:bidi w:val="0"/>
        <w:spacing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/s/ PricewaterhouseCoopers LLP</w:t>
      </w:r>
    </w:p>
    <w:p>
      <w:pPr>
        <w:pStyle w:val="TextBody"/>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Boston, Massachusetts</w:t>
      </w:r>
    </w:p>
    <w:p>
      <w:pPr>
        <w:pStyle w:val="TextBody"/>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February 25,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olor w:val="231F20"/>
          <w:sz w:val="20"/>
        </w:rPr>
      </w:pPr>
      <w:bookmarkStart w:id="984" w:name="cldx-20251231xex31d1.htm"/>
      <w:bookmarkStart w:id="985" w:name="kscldx20251231xex31d1"/>
      <w:bookmarkEnd w:id="984"/>
      <w:bookmarkEnd w:id="985"/>
      <w:r>
        <w:rPr>
          <w:rFonts w:ascii="Times New Roman;Times;serif" w:hAnsi="Times New Roman;Times;serif"/>
          <w:b/>
          <w:color w:val="231F20"/>
          <w:sz w:val="20"/>
        </w:rPr>
        <w:t>Exhibit 31.1</w:t>
      </w:r>
      <w:r>
        <w:br w:type="page"/>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CERTIFICATION</w:t>
      </w:r>
    </w:p>
    <w:p>
      <w:pPr>
        <w:pStyle w:val="TextBody"/>
        <w:bidi w:val="0"/>
        <w:spacing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I, Anthony S. Marucci,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w:t>
      </w:r>
      <w:r>
        <w:rPr>
          <w:rFonts w:ascii="Times New Roman;Times;serif" w:hAnsi="Times New Roman;Times;serif"/>
          <w:color w:val="231F20"/>
          <w:sz w:val="20"/>
        </w:rPr>
        <w:t>I have reviewed this annual report on Form 10-K of Celldex Therapeutics,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w:t>
      </w:r>
      <w:r>
        <w:rPr>
          <w:rFonts w:ascii="Times New Roman;Times;serif" w:hAnsi="Times New Roman;Times;serif"/>
          <w:color w:val="231F2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3.</w:t>
      </w:r>
      <w:r>
        <w:rPr>
          <w:rFonts w:ascii="Times New Roman;Times;serif" w:hAnsi="Times New Roman;Times;serif"/>
          <w:color w:val="231F2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w:t>
      </w:r>
      <w:r>
        <w:rPr>
          <w:rFonts w:ascii="Times New Roman;Times;serif" w:hAnsi="Times New Roman;Times;serif"/>
          <w:color w:val="231F20"/>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color w:val="231F2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(d)</w:t>
      </w:r>
      <w:r>
        <w:rPr>
          <w:rFonts w:ascii="Times New Roman;Times;serif" w:hAnsi="Times New Roman;Times;serif"/>
          <w:color w:val="231F2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5.</w:t>
      </w:r>
      <w:r>
        <w:rPr>
          <w:rFonts w:ascii="Times New Roman;Times;serif" w:hAnsi="Times New Roman;Times;serif"/>
          <w:color w:val="231F2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6168" w:type="dxa"/>
        <w:jc w:val="left"/>
        <w:tblInd w:w="0" w:type="dxa"/>
        <w:tblLayout w:type="fixed"/>
        <w:tblCellMar>
          <w:top w:w="0" w:type="dxa"/>
          <w:left w:w="0" w:type="dxa"/>
          <w:bottom w:w="0" w:type="dxa"/>
          <w:right w:w="0" w:type="dxa"/>
        </w:tblCellMar>
      </w:tblPr>
      <w:tblGrid>
        <w:gridCol w:w="2086"/>
        <w:gridCol w:w="346"/>
        <w:gridCol w:w="373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24610" cy="175260"/>
                      <wp:effectExtent l="0" t="0" r="0" b="0"/>
                      <wp:wrapNone/>
                      <wp:docPr id="314" name="Frame313"/>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372360" cy="175260"/>
                      <wp:effectExtent l="0" t="0" r="0" b="0"/>
                      <wp:wrapNone/>
                      <wp:docPr id="316" name="Frame31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25, 2026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Anthony S. Marucci</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olor w:val="231F20"/>
          <w:sz w:val="20"/>
        </w:rPr>
      </w:pPr>
      <w:bookmarkStart w:id="986" w:name="cldx-20251231xex31d2.htm"/>
      <w:bookmarkStart w:id="987" w:name="kscldx20251231xex31d2"/>
      <w:bookmarkEnd w:id="986"/>
      <w:bookmarkEnd w:id="987"/>
      <w:r>
        <w:rPr>
          <w:rFonts w:ascii="Times New Roman;Times;serif" w:hAnsi="Times New Roman;Times;serif"/>
          <w:b/>
          <w:color w:val="231F20"/>
          <w:sz w:val="20"/>
        </w:rPr>
        <w:t>Exhibit 31.2</w:t>
      </w:r>
      <w:r>
        <w:br w:type="page"/>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CERTIFICATION</w:t>
      </w:r>
    </w:p>
    <w:p>
      <w:pPr>
        <w:pStyle w:val="TextBody"/>
        <w:bidi w:val="0"/>
        <w:spacing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I, Sam Martin,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1.</w:t>
      </w:r>
      <w:r>
        <w:rPr>
          <w:rFonts w:ascii="Times New Roman;Times;serif" w:hAnsi="Times New Roman;Times;serif"/>
          <w:color w:val="231F20"/>
          <w:sz w:val="20"/>
        </w:rPr>
        <w:t>I have reviewed this annual report on Form 10-K of Celldex Therapeutics,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2.</w:t>
      </w:r>
      <w:r>
        <w:rPr>
          <w:rFonts w:ascii="Times New Roman;Times;serif" w:hAnsi="Times New Roman;Times;serif"/>
          <w:color w:val="231F2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3.</w:t>
      </w:r>
      <w:r>
        <w:rPr>
          <w:rFonts w:ascii="Times New Roman;Times;serif" w:hAnsi="Times New Roman;Times;serif"/>
          <w:color w:val="231F2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4.</w:t>
      </w:r>
      <w:r>
        <w:rPr>
          <w:rFonts w:ascii="Times New Roman;Times;serif" w:hAnsi="Times New Roman;Times;serif"/>
          <w:color w:val="231F20"/>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(c)</w:t>
      </w:r>
      <w:r>
        <w:rPr>
          <w:rFonts w:ascii="Times New Roman;Times;serif" w:hAnsi="Times New Roman;Times;serif"/>
          <w:color w:val="231F2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(d)</w:t>
      </w:r>
      <w:r>
        <w:rPr>
          <w:rFonts w:ascii="Times New Roman;Times;serif" w:hAnsi="Times New Roman;Times;serif"/>
          <w:color w:val="231F2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5.</w:t>
      </w:r>
      <w:r>
        <w:rPr>
          <w:rFonts w:ascii="Times New Roman;Times;serif" w:hAnsi="Times New Roman;Times;serif"/>
          <w:color w:val="231F2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(a)</w:t>
      </w:r>
      <w:r>
        <w:rPr>
          <w:rFonts w:ascii="Times New Roman;Times;serif" w:hAnsi="Times New Roman;Times;serif"/>
          <w:color w:val="231F2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1F20"/>
          <w:sz w:val="20"/>
        </w:rPr>
        <w:t>(b)</w:t>
      </w:r>
      <w:r>
        <w:rPr>
          <w:rFonts w:ascii="Times New Roman;Times;serif" w:hAnsi="Times New Roman;Times;serif"/>
          <w:color w:val="231F2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7173" w:type="dxa"/>
        <w:jc w:val="left"/>
        <w:tblInd w:w="0" w:type="dxa"/>
        <w:tblLayout w:type="fixed"/>
        <w:tblCellMar>
          <w:top w:w="0" w:type="dxa"/>
          <w:left w:w="0" w:type="dxa"/>
          <w:bottom w:w="0" w:type="dxa"/>
          <w:right w:w="0" w:type="dxa"/>
        </w:tblCellMar>
      </w:tblPr>
      <w:tblGrid>
        <w:gridCol w:w="2086"/>
        <w:gridCol w:w="346"/>
        <w:gridCol w:w="4741"/>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25, 2026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Sam Martin</w: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color w:val="231F20"/>
          <w:sz w:val="20"/>
        </w:rPr>
      </w:pPr>
      <w:bookmarkStart w:id="988" w:name="cldx-20251231xex32.htm"/>
      <w:bookmarkStart w:id="989" w:name="kscldx20251231xex32"/>
      <w:bookmarkEnd w:id="988"/>
      <w:bookmarkEnd w:id="989"/>
      <w:r>
        <w:rPr>
          <w:rFonts w:ascii="Times New Roman;Times;serif" w:hAnsi="Times New Roman;Times;serif"/>
          <w:b/>
          <w:color w:val="231F20"/>
          <w:sz w:val="20"/>
        </w:rPr>
        <w:t>Exhibit 32</w:t>
      </w:r>
      <w:r>
        <w:br w:type="page"/>
      </w:r>
    </w:p>
    <w:p>
      <w:pPr>
        <w:pStyle w:val="TextBody"/>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CERTIFICATION OF CHIEF EXECUTIVE OFFICER</w:t>
      </w:r>
    </w:p>
    <w:p>
      <w:pPr>
        <w:pStyle w:val="TextBody"/>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AND CHIEF FINANCIAL OFFICER PURSUANT TO</w:t>
      </w:r>
    </w:p>
    <w:p>
      <w:pPr>
        <w:pStyle w:val="TextBody"/>
        <w:bidi w:val="0"/>
        <w:spacing w:before="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18 U.S.C. SECTION 1350, AS ADOPTED PURSUANT TO</w:t>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SECTION 906 OF THE SARBANES-OXLEY ACT OF 2002</w:t>
      </w:r>
    </w:p>
    <w:p>
      <w:pPr>
        <w:pStyle w:val="TextBody"/>
        <w:bidi w:val="0"/>
        <w:spacing w:before="0" w:after="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2025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pStyle w:val="TextBody"/>
        <w:bidi w:val="0"/>
        <w:spacing w:before="0" w:after="0"/>
        <w:ind w:left="0" w:right="0" w:hanging="0"/>
        <w:jc w:val="center"/>
        <w:rPr/>
      </w:pPr>
      <w:r>
        <w:rPr/>
        <w:t>​</w:t>
      </w:r>
    </w:p>
    <w:tbl>
      <w:tblPr>
        <w:tblW w:w="7233" w:type="dxa"/>
        <w:jc w:val="left"/>
        <w:tblInd w:w="0" w:type="dxa"/>
        <w:tblLayout w:type="fixed"/>
        <w:tblCellMar>
          <w:top w:w="0" w:type="dxa"/>
          <w:left w:w="0" w:type="dxa"/>
          <w:bottom w:w="0" w:type="dxa"/>
          <w:right w:w="0" w:type="dxa"/>
        </w:tblCellMar>
      </w:tblPr>
      <w:tblGrid>
        <w:gridCol w:w="2086"/>
        <w:gridCol w:w="406"/>
        <w:gridCol w:w="474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24610" cy="175260"/>
                      <wp:effectExtent l="0" t="0" r="0" b="0"/>
                      <wp:wrapNone/>
                      <wp:docPr id="317" name="Frame316"/>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57810" cy="175260"/>
                      <wp:effectExtent l="0" t="0" r="0" b="0"/>
                      <wp:wrapNone/>
                      <wp:docPr id="318" name="Frame31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010535" cy="175260"/>
                      <wp:effectExtent l="0" t="0" r="0" b="0"/>
                      <wp:wrapNone/>
                      <wp:docPr id="319" name="Frame318"/>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Anthony S. Marucci</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President and Chief Executive Officer</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4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Sam Martin</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r>
              <w:rPr>
                <w:rFonts w:ascii="Times New Roman;Times;serif" w:hAnsi="Times New Roman;Times;serif"/>
                <w:i/>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color w:val="231F20"/>
          <w:sz w:val="20"/>
        </w:rPr>
      </w:pPr>
      <w:r>
        <w:rPr>
          <w:rFonts w:ascii="Times New Roman;Times;serif" w:hAnsi="Times New Roman;Times;serif"/>
          <w:color w:val="231F20"/>
          <w:sz w:val="20"/>
        </w:rPr>
        <w:t>This certification shall not be deemed “filed” for any purpose, nor shall it be deemed to be incorporated by reference into any filing under the Securities Act of 1933 or the Exchange Act.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44218/000141057824000076/cldx-20231231xex1d1.htm" TargetMode="External"/><Relationship Id="rId4" Type="http://schemas.openxmlformats.org/officeDocument/2006/relationships/hyperlink" Target="https://www.sec.gov/Archives/edgar/data/744218/000110465916153723/a16-20866_1ex2d1.htm" TargetMode="External"/><Relationship Id="rId5" Type="http://schemas.openxmlformats.org/officeDocument/2006/relationships/hyperlink" Target="https://www.sec.gov/Archives/edgar/data/744218/0001029869-98-000936-index.html" TargetMode="External"/><Relationship Id="rId6" Type="http://schemas.openxmlformats.org/officeDocument/2006/relationships/hyperlink" Target="https://www.sec.gov/Archives/edgar/data/744218/0001029869-98-000936-index.html" TargetMode="External"/><Relationship Id="rId7" Type="http://schemas.openxmlformats.org/officeDocument/2006/relationships/hyperlink" Target="https://www.sec.gov/Archives/edgar/data/744218/0001029869-98-000936-index.html" TargetMode="External"/><Relationship Id="rId8" Type="http://schemas.openxmlformats.org/officeDocument/2006/relationships/hyperlink" Target="https://www.sec.gov/Archives/edgar/data/744218/000110465902001892/j3484_ex3d1.htm" TargetMode="External"/><Relationship Id="rId9" Type="http://schemas.openxmlformats.org/officeDocument/2006/relationships/hyperlink" Target="https://www.sec.gov/Archives/edgar/data/744218/000110465908016816/a08-7923_1ex3d1.htm" TargetMode="External"/><Relationship Id="rId10" Type="http://schemas.openxmlformats.org/officeDocument/2006/relationships/hyperlink" Target="https://www.sec.gov/Archives/edgar/data/744218/000110465908016816/a08-7923_1ex3d2.htm" TargetMode="External"/><Relationship Id="rId11" Type="http://schemas.openxmlformats.org/officeDocument/2006/relationships/hyperlink" Target="https://www.sec.gov/Archives/edgar/data/744218/000110465908069812/a08-25757_1ex3d7.htm" TargetMode="External"/><Relationship Id="rId12" Type="http://schemas.openxmlformats.org/officeDocument/2006/relationships/hyperlink" Target="https://www.sec.gov/Archives/edgar/data/744218/000110465919006667/a19-4170_1ex3d1.htm" TargetMode="External"/><Relationship Id="rId13" Type="http://schemas.openxmlformats.org/officeDocument/2006/relationships/hyperlink" Target="https://www.sec.gov/Archives/edgar/data/744218/000110465922116466/cldx-20220930xex3d1.htm" TargetMode="External"/><Relationship Id="rId14" Type="http://schemas.openxmlformats.org/officeDocument/2006/relationships/hyperlink" Target="https://www.sec.gov/Archives/edgar/data/744218/000110465919006667/a19-4170_1ex4d1.htm" TargetMode="External"/><Relationship Id="rId15" Type="http://schemas.openxmlformats.org/officeDocument/2006/relationships/hyperlink" Target="https://www.sec.gov/Archives/edgar/data/744218/000104746904033435/a2146123zex-3_1.htm" TargetMode="External"/><Relationship Id="rId16" Type="http://schemas.openxmlformats.org/officeDocument/2006/relationships/hyperlink" Target="https://www.sec.gov/Archives/edgar/data/744218/000110465923026701/cldx-20221231xex4d3.htm" TargetMode="External"/><Relationship Id="rId17" Type="http://schemas.openxmlformats.org/officeDocument/2006/relationships/hyperlink" Target="https://www.sec.gov/Archives/edgar/data/744218/000110465922116466/cldx-20220930xex10d1.htm" TargetMode="External"/><Relationship Id="rId18" Type="http://schemas.openxmlformats.org/officeDocument/2006/relationships/hyperlink" Target="https://www.sec.gov/Archives/edgar/data/744218/000110465922080483/tm2221215d1_ex10-1.htm" TargetMode="External"/><Relationship Id="rId19" Type="http://schemas.openxmlformats.org/officeDocument/2006/relationships/hyperlink" Target="https://www.sec.gov/Archives/edgar/data/744218/000110465925057066/tm2517205d1_ex10-1.htm" TargetMode="External"/><Relationship Id="rId20" Type="http://schemas.openxmlformats.org/officeDocument/2006/relationships/hyperlink" Target="https://www.sec.gov/Archives/edgar/data/744218/000110465924071512/tm2417134d1_ex10-1.htm" TargetMode="External"/><Relationship Id="rId21" Type="http://schemas.openxmlformats.org/officeDocument/2006/relationships/hyperlink" Target="https://www.sec.gov/Archives/edgar/data/744218/000110465923071597/tm2318812d1_ex10-1.htm" TargetMode="External"/><Relationship Id="rId22" Type="http://schemas.openxmlformats.org/officeDocument/2006/relationships/hyperlink" Target="https://www.sec.gov/Archives/edgar/data/744218/000110465921082585/tm2119126d1_ex10-1.htm" TargetMode="External"/><Relationship Id="rId23" Type="http://schemas.openxmlformats.org/officeDocument/2006/relationships/hyperlink" Target="https://www.sec.gov/Archives/edgar/data/744218/000110465920074646/tm2022847d1_ex10-1.htm" TargetMode="External"/><Relationship Id="rId24" Type="http://schemas.openxmlformats.org/officeDocument/2006/relationships/hyperlink" Target="https://www.sec.gov/Archives/edgar/data/744218/000110465919036671/a19-11620_3ex10d2.htm" TargetMode="External"/><Relationship Id="rId25" Type="http://schemas.openxmlformats.org/officeDocument/2006/relationships/hyperlink" Target="https://www.sec.gov/Archives/edgar/data/744218/000110465925109137/cldx-20250930xex10d1.htm" TargetMode="External"/><Relationship Id="rId26" Type="http://schemas.openxmlformats.org/officeDocument/2006/relationships/hyperlink" Target="https://www.sec.gov/Archives/edgar/data/744218/000110465921082585/tm2119126d1_ex10-2.htm" TargetMode="External"/><Relationship Id="rId27" Type="http://schemas.openxmlformats.org/officeDocument/2006/relationships/hyperlink" Target="https://www.sec.gov/Archives/edgar/data/744218/000110465921082585/tm2119126d1_ex10-3.htm" TargetMode="External"/><Relationship Id="rId28" Type="http://schemas.openxmlformats.org/officeDocument/2006/relationships/hyperlink" Target="https://www.sec.gov/Archives/edgar/data/744218/000110465921082585/tm2119126d1_ex10-4.htm" TargetMode="External"/><Relationship Id="rId29" Type="http://schemas.openxmlformats.org/officeDocument/2006/relationships/hyperlink" Target="https://www.sec.gov/Archives/edgar/data/744218/000110465921082585/tm2119126d1_ex10-5.htm" TargetMode="External"/><Relationship Id="rId30" Type="http://schemas.openxmlformats.org/officeDocument/2006/relationships/hyperlink" Target="https://www.sec.gov/Archives/edgar/data/744218/000110465918050496/a18-14097_1ex10d1.htm" TargetMode="External"/><Relationship Id="rId31" Type="http://schemas.openxmlformats.org/officeDocument/2006/relationships/hyperlink" Target="https://www.sec.gov/Archives/edgar/data/744218/000104746910002142/a2196680zex-10_42.htm" TargetMode="External"/><Relationship Id="rId32" Type="http://schemas.openxmlformats.org/officeDocument/2006/relationships/hyperlink" Target="https://www.sec.gov/Archives/edgar/data/744218/000141057825000216/cldx-20241231xex19d1.htm" TargetMode="External"/><Relationship Id="rId33" Type="http://schemas.openxmlformats.org/officeDocument/2006/relationships/hyperlink" Target="https://www.sec.gov/Archives/edgar/data/744218/000141057824000076/cldx-20231231xex97.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171555</Words>
  <Characters>943008</Characters>
  <CharactersWithSpaces>1113129</CharactersWithSpaces>
  <Paragraphs>8836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