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32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8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0-15006</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600" w:space="720"/>
            <w:col w:w="4020"/>
          </w:cols>
          <w:pgMar w:left="240" w:top="233" w:right="319" w:bottom="0" w:gutter="0" w:footer="0" w:header="0"/>
          <w:type w:val="continuous"/>
        </w:sectPr>
      </w:pP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119 Fourth Avenue, Needham, Massachusetts 02494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(781) 433-0771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33" w:right="319" w:bottom="0" w:gutter="0" w:footer="0" w:header="0"/>
          <w:type w:val="continuous"/>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380"/>
          </w:cols>
          <w:pgMar w:left="240" w:top="233" w:right="31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60"/>
          </w:cols>
          <w:pgMar w:left="240" w:top="233" w:right="31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November 1, 2010, 32,051,938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Quarter Ended September 30, 2010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4"/>
          <w:szCs w:val="24"/>
          <w:color w:val="auto"/>
        </w:rPr>
      </w:pPr>
    </w:p>
    <w:p>
      <w:pPr>
        <w:ind w:left="1084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6703060</wp:posOffset>
            </wp:positionH>
            <wp:positionV relativeFrom="paragraph">
              <wp:posOffset>20955</wp:posOffset>
            </wp:positionV>
            <wp:extent cx="548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5" w:lineRule="exact"/>
        <w:rPr>
          <w:sz w:val="24"/>
          <w:szCs w:val="24"/>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I—Financial Information</w:t>
        </w:r>
      </w:hyperlink>
    </w:p>
    <w:p>
      <w:pPr>
        <w:spacing w:after="0" w:line="209" w:lineRule="exact"/>
        <w:rPr>
          <w:sz w:val="24"/>
          <w:szCs w:val="24"/>
          <w:color w:val="auto"/>
        </w:rPr>
      </w:pPr>
    </w:p>
    <w:p>
      <w:pPr>
        <w:ind w:left="1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 Unaudited Financial Statements.</w:t>
        </w:r>
      </w:hyperlink>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6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 at September 30, 2010 and December 31, 2009</w:t>
              </w:r>
            </w:hyperlink>
          </w:p>
        </w:tc>
        <w:tc>
          <w:tcPr>
            <w:tcW w:w="16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for the Three and Nine Months Ended September 30, 2010 and 2009</w:t>
              </w:r>
            </w:hyperlink>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Cash Flows for the Nine Months Ended September 30, 2010 and 2009</w:t>
              </w:r>
            </w:hyperlink>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Unaudited Condensed Consolidated Financial Statements</w:t>
              </w:r>
            </w:hyperlink>
          </w:p>
        </w:tc>
        <w:tc>
          <w:tcPr>
            <w:tcW w:w="322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0" w:type="dxa"/>
            <w:vAlign w:val="bottom"/>
            <w:gridSpan w:val="1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2. Management’s Discussion and Analysis of Financial Condition and Results of Operations.</w:t>
              </w:r>
            </w:hyperlink>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40" w:type="dxa"/>
            <w:vAlign w:val="bottom"/>
            <w:tcBorders>
              <w:top w:val="single" w:sz="8" w:color="0000EE"/>
            </w:tcBorders>
            <w:gridSpan w:val="1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3. Quantitative and Qualitative Disclosures About Market Risk.</w:t>
              </w:r>
            </w:hyperlink>
          </w:p>
        </w:tc>
        <w:tc>
          <w:tcPr>
            <w:tcW w:w="9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Item 4. Controls and Procedures.</w:t>
              </w:r>
            </w:hyperlink>
          </w:p>
        </w:tc>
        <w:tc>
          <w:tcPr>
            <w:tcW w:w="2580" w:type="dxa"/>
            <w:vAlign w:val="bottom"/>
            <w:tcBorders>
              <w:top w:val="single" w:sz="8" w:color="0000EE"/>
            </w:tcBorders>
            <w:gridSpan w:val="3"/>
          </w:tcPr>
          <w:p>
            <w:pPr>
              <w:spacing w:after="0"/>
              <w:rPr>
                <w:sz w:val="24"/>
                <w:szCs w:val="24"/>
                <w:color w:val="auto"/>
              </w:rPr>
            </w:pPr>
          </w:p>
        </w:tc>
        <w:tc>
          <w:tcPr>
            <w:tcW w:w="306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8200" w:type="dxa"/>
            <w:vAlign w:val="bottom"/>
            <w:gridSpan w:val="18"/>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 Other Information</w:t>
              </w:r>
            </w:hyperlink>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40" w:type="dxa"/>
            <w:vAlign w:val="bottom"/>
            <w:tcBorders>
              <w:top w:val="single" w:sz="8" w:color="0000EE"/>
            </w:tcBorders>
            <w:gridSpan w:val="8"/>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Item 1. Legal Proceedings.</w:t>
              </w:r>
            </w:hyperlink>
          </w:p>
        </w:tc>
        <w:tc>
          <w:tcPr>
            <w:tcW w:w="5960" w:type="dxa"/>
            <w:vAlign w:val="bottom"/>
            <w:gridSpan w:val="8"/>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Borders>
              <w:top w:val="single" w:sz="8" w:color="0000EE"/>
            </w:tcBorders>
            <w:gridSpan w:val="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1A. Risk Factors.</w:t>
              </w:r>
            </w:hyperlink>
          </w:p>
        </w:tc>
        <w:tc>
          <w:tcPr>
            <w:tcW w:w="608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Borders>
              <w:top w:val="single" w:sz="8" w:color="0000EE"/>
            </w:tcBorders>
            <w:gridSpan w:val="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6. Exhibits.</w:t>
              </w:r>
            </w:hyperlink>
          </w:p>
        </w:tc>
        <w:tc>
          <w:tcPr>
            <w:tcW w:w="6380" w:type="dxa"/>
            <w:vAlign w:val="bottom"/>
            <w:gridSpan w:val="10"/>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Borders>
              <w:top w:val="single" w:sz="8" w:color="0000EE"/>
            </w:tcBorders>
            <w:gridSpan w:val="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Signatures</w:t>
              </w:r>
            </w:hyperlink>
          </w:p>
        </w:tc>
        <w:tc>
          <w:tcPr>
            <w:tcW w:w="6820" w:type="dxa"/>
            <w:vAlign w:val="bottom"/>
            <w:gridSpan w:val="11"/>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 Index</w:t>
              </w:r>
            </w:hyperlink>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53"/>
        </w:trPr>
        <w:tc>
          <w:tcPr>
            <w:tcW w:w="200" w:type="dxa"/>
            <w:vAlign w:val="bottom"/>
            <w:gridSpan w:val="2"/>
          </w:tcPr>
          <w:p>
            <w:pPr>
              <w:spacing w:after="0"/>
              <w:rPr>
                <w:sz w:val="24"/>
                <w:szCs w:val="24"/>
                <w:color w:val="auto"/>
              </w:rPr>
            </w:pPr>
          </w:p>
        </w:tc>
        <w:tc>
          <w:tcPr>
            <w:tcW w:w="980" w:type="dxa"/>
            <w:vAlign w:val="bottom"/>
            <w:tcBorders>
              <w:top w:val="single" w:sz="8" w:color="0000EE"/>
            </w:tcBorders>
            <w:gridSpan w:val="3"/>
          </w:tcPr>
          <w:p>
            <w:pPr>
              <w:spacing w:after="0"/>
              <w:rPr>
                <w:sz w:val="24"/>
                <w:szCs w:val="24"/>
                <w:color w:val="auto"/>
              </w:rPr>
            </w:pPr>
          </w:p>
        </w:tc>
        <w:tc>
          <w:tcPr>
            <w:tcW w:w="5380" w:type="dxa"/>
            <w:vAlign w:val="bottom"/>
            <w:gridSpan w:val="10"/>
          </w:tcPr>
          <w:p>
            <w:pPr>
              <w:jc w:val="center"/>
              <w:ind w:left="3590"/>
              <w:spacing w:after="0"/>
              <w:rPr>
                <w:sz w:val="20"/>
                <w:szCs w:val="20"/>
                <w:color w:val="auto"/>
              </w:rPr>
            </w:pPr>
            <w:r>
              <w:rPr>
                <w:rFonts w:ascii="Arial" w:cs="Arial" w:eastAsia="Arial" w:hAnsi="Arial"/>
                <w:sz w:val="18"/>
                <w:szCs w:val="18"/>
                <w:color w:val="auto"/>
                <w:w w:val="99"/>
              </w:rPr>
              <w:t>2</w:t>
            </w: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200" w:type="dxa"/>
            <w:vAlign w:val="bottom"/>
            <w:gridSpan w:val="18"/>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8200" w:type="dxa"/>
            <w:vAlign w:val="bottom"/>
            <w:gridSpan w:val="18"/>
          </w:tcPr>
          <w:p>
            <w:pPr>
              <w:spacing w:after="0"/>
              <w:rPr>
                <w:sz w:val="20"/>
                <w:szCs w:val="20"/>
                <w:color w:val="auto"/>
              </w:rPr>
            </w:pPr>
            <w:r>
              <w:rPr>
                <w:rFonts w:ascii="Arial" w:cs="Arial" w:eastAsia="Arial" w:hAnsi="Arial"/>
                <w:sz w:val="18"/>
                <w:szCs w:val="18"/>
                <w:b w:val="1"/>
                <w:bCs w:val="1"/>
                <w:color w:val="auto"/>
              </w:rPr>
              <w:t>PART I—FINANCIAL INFORMATION</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200" w:type="dxa"/>
            <w:vAlign w:val="bottom"/>
            <w:gridSpan w:val="18"/>
          </w:tcPr>
          <w:p>
            <w:pPr>
              <w:spacing w:after="0" w:line="194" w:lineRule="exact"/>
              <w:rPr>
                <w:sz w:val="20"/>
                <w:szCs w:val="20"/>
                <w:color w:val="auto"/>
              </w:rPr>
            </w:pPr>
            <w:r>
              <w:rPr>
                <w:rFonts w:ascii="Arial" w:cs="Arial" w:eastAsia="Arial" w:hAnsi="Arial"/>
                <w:sz w:val="18"/>
                <w:szCs w:val="18"/>
                <w:b w:val="1"/>
                <w:bCs w:val="1"/>
                <w:color w:val="auto"/>
              </w:rPr>
              <w:t>Item 1. Unaudited Financial Statements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140" w:type="dxa"/>
            <w:vAlign w:val="bottom"/>
            <w:gridSpan w:val="6"/>
          </w:tcPr>
          <w:p>
            <w:pPr>
              <w:jc w:val="center"/>
              <w:ind w:left="90"/>
              <w:spacing w:after="0"/>
              <w:rPr>
                <w:sz w:val="20"/>
                <w:szCs w:val="20"/>
                <w:color w:val="auto"/>
              </w:rPr>
            </w:pPr>
            <w:r>
              <w:rPr>
                <w:rFonts w:ascii="Arial" w:cs="Arial" w:eastAsia="Arial" w:hAnsi="Arial"/>
                <w:sz w:val="18"/>
                <w:szCs w:val="18"/>
                <w:b w:val="1"/>
                <w:bCs w:val="1"/>
                <w:color w:val="auto"/>
              </w:rPr>
              <w:t>CELLDEX THERAPEUTICS, INC.</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140" w:type="dxa"/>
            <w:vAlign w:val="bottom"/>
            <w:gridSpan w:val="6"/>
          </w:tcPr>
          <w:p>
            <w:pPr>
              <w:jc w:val="center"/>
              <w:ind w:left="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4"/>
          </w:tcPr>
          <w:p>
            <w:pPr>
              <w:jc w:val="center"/>
              <w:ind w:right="192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40" w:type="dxa"/>
            <w:vAlign w:val="bottom"/>
            <w:gridSpan w:val="6"/>
          </w:tcPr>
          <w:p>
            <w:pPr>
              <w:jc w:val="center"/>
              <w:ind w:left="9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gridSpan w:val="17"/>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17"/>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9,828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0" w:type="dxa"/>
            <w:vAlign w:val="bottom"/>
            <w:gridSpan w:val="16"/>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47,829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25,451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Accounts and Other Receivables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456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0" w:type="dxa"/>
            <w:vAlign w:val="bottom"/>
            <w:gridSpan w:val="16"/>
          </w:tcPr>
          <w:p>
            <w:pPr>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1,087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8000" w:type="dxa"/>
            <w:vAlign w:val="bottom"/>
            <w:tcBorders>
              <w:top w:val="single" w:sz="8" w:color="CCEEFF"/>
            </w:tcBorders>
            <w:gridSpan w:val="16"/>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59,200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83,976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gridSpan w:val="17"/>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10,924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11,489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27,319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17"/>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5,401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5,955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8,965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000" w:type="dxa"/>
            <w:vAlign w:val="bottom"/>
            <w:tcBorders>
              <w:bottom w:val="single" w:sz="8" w:color="CCEEFF"/>
            </w:tcBorders>
            <w:gridSpan w:val="16"/>
          </w:tcPr>
          <w:p>
            <w:pPr>
              <w:ind w:left="16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111,809</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140,364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17"/>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0" w:type="dxa"/>
            <w:vAlign w:val="bottom"/>
            <w:gridSpan w:val="16"/>
          </w:tcPr>
          <w:p>
            <w:pPr>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741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4,178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0" w:type="dxa"/>
            <w:vAlign w:val="bottom"/>
            <w:gridSpan w:val="16"/>
          </w:tcPr>
          <w:p>
            <w:pPr>
              <w:spacing w:after="0"/>
              <w:rPr>
                <w:sz w:val="20"/>
                <w:szCs w:val="20"/>
                <w:color w:val="auto"/>
              </w:rPr>
            </w:pPr>
            <w:r>
              <w:rPr>
                <w:rFonts w:ascii="Arial" w:cs="Arial" w:eastAsia="Arial" w:hAnsi="Arial"/>
                <w:sz w:val="18"/>
                <w:szCs w:val="18"/>
                <w:color w:val="auto"/>
              </w:rPr>
              <w:t>Current Portion of Deferred Revenue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5,056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5,191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Current Portion of Long-Term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1,076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0" w:type="dxa"/>
            <w:vAlign w:val="bottom"/>
            <w:gridSpan w:val="16"/>
          </w:tcPr>
          <w:p>
            <w:pPr>
              <w:spacing w:after="0"/>
              <w:rPr>
                <w:sz w:val="20"/>
                <w:szCs w:val="20"/>
                <w:color w:val="auto"/>
              </w:rPr>
            </w:pPr>
            <w:r>
              <w:rPr>
                <w:rFonts w:ascii="Arial" w:cs="Arial" w:eastAsia="Arial" w:hAnsi="Arial"/>
                <w:sz w:val="18"/>
                <w:szCs w:val="18"/>
                <w:color w:val="auto"/>
              </w:rPr>
              <w:t>Convertible Subordinated Debt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12,230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8000" w:type="dxa"/>
            <w:vAlign w:val="bottom"/>
            <w:tcBorders>
              <w:top w:val="single" w:sz="8" w:color="CCEEFF"/>
            </w:tcBorders>
            <w:gridSpan w:val="16"/>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23,281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gridSpan w:val="17"/>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30,920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34,191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Convertible Subordinated Debt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17"/>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5,587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8000" w:type="dxa"/>
            <w:vAlign w:val="bottom"/>
            <w:tcBorders>
              <w:top w:val="single" w:sz="8" w:color="CCEEFF"/>
            </w:tcBorders>
            <w:gridSpan w:val="16"/>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59,788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66,597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0" w:type="dxa"/>
            <w:vAlign w:val="bottom"/>
            <w:gridSpan w:val="16"/>
          </w:tcPr>
          <w:p>
            <w:pPr>
              <w:spacing w:after="0" w:line="201" w:lineRule="exact"/>
              <w:rPr>
                <w:sz w:val="20"/>
                <w:szCs w:val="20"/>
                <w:color w:val="auto"/>
              </w:rPr>
            </w:pPr>
            <w:r>
              <w:rPr>
                <w:rFonts w:ascii="Arial" w:cs="Arial" w:eastAsia="Arial" w:hAnsi="Arial"/>
                <w:sz w:val="18"/>
                <w:szCs w:val="18"/>
                <w:color w:val="auto"/>
              </w:rPr>
              <w:t>Convertible Preferred Stock, $.01 Par Value; 3,000,000 Shares Authorized; No Shares Issued and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0" w:type="dxa"/>
            <w:vAlign w:val="bottom"/>
            <w:gridSpan w:val="16"/>
          </w:tcPr>
          <w:p>
            <w:pPr>
              <w:ind w:left="160"/>
              <w:spacing w:after="0"/>
              <w:rPr>
                <w:sz w:val="20"/>
                <w:szCs w:val="20"/>
                <w:color w:val="auto"/>
              </w:rPr>
            </w:pPr>
            <w:r>
              <w:rPr>
                <w:rFonts w:ascii="Arial" w:cs="Arial" w:eastAsia="Arial" w:hAnsi="Arial"/>
                <w:sz w:val="18"/>
                <w:szCs w:val="18"/>
                <w:color w:val="auto"/>
              </w:rPr>
              <w:t>Outstanding at September 30, 2010 and December 31, 2009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00" w:type="dxa"/>
            <w:vAlign w:val="bottom"/>
            <w:gridSpan w:val="16"/>
            <w:shd w:val="clear" w:color="auto" w:fill="CCEEFF"/>
          </w:tcPr>
          <w:p>
            <w:pPr>
              <w:spacing w:after="0"/>
              <w:rPr>
                <w:sz w:val="20"/>
                <w:szCs w:val="20"/>
                <w:color w:val="auto"/>
              </w:rPr>
            </w:pPr>
            <w:r>
              <w:rPr>
                <w:rFonts w:ascii="Arial" w:cs="Arial" w:eastAsia="Arial" w:hAnsi="Arial"/>
                <w:sz w:val="18"/>
                <w:szCs w:val="18"/>
                <w:color w:val="auto"/>
                <w:w w:val="97"/>
              </w:rPr>
              <w:t>Common Stock, $.001 Par Value; 297,000,000 Shares Authorized; 32,051,938 and 31,685,061 Shares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9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-6606540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-6606540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24"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and Outstanding at September 30, 2010 and December 31, 2009, respectively</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232,061</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228,863</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2,796</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2,546</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(182,868)</w:t>
            </w:r>
          </w:p>
        </w:tc>
        <w:tc>
          <w:tcPr>
            <w:tcW w:w="4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(157,674)</w:t>
            </w:r>
          </w:p>
        </w:tc>
      </w:tr>
      <w:tr>
        <w:trPr>
          <w:trHeight w:val="210"/>
        </w:trPr>
        <w:tc>
          <w:tcPr>
            <w:tcW w:w="7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9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52,021</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38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92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111,809</w:t>
            </w:r>
          </w:p>
        </w:tc>
        <w:tc>
          <w:tcPr>
            <w:tcW w:w="28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140,364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52"/>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52"/>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5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1,371</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4,117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4,338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Product Royalties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4,735</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5,170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5,169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20,908</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18,060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Royalty</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5,277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7,848</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10,701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483</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2,660</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11,287</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36,643</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(8,879)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(27,571)</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3,379</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(1,002)</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50"/>
        </w:trPr>
        <w:tc>
          <w:tcPr>
            <w:tcW w:w="46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(9,087)</w:t>
            </w:r>
          </w:p>
        </w:tc>
        <w:tc>
          <w:tcPr>
            <w:tcW w:w="3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(25,194)</w:t>
            </w:r>
          </w:p>
        </w:tc>
        <w:tc>
          <w:tcPr>
            <w:tcW w:w="2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(23,582)</w:t>
            </w: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Basic and Diluted Net Loss Per Common Share (Note 4)</w:t>
            </w:r>
          </w:p>
        </w:tc>
        <w:tc>
          <w:tcPr>
            <w:tcW w:w="5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(0.28)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00" w:type="dxa"/>
            <w:vAlign w:val="bottom"/>
          </w:tcPr>
          <w:p>
            <w:pPr>
              <w:spacing w:after="0" w:line="201" w:lineRule="exact"/>
              <w:rPr>
                <w:sz w:val="20"/>
                <w:szCs w:val="20"/>
                <w:color w:val="auto"/>
              </w:rPr>
            </w:pPr>
            <w:r>
              <w:rPr>
                <w:rFonts w:ascii="Arial" w:cs="Arial" w:eastAsia="Arial" w:hAnsi="Arial"/>
                <w:sz w:val="18"/>
                <w:szCs w:val="18"/>
                <w:color w:val="auto"/>
                <w:w w:val="97"/>
              </w:rPr>
              <w:t>Shares Used in Calculating Basic and Diluted Net Loss per</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31,922</w:t>
            </w:r>
          </w:p>
        </w:tc>
        <w:tc>
          <w:tcPr>
            <w:tcW w:w="180" w:type="dxa"/>
            <w:vAlign w:val="bottom"/>
          </w:tcPr>
          <w:p>
            <w:pPr>
              <w:spacing w:after="0"/>
              <w:rPr>
                <w:sz w:val="17"/>
                <w:szCs w:val="17"/>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15,879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31,812</w:t>
            </w:r>
          </w:p>
        </w:tc>
        <w:tc>
          <w:tcPr>
            <w:tcW w:w="160" w:type="dxa"/>
            <w:vAlign w:val="bottom"/>
          </w:tcPr>
          <w:p>
            <w:pPr>
              <w:spacing w:after="0"/>
              <w:rPr>
                <w:sz w:val="17"/>
                <w:szCs w:val="17"/>
                <w:color w:val="auto"/>
              </w:rPr>
            </w:pPr>
          </w:p>
        </w:tc>
        <w:tc>
          <w:tcPr>
            <w:tcW w:w="1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15,844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Share (Note 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7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r>
      <w:tr>
        <w:trPr>
          <w:trHeight w:val="171"/>
        </w:trPr>
        <w:tc>
          <w:tcPr>
            <w:tcW w:w="70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(25,194)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(23,582)</w:t>
            </w: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2,188</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1,955</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Amortization and Accretion of Marketable Securities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Sales and Maturities of Marketable Securities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Gain on Sale or Disposal of Assets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(567)</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Non-Cash Interest Expense</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546</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540"/>
              <w:spacing w:after="0"/>
              <w:rPr>
                <w:sz w:val="20"/>
                <w:szCs w:val="20"/>
                <w:color w:val="auto"/>
              </w:rPr>
            </w:pPr>
            <w:r>
              <w:rPr>
                <w:rFonts w:ascii="Arial" w:cs="Arial" w:eastAsia="Arial" w:hAnsi="Arial"/>
                <w:sz w:val="18"/>
                <w:szCs w:val="18"/>
                <w:color w:val="auto"/>
              </w:rPr>
              <w:t>Accounts and Other Receivables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r>
      <w:tr>
        <w:trPr>
          <w:trHeight w:val="216"/>
        </w:trPr>
        <w:tc>
          <w:tcPr>
            <w:tcW w:w="7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and Other Current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46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1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554</w:t>
            </w: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520"/>
              <w:spacing w:after="0"/>
              <w:rPr>
                <w:sz w:val="20"/>
                <w:szCs w:val="20"/>
                <w:color w:val="auto"/>
              </w:rPr>
            </w:pPr>
            <w:r>
              <w:rPr>
                <w:rFonts w:ascii="Arial" w:cs="Arial" w:eastAsia="Arial" w:hAnsi="Arial"/>
                <w:sz w:val="18"/>
                <w:szCs w:val="18"/>
                <w:color w:val="auto"/>
              </w:rPr>
              <w:t>Deferred Revenue</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(3,406)</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Long-Term Liabilities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Operating Activities</w:t>
            </w:r>
          </w:p>
        </w:tc>
        <w:tc>
          <w:tcPr>
            <w:tcW w:w="18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(24,357)</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Marketable Securities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30,210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(52,272)</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Proceeds from Sale or Disposal of Assets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Provided by Investing Activities</w:t>
            </w:r>
          </w:p>
        </w:tc>
        <w:tc>
          <w:tcPr>
            <w:tcW w:w="18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(23,674)</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Net Proceeds from Stock Issuances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1,001</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of Other Long-Term Liabilities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8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(47,174)</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57,002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44,257</w:t>
            </w:r>
          </w:p>
        </w:tc>
        <w:tc>
          <w:tcPr>
            <w:tcW w:w="0" w:type="dxa"/>
            <w:vAlign w:val="bottom"/>
          </w:tcPr>
          <w:p>
            <w:pPr>
              <w:spacing w:after="0"/>
              <w:rPr>
                <w:sz w:val="1"/>
                <w:szCs w:val="1"/>
                <w:color w:val="auto"/>
              </w:rPr>
            </w:pPr>
          </w:p>
        </w:tc>
      </w:tr>
      <w:tr>
        <w:trPr>
          <w:trHeight w:val="250"/>
        </w:trPr>
        <w:tc>
          <w:tcPr>
            <w:tcW w:w="64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8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9,828</w:t>
            </w:r>
          </w:p>
        </w:tc>
        <w:tc>
          <w:tcPr>
            <w:tcW w:w="2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6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Flow Information</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to Executive Officers</w:t>
            </w:r>
          </w:p>
        </w:tc>
        <w:tc>
          <w:tcPr>
            <w:tcW w:w="22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subsidiaries. All intercompany transactions have been eliminated in consolidation.</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2009, which are included in the Company’s Annual Report on Form 10-K filed with the Securities and Exchange Commission (“SEC”) on March 12, 2010. In the opinion of management, the interim financial statements reflect all normal recurring adjustments necessary to fairly state the Company’s financial position and results of operations for the interim periods presented. The year-end consolidated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AVANT Merger</w:t>
      </w:r>
    </w:p>
    <w:p>
      <w:pPr>
        <w:spacing w:after="0" w:line="225"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On March 7, 2008, the Company (formerly known as AVANT Immunotherapeutics, Inc.) (“AVANT”) merged with Celldex Research Corporation (formerly known as Celldex Therapeutics, Inc.) (“Celldex Research”), a privately-held company, (the “AVANT Merger”). Effective October 1, 2008, the Company changed its name from AVANT Immunotherapeutics, Inc. to Celldex Therapeutics, Inc. The AVANT Merger was accounted for using the former purchase method of accounting and was treated as an acquisition by Celldex Research of AVANT, with Celldex Research being considered the accounting acquirer even though AVANT was the issuer of common stock and the surviving legal entity in the transaction.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CuraGen Corporation (“CuraGen”)</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As more fully discussed in Note 12, on October 1, 2009, CuraGen, a former publicly-traded company, merged with a wholly-owned subsidiary (“Merger Sub”) of the Company (the “CuraGen Merger”). Following the CuraGen Merger, the financial statements reflect the financial position, results of operation and cash flows of the combined companies. On December 31, 2009, the Company completed the merger of the Merger Sub with and into Celldex pursuant to a short-form merger effected under Delaware law. As a result, the separate corporate existence of CuraGen has ceased and the Company has succeeded to all rights, privileges, powers and franchises of CuraGen.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280" w:firstLine="630"/>
        <w:spacing w:after="0" w:line="286" w:lineRule="auto"/>
        <w:rPr>
          <w:sz w:val="20"/>
          <w:szCs w:val="20"/>
          <w:color w:val="auto"/>
        </w:rPr>
      </w:pPr>
      <w:r>
        <w:rPr>
          <w:rFonts w:ascii="Arial" w:cs="Arial" w:eastAsia="Arial" w:hAnsi="Arial"/>
          <w:sz w:val="17"/>
          <w:szCs w:val="17"/>
          <w:color w:val="auto"/>
        </w:rPr>
        <w:t>The significant accounting policies used in preparation of these condensed consolidated financial statements for the nine months ended September 30, 2010 are consistent with those discussed in Note 2 to the consolidated financial statements in our Annual Report on Form 10-K for the year ended December 31, 2009, except for the adoption of new accounting standards during the first nine months of 2010 as discussed below.</w:t>
      </w:r>
    </w:p>
    <w:p>
      <w:pPr>
        <w:sectPr>
          <w:pgSz w:w="11900" w:h="16838" w:orient="portrait"/>
          <w:cols w:equalWidth="0" w:num="1">
            <w:col w:w="11420"/>
          </w:cols>
          <w:pgMar w:left="240" w:top="125"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January 2010, the Company adopted a new U.S. GAAP accounting standard which requires additional disclosure about the amounts of and reasons for significant transfers in and out of Level 1 and Level 2 fair value measurements. This standard also clarifies existing disclosure requirements related to the level of disaggregation of fair value measurements for each class of assets and liabilities and disclosures about inputs and valuation techniques used to measure fair value for both recurring and nonrecurring Level 2 and Level 3 measurements. As this newly issued accounting standard only requires enhanced disclosure, the adoption of this standard did not impact the Company’s financial position or results of operations. In addition, effective for interim and annual periods beginning January 1, 2011, this standard will require additional disclosure and require an entity to present disaggregated information about activity in Level 3 fair value measurements on a gross basis, rather than as one net amount.</w:t>
      </w:r>
    </w:p>
    <w:p>
      <w:pPr>
        <w:spacing w:after="0" w:line="17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January 2010, the Company adopted a new U.S. GAAP accounting standard which amends existing revenue recognition accounting guidance to provide accounting principles and application guidance on whether multiple deliverables exist, how the arrangement should be separated, and the consideration allocated. This new guidance eliminates the requirement to establish objective evidence of fair value of undelivered products and services and instead provides for separate revenue recognition based upon management’s estimate of the selling price for an undelivered item when there is no other means to determine the fair value of that undelivered item. The old guidance previously required that the fair value of the undelivered item be the price of the item either sold in a separate transaction between unrelated third parties or the price charged for each item when the item is sold separately by the vendor. This was difficult to determine when the product was not individually sold because of its unique features. Under the old guidance, if the fair value of all of the undelivered elements in the arrangement was not determinable, then revenue was deferred until all of the items were delivered or fair value was determined. The adoption of the new standard was done on a prospective basis and did not impact the Company’s financial position or results of operations. This standard may impact the Company in the event it completes future transactions or modifies existing collaborative relationships.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nine months ended September 30, 2010 and 2009, comprehensive loss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2"/>
            <w:shd w:val="clear" w:color="auto" w:fill="CCEEFF"/>
          </w:tcPr>
          <w:p>
            <w:pPr>
              <w:jc w:val="right"/>
              <w:ind w:right="70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(9,087)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(7,174)</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(25,194)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(23,582)</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(loss) on marketable securities</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Unrealized foreign exchange translation gain (loss)</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gain (loss)</w:t>
            </w:r>
          </w:p>
        </w:tc>
        <w:tc>
          <w:tcPr>
            <w:tcW w:w="5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560" w:type="dxa"/>
            <w:vAlign w:val="bottom"/>
          </w:tcPr>
          <w:p>
            <w:pPr>
              <w:spacing w:after="0"/>
              <w:rPr>
                <w:sz w:val="19"/>
                <w:szCs w:val="19"/>
                <w:color w:val="auto"/>
              </w:rPr>
            </w:pP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(8,949</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(7,172</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(24,944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(23,595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potentially dilutive common shares that have not been included in the net loss per common share calculations because the effect would have been anti-dilutive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312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4,026,378</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2,695,480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Convertible debt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353,563</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17,500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4,397,441</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2,695,480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The fair value of the Company’s assets and liabilities reflects the Company’s estimate of the exchange price that would be received for an asset or paid to transfer a liability (an exit price) in an orderly transaction between market participants on the measurement date. Market participants are buyers and sellers in the principal market that are (i) independent, (ii) knowledgeable, (iii) able to transact, and (iv) willing to transact.</w:t>
      </w:r>
    </w:p>
    <w:p>
      <w:pPr>
        <w:spacing w:after="0" w:line="166"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w:t>
      </w:r>
    </w:p>
    <w:p>
      <w:pPr>
        <w:sectPr>
          <w:pgSz w:w="11900" w:h="16838" w:orient="portrait"/>
          <w:cols w:equalWidth="0" w:num="1">
            <w:col w:w="11420"/>
          </w:cols>
          <w:pgMar w:left="240" w:top="341" w:right="239" w:bottom="0" w:gutter="0" w:footer="0" w:header="0"/>
        </w:sectPr>
      </w:pPr>
    </w:p>
    <w:bookmarkStart w:id="5" w:name="page6"/>
    <w:bookmarkEnd w:id="5"/>
    <w:p>
      <w:pPr>
        <w:spacing w:after="0" w:line="1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participants would price assets and liabilities). The following fair value hierarchy is used to classify assets and liabilities based on the observable inputs and unobservable inputs used in order to value the assets and liabilities:</w:t>
      </w:r>
    </w:p>
    <w:p>
      <w:pPr>
        <w:spacing w:after="0" w:line="170" w:lineRule="exact"/>
        <w:rPr>
          <w:sz w:val="20"/>
          <w:szCs w:val="20"/>
          <w:color w:val="auto"/>
        </w:rPr>
      </w:pPr>
    </w:p>
    <w:p>
      <w:pPr>
        <w:jc w:val="both"/>
        <w:ind w:left="1220" w:right="460" w:hanging="1215"/>
        <w:spacing w:after="0" w:line="256" w:lineRule="auto"/>
        <w:tabs>
          <w:tab w:leader="none" w:pos="12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Observable inputs such as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ind w:left="1220" w:right="420" w:hanging="1215"/>
        <w:spacing w:after="0" w:line="250" w:lineRule="auto"/>
        <w:tabs>
          <w:tab w:leader="none" w:pos="12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prices, such as quoted prices in active markets for similar assets or liabilities and quoted prices for identical assets or liabilities in markets that are not active.</w:t>
      </w:r>
    </w:p>
    <w:p>
      <w:pPr>
        <w:spacing w:after="0" w:line="1" w:lineRule="exact"/>
        <w:rPr>
          <w:sz w:val="20"/>
          <w:szCs w:val="20"/>
          <w:color w:val="auto"/>
        </w:rPr>
      </w:pPr>
    </w:p>
    <w:p>
      <w:pPr>
        <w:ind w:left="1220" w:right="540" w:hanging="1215"/>
        <w:spacing w:after="0" w:line="261" w:lineRule="auto"/>
        <w:tabs>
          <w:tab w:leader="none" w:pos="12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based on the Company’s assessment of the assumptions that market participants would use in pricing the asset or liability.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Level 2</w:t>
            </w:r>
          </w:p>
        </w:tc>
        <w:tc>
          <w:tcPr>
            <w:tcW w:w="146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September 30, 2010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5"/>
          </w:tcPr>
          <w:p>
            <w:pPr>
              <w:jc w:val="right"/>
              <w:ind w:right="165"/>
              <w:spacing w:after="0" w:line="142" w:lineRule="exact"/>
              <w:rPr>
                <w:sz w:val="20"/>
                <w:szCs w:val="20"/>
                <w:color w:val="auto"/>
              </w:rPr>
            </w:pPr>
            <w:r>
              <w:rPr>
                <w:rFonts w:ascii="Arial" w:cs="Arial" w:eastAsia="Arial" w:hAnsi="Arial"/>
                <w:sz w:val="14"/>
                <w:szCs w:val="14"/>
                <w:b w:val="1"/>
                <w:bCs w:val="1"/>
                <w:color w:val="auto"/>
              </w:rPr>
              <w:t>(In thousands)</w:t>
            </w:r>
          </w:p>
        </w:tc>
        <w:tc>
          <w:tcPr>
            <w:tcW w:w="10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8,998</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47,829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47,829</w:t>
            </w:r>
          </w:p>
        </w:tc>
        <w:tc>
          <w:tcPr>
            <w:tcW w:w="146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56,827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Level 2</w:t>
            </w:r>
          </w:p>
        </w:tc>
        <w:tc>
          <w:tcPr>
            <w:tcW w:w="146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December 31, 2009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5"/>
          </w:tcPr>
          <w:p>
            <w:pPr>
              <w:jc w:val="right"/>
              <w:ind w:right="165"/>
              <w:spacing w:after="0" w:line="142" w:lineRule="exact"/>
              <w:rPr>
                <w:sz w:val="20"/>
                <w:szCs w:val="20"/>
                <w:color w:val="auto"/>
              </w:rPr>
            </w:pPr>
            <w:r>
              <w:rPr>
                <w:rFonts w:ascii="Arial" w:cs="Arial" w:eastAsia="Arial" w:hAnsi="Arial"/>
                <w:sz w:val="14"/>
                <w:szCs w:val="14"/>
                <w:b w:val="1"/>
                <w:bCs w:val="1"/>
                <w:color w:val="auto"/>
              </w:rPr>
              <w:t>(In thousands)</w:t>
            </w:r>
          </w:p>
        </w:tc>
        <w:tc>
          <w:tcPr>
            <w:tcW w:w="10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53,780</w:t>
            </w:r>
          </w:p>
        </w:tc>
        <w:tc>
          <w:tcPr>
            <w:tcW w:w="42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53,780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3"/>
          </w:tcPr>
          <w:p>
            <w:pPr>
              <w:jc w:val="right"/>
              <w:ind w:right="140"/>
              <w:spacing w:after="0"/>
              <w:rPr>
                <w:sz w:val="20"/>
                <w:szCs w:val="20"/>
                <w:color w:val="auto"/>
              </w:rPr>
            </w:pPr>
            <w:r>
              <w:rPr>
                <w:rFonts w:ascii="Arial" w:cs="Arial" w:eastAsia="Arial" w:hAnsi="Arial"/>
                <w:sz w:val="18"/>
                <w:szCs w:val="18"/>
                <w:color w:val="auto"/>
              </w:rPr>
              <w:t>25,451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25,451</w:t>
            </w:r>
          </w:p>
        </w:tc>
        <w:tc>
          <w:tcPr>
            <w:tcW w:w="1460" w:type="dxa"/>
            <w:vAlign w:val="bottom"/>
            <w:gridSpan w:val="3"/>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79,231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53,780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gridSpan w:val="2"/>
            <w:shd w:val="clear" w:color="auto" w:fill="CCEEFF"/>
          </w:tcPr>
          <w:p>
            <w:pPr>
              <w:ind w:left="112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There have been no transfers of assets or liabilities between the fair value measurement classifications. The Company’s financial instruments consist mainly of cash and cash equivalents, marketable securities, short-term accounts receivable, accounts payable and debt obligations. Marketable securities have been valued by a third party pricing service at each balance sheet date, using observable market inputs that may include trade information, broker or dealer quotes, bids, offers or a combination of these data sources. Short-term accounts receivable and accounts payable are reflected in the accompanying consolidated financial statements at cost, which approximates fair value due to the short-term nature of these instruments. Based on current market interest rates available to the Company for long-term liabilities with similar terms and maturities, the Company believes the fair value of the loan payable and note payable approximates its carrying value at September 30, 2010.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At September 30, 2010, the estimated fair value of the Company’s outstanding $12.5 million in CuraGen Debt was approximately $12.0 million based on quoted market prices.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marketable securities is shown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040" w:type="dxa"/>
            <w:vAlign w:val="bottom"/>
          </w:tcPr>
          <w:p>
            <w:pPr>
              <w:jc w:val="center"/>
              <w:ind w:left="277"/>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219"/>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September 30, 2010</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40" w:type="dxa"/>
            <w:vAlign w:val="bottom"/>
          </w:tcPr>
          <w:p>
            <w:pPr>
              <w:jc w:val="center"/>
              <w:ind w:left="257"/>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left="219"/>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tcPr>
          <w:p>
            <w:pPr>
              <w:jc w:val="center"/>
              <w:ind w:left="277"/>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219"/>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699"/>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U.S. government and municipal obligations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in one year or less</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17,387</w:t>
            </w: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540"/>
              <w:spacing w:after="0"/>
              <w:rPr>
                <w:sz w:val="20"/>
                <w:szCs w:val="20"/>
                <w:color w:val="auto"/>
              </w:rPr>
            </w:pPr>
            <w:r>
              <w:rPr>
                <w:rFonts w:ascii="Arial" w:cs="Arial" w:eastAsia="Arial" w:hAnsi="Arial"/>
                <w:sz w:val="18"/>
                <w:szCs w:val="18"/>
                <w:color w:val="auto"/>
              </w:rPr>
              <w:t>Maturing after one year through two years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13,464</w:t>
            </w:r>
          </w:p>
        </w:tc>
        <w:tc>
          <w:tcPr>
            <w:tcW w:w="104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13,585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U.S. government and municipal obligations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30,851</w:t>
            </w: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tcPr>
          <w:p>
            <w:pPr>
              <w:ind w:left="360"/>
              <w:spacing w:after="0" w:line="196" w:lineRule="exact"/>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in one year or less</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14,753</w:t>
            </w: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Maturing after one year through two years</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3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corporate debt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180"/>
              <w:spacing w:after="0"/>
              <w:rPr>
                <w:sz w:val="20"/>
                <w:szCs w:val="20"/>
                <w:color w:val="auto"/>
              </w:rPr>
            </w:pPr>
            <w:r>
              <w:rPr>
                <w:rFonts w:ascii="Arial" w:cs="Arial" w:eastAsia="Arial" w:hAnsi="Arial"/>
                <w:sz w:val="18"/>
                <w:szCs w:val="18"/>
                <w:color w:val="auto"/>
              </w:rPr>
              <w:t>Total marketable securities</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47,628</w:t>
            </w:r>
          </w:p>
        </w:tc>
        <w:tc>
          <w:tcPr>
            <w:tcW w:w="3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040" w:type="dxa"/>
            <w:vAlign w:val="bottom"/>
          </w:tcPr>
          <w:p>
            <w:pPr>
              <w:jc w:val="center"/>
              <w:ind w:left="277"/>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center"/>
              <w:ind w:left="219"/>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2009</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40" w:type="dxa"/>
            <w:vAlign w:val="bottom"/>
          </w:tcPr>
          <w:p>
            <w:pPr>
              <w:jc w:val="center"/>
              <w:ind w:left="257"/>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left="219"/>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tcPr>
          <w:p>
            <w:pPr>
              <w:jc w:val="center"/>
              <w:ind w:left="277"/>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219"/>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699"/>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U.S. government and municipal obligations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in one year or less</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0" w:type="dxa"/>
            <w:vAlign w:val="bottom"/>
            <w:gridSpan w:val="2"/>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540"/>
              <w:spacing w:after="0"/>
              <w:rPr>
                <w:sz w:val="20"/>
                <w:szCs w:val="20"/>
                <w:color w:val="auto"/>
              </w:rPr>
            </w:pPr>
            <w:r>
              <w:rPr>
                <w:rFonts w:ascii="Arial" w:cs="Arial" w:eastAsia="Arial" w:hAnsi="Arial"/>
                <w:sz w:val="18"/>
                <w:szCs w:val="18"/>
                <w:color w:val="auto"/>
              </w:rPr>
              <w:t>Maturing after one year through two years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7,129</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7,113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U.S. government and municipal obligations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16,827</w:t>
            </w: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tcPr>
          <w:p>
            <w:pPr>
              <w:ind w:left="360"/>
              <w:spacing w:after="0" w:line="196" w:lineRule="exact"/>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in one year or less</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540"/>
              <w:spacing w:after="0"/>
              <w:rPr>
                <w:sz w:val="20"/>
                <w:szCs w:val="20"/>
                <w:color w:val="auto"/>
              </w:rPr>
            </w:pPr>
            <w:r>
              <w:rPr>
                <w:rFonts w:ascii="Arial" w:cs="Arial" w:eastAsia="Arial" w:hAnsi="Arial"/>
                <w:sz w:val="18"/>
                <w:szCs w:val="18"/>
                <w:color w:val="auto"/>
              </w:rPr>
              <w:t>Maturing after one year through two years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8,672</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8,635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corporate debt securities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8,672</w:t>
            </w: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180"/>
              <w:spacing w:after="0"/>
              <w:rPr>
                <w:sz w:val="20"/>
                <w:szCs w:val="20"/>
                <w:color w:val="auto"/>
              </w:rPr>
            </w:pPr>
            <w:r>
              <w:rPr>
                <w:rFonts w:ascii="Arial" w:cs="Arial" w:eastAsia="Arial" w:hAnsi="Arial"/>
                <w:sz w:val="18"/>
                <w:szCs w:val="18"/>
                <w:color w:val="auto"/>
              </w:rPr>
              <w:t>Total marketable securities</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25,499</w:t>
            </w:r>
          </w:p>
        </w:tc>
        <w:tc>
          <w:tcPr>
            <w:tcW w:w="300" w:type="dxa"/>
            <w:vAlign w:val="bottom"/>
          </w:tcPr>
          <w:p>
            <w:pPr>
              <w:spacing w:after="0"/>
              <w:rPr>
                <w:sz w:val="19"/>
                <w:szCs w:val="19"/>
                <w:color w:val="auto"/>
              </w:rPr>
            </w:pPr>
          </w:p>
        </w:tc>
        <w:tc>
          <w:tcPr>
            <w:tcW w:w="1040" w:type="dxa"/>
            <w:vAlign w:val="bottom"/>
            <w:tcBorders>
              <w:bottom w:val="single" w:sz="8" w:color="auto"/>
            </w:tcBorders>
          </w:tcPr>
          <w:p>
            <w:pPr>
              <w:jc w:val="right"/>
              <w:ind w:right="857"/>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962" w:orient="portrait"/>
          <w:cols w:equalWidth="0" w:num="1">
            <w:col w:w="11420"/>
          </w:cols>
          <w:pgMar w:left="240" w:top="125" w:right="239" w:bottom="0" w:gutter="0" w:footer="0" w:header="0"/>
        </w:sectPr>
      </w:pPr>
    </w:p>
    <w:p>
      <w:pPr>
        <w:spacing w:after="0" w:line="2" w:lineRule="exact"/>
        <w:rPr>
          <w:sz w:val="20"/>
          <w:szCs w:val="20"/>
          <w:color w:val="auto"/>
        </w:rPr>
      </w:pPr>
    </w:p>
    <w:p>
      <w:pPr>
        <w:jc w:val="both"/>
        <w:ind w:right="200" w:firstLine="648"/>
        <w:spacing w:after="0" w:line="342" w:lineRule="auto"/>
        <w:rPr>
          <w:sz w:val="20"/>
          <w:szCs w:val="20"/>
          <w:color w:val="auto"/>
        </w:rPr>
      </w:pPr>
      <w:r>
        <w:rPr>
          <w:rFonts w:ascii="Arial" w:cs="Arial" w:eastAsia="Arial" w:hAnsi="Arial"/>
          <w:sz w:val="16"/>
          <w:szCs w:val="16"/>
          <w:color w:val="auto"/>
        </w:rPr>
        <w:t>As of September 30, 2010, unrealized losses in the portfolio were primarily due to increases in interest rates. The marketable securities held by the Company were high investment grade and the Company did not consider any investments to be other-than-temporarily impaired as of September 30, 2010.</w:t>
      </w:r>
    </w:p>
    <w:p>
      <w:pPr>
        <w:sectPr>
          <w:pgSz w:w="11900" w:h="16962" w:orient="portrait"/>
          <w:cols w:equalWidth="0" w:num="1">
            <w:col w:w="11420"/>
          </w:cols>
          <w:pgMar w:left="240" w:top="125" w:right="239" w:bottom="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At September 30, 2010, the Company had two stock-based compensation plans: the 2004 Employee Stock Purchase Plan (the “2004 ESPP Plan”) and the 2008 Stock Option and Incentive Plan (the “2008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At September 30, 2010, a total of 62,500 shares of common stock are reserved for issuance under the 2004 ESPP Plan. Under the 2004 ESPP Plan, each participating employee may purchase up to 250 shares of common stock per year, through payroll deductions, at a purchase price equal to 85% of the lower of the fair market value of the common stock at either the beginning of the offering period or the applicable exercise date. During the nine months ended September 30, 2010 and 2009, the Company issued 4,753 and 2,979 shares under the 2004 ESPP Plan, respectively. At September 30, 2010, 52,153 shares were available for issuance under the 2004 ESPP Plan.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and Incentive Plan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2008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in lieu of cash bonuses to employees, consultants and outside directors.</w:t>
      </w:r>
    </w:p>
    <w:p>
      <w:pPr>
        <w:spacing w:after="0" w:line="181"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At September 30, 2010, the 2008 Plan allowed for a maximum of 3,900,000 shares of common stock to be issued prior to October 19, 2017.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Vesting of all employee and non-employee director stock option awards is accelerated upon a change in control as defined in the 2008 Plan.</w:t>
      </w:r>
    </w:p>
    <w:p>
      <w:pPr>
        <w:spacing w:after="0" w:line="16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connection with the CuraGen Merger, the Company assumed the obligations of CuraGen under CuraGen’s 2007 Stock Plan (the “CuraGen 2007 Plan”) and each outstanding option to purchase CuraGen common stock (a “CuraGen Stock Option”) granted under the CuraGen 2007 Plan. Each CuraGen Stock Option assumed by the Company is deemed to constitute an option to acquire, on the same terms and conditions as were applicable under the CuraGen 2007 Plan, shares of the Company’s common stock that have been adjusted consistent with the ratio at which the Company’s common stock was issued in exchange for CuraGen’s common stock in the CuraGen Merger. As of October 1, 2009, the Company assumed options to acquire 931,315 shares of its common stock with a weighted average exercise price of $3.17. As of October 1, 2009, all of the CuraGen Stock Options were fully vested except for 8,993 shares which generally vest over a two year period. No additional awards will be issued under the CuraGen 2007 Plan. The fair value of the CuraGen Stock Options that were attributed to precombination service was included in the CuraGen Merger consideration.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nine months ended September 30, 2010 is as follows: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center"/>
              <w:ind w:left="266"/>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left="266"/>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left="266"/>
              <w:spacing w:after="0" w:line="149" w:lineRule="exact"/>
              <w:rPr>
                <w:sz w:val="20"/>
                <w:szCs w:val="20"/>
                <w:color w:val="auto"/>
              </w:rPr>
            </w:pPr>
            <w:r>
              <w:rPr>
                <w:rFonts w:ascii="Arial" w:cs="Arial" w:eastAsia="Arial" w:hAnsi="Arial"/>
                <w:sz w:val="14"/>
                <w:szCs w:val="14"/>
                <w:b w:val="1"/>
                <w:bCs w:val="1"/>
                <w:color w:val="auto"/>
                <w:w w:val="86"/>
              </w:rPr>
              <w:t>Exercise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66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1000" w:type="dxa"/>
            <w:vAlign w:val="bottom"/>
          </w:tcPr>
          <w:p>
            <w:pPr>
              <w:jc w:val="center"/>
              <w:ind w:left="266"/>
              <w:spacing w:after="0" w:line="149" w:lineRule="exact"/>
              <w:rPr>
                <w:sz w:val="20"/>
                <w:szCs w:val="20"/>
                <w:color w:val="auto"/>
              </w:rPr>
            </w:pPr>
            <w:r>
              <w:rPr>
                <w:rFonts w:ascii="Arial" w:cs="Arial" w:eastAsia="Arial" w:hAnsi="Arial"/>
                <w:sz w:val="14"/>
                <w:szCs w:val="14"/>
                <w:b w:val="1"/>
                <w:bCs w:val="1"/>
                <w:color w:val="auto"/>
                <w:w w:val="87"/>
              </w:rPr>
              <w:t>Price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000" w:type="dxa"/>
            <w:vAlign w:val="bottom"/>
          </w:tcPr>
          <w:p>
            <w:pPr>
              <w:jc w:val="center"/>
              <w:ind w:left="266"/>
              <w:spacing w:after="0"/>
              <w:rPr>
                <w:sz w:val="20"/>
                <w:szCs w:val="20"/>
                <w:color w:val="auto"/>
              </w:rPr>
            </w:pPr>
            <w:r>
              <w:rPr>
                <w:rFonts w:ascii="Arial" w:cs="Arial" w:eastAsia="Arial" w:hAnsi="Arial"/>
                <w:sz w:val="14"/>
                <w:szCs w:val="14"/>
                <w:b w:val="1"/>
                <w:bCs w:val="1"/>
                <w:color w:val="auto"/>
                <w:w w:val="94"/>
              </w:rPr>
              <w:t>Per Share</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2009</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3,576,159</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7.10</w:t>
            </w:r>
          </w:p>
        </w:tc>
        <w:tc>
          <w:tcPr>
            <w:tcW w:w="2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810,250</w:t>
            </w:r>
          </w:p>
        </w:tc>
        <w:tc>
          <w:tcPr>
            <w:tcW w:w="1000" w:type="dxa"/>
            <w:vAlign w:val="bottom"/>
          </w:tcPr>
          <w:p>
            <w:pPr>
              <w:jc w:val="right"/>
              <w:ind w:right="84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4.54</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(348,124)</w:t>
            </w:r>
          </w:p>
        </w:tc>
        <w:tc>
          <w:tcPr>
            <w:tcW w:w="1000" w:type="dxa"/>
            <w:vAlign w:val="bottom"/>
            <w:shd w:val="clear" w:color="auto" w:fill="CCEEFF"/>
          </w:tcPr>
          <w:p>
            <w:pPr>
              <w:jc w:val="right"/>
              <w:ind w:right="84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2.82</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Canceled</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(11,907)</w:t>
            </w:r>
          </w:p>
        </w:tc>
        <w:tc>
          <w:tcPr>
            <w:tcW w:w="1000" w:type="dxa"/>
            <w:vAlign w:val="bottom"/>
          </w:tcPr>
          <w:p>
            <w:pPr>
              <w:jc w:val="right"/>
              <w:ind w:right="84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4.56</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2010</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4,026,378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jc w:val="right"/>
              <w:ind w:right="84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6.97</w:t>
            </w:r>
          </w:p>
        </w:tc>
        <w:tc>
          <w:tcPr>
            <w:tcW w:w="16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September 30, 2010</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0" w:type="dxa"/>
            <w:vAlign w:val="bottom"/>
            <w:vMerge w:val="restart"/>
          </w:tcPr>
          <w:p>
            <w:pPr>
              <w:jc w:val="right"/>
              <w:ind w:right="846"/>
              <w:spacing w:after="0"/>
              <w:rPr>
                <w:sz w:val="20"/>
                <w:szCs w:val="20"/>
                <w:color w:val="auto"/>
              </w:rPr>
            </w:pPr>
            <w:r>
              <w:rPr>
                <w:rFonts w:ascii="Arial" w:cs="Arial" w:eastAsia="Arial" w:hAnsi="Arial"/>
                <w:sz w:val="15"/>
                <w:szCs w:val="15"/>
                <w:color w:val="auto"/>
                <w:w w:val="71"/>
              </w:rPr>
              <w:t>$</w:t>
            </w: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91"/>
              </w:rPr>
              <w:t>6.98</w:t>
            </w: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3,975,142</w:t>
            </w:r>
          </w:p>
        </w:tc>
        <w:tc>
          <w:tcPr>
            <w:tcW w:w="2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September 30, 2010</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2,554,626</w:t>
            </w:r>
          </w:p>
        </w:tc>
        <w:tc>
          <w:tcPr>
            <w:tcW w:w="1000" w:type="dxa"/>
            <w:vAlign w:val="bottom"/>
            <w:shd w:val="clear" w:color="auto" w:fill="CCEEFF"/>
          </w:tcPr>
          <w:p>
            <w:pPr>
              <w:jc w:val="right"/>
              <w:ind w:right="84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7.43</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1,676,089</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total intrinsic value of stock options exercised during the nine months ended September 30, 2010 and 2009 was $1.0 million and $0.1 million, respectively. The weighted average grant-date fair value of stock options granted during the nine months ended September 30, 2010 and 2009 was $2.82 and $5.33, respectively. The total fair value of stock options that vested during the nine months ended September 30, 2010 and 2009 was $2.2 million and $2.3 million, respectively.</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aggregate intrinsic value of stock options outstanding at September 30, 2010 was $0.5 million. The aggregate intrinsic value of stock options vested and expected to vest at September 30, 2010 was $0.5 million. As of September 30, 2010, total compensation cost related to non-vested employee and non-employee director stock options not yet recognized was approximately $4.5 million, net of estimated forfeitures, which is expected to be recognized as expense over a weighted average period of 2.7 years.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activity under the 2008 Plan for the nine months ended September 30, 2010 is as follows:</w:t>
      </w:r>
    </w:p>
    <w:p>
      <w:pPr>
        <w:spacing w:after="0" w:line="217" w:lineRule="exact"/>
        <w:rPr>
          <w:sz w:val="20"/>
          <w:szCs w:val="20"/>
          <w:color w:val="auto"/>
        </w:rPr>
      </w:pPr>
    </w:p>
    <w:p>
      <w:pPr>
        <w:ind w:left="8480"/>
        <w:spacing w:after="0"/>
        <w:tabs>
          <w:tab w:leader="none" w:pos="1002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Weighted</w:t>
      </w:r>
    </w:p>
    <w:p>
      <w:pPr>
        <w:sectPr>
          <w:pgSz w:w="11900" w:h="16838" w:orient="portrait"/>
          <w:cols w:equalWidth="0" w:num="1">
            <w:col w:w="11400"/>
          </w:cols>
          <w:pgMar w:left="240" w:top="337" w:right="259" w:bottom="0" w:gutter="0" w:footer="0" w:header="0"/>
        </w:sectPr>
      </w:pPr>
    </w:p>
    <w:bookmarkStart w:id="7" w:name="page8"/>
    <w:bookmarkEnd w:id="7"/>
    <w:tbl>
      <w:tblPr>
        <w:tblLayout w:type="fixed"/>
        <w:tblInd w:w="34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Average</w:t>
            </w:r>
          </w:p>
        </w:tc>
      </w:tr>
      <w:tr>
        <w:trPr>
          <w:trHeight w:val="149"/>
        </w:trPr>
        <w:tc>
          <w:tcPr>
            <w:tcW w:w="7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Grant Date</w:t>
            </w:r>
          </w:p>
        </w:tc>
      </w:tr>
      <w:tr>
        <w:trPr>
          <w:trHeight w:val="149"/>
        </w:trPr>
        <w:tc>
          <w:tcPr>
            <w:tcW w:w="7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Fair Value</w:t>
            </w:r>
          </w:p>
        </w:tc>
      </w:tr>
      <w:tr>
        <w:trPr>
          <w:trHeight w:val="171"/>
        </w:trPr>
        <w:tc>
          <w:tcPr>
            <w:tcW w:w="7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(per share)</w:t>
            </w:r>
          </w:p>
        </w:tc>
      </w:tr>
      <w:tr>
        <w:trPr>
          <w:trHeight w:val="210"/>
        </w:trPr>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unvested at December 31, 2009</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14,000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Canceled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unvested at September 30, 2010</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Expenses Information</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Stock-based compensation expense related to employee and non-employee stock options, restricted stock and employee stock purchases for the three and nine months ended September 30, 2010 and 2009 was recorded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20" w:type="dxa"/>
            <w:vAlign w:val="bottom"/>
            <w:gridSpan w:val="4"/>
          </w:tcPr>
          <w:p>
            <w:pPr>
              <w:jc w:val="right"/>
              <w:ind w:right="26"/>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0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97"/>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3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gridSpan w:val="4"/>
          </w:tcPr>
          <w:p>
            <w:pPr>
              <w:jc w:val="right"/>
              <w:ind w:right="85"/>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40" w:type="dxa"/>
            <w:vAlign w:val="bottom"/>
            <w:gridSpan w:val="2"/>
            <w:shd w:val="clear" w:color="auto" w:fill="CCEEFF"/>
          </w:tcPr>
          <w:p>
            <w:pPr>
              <w:jc w:val="right"/>
              <w:ind w:right="88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359</w:t>
            </w:r>
          </w:p>
        </w:tc>
        <w:tc>
          <w:tcPr>
            <w:tcW w:w="1040" w:type="dxa"/>
            <w:vAlign w:val="bottom"/>
            <w:shd w:val="clear" w:color="auto" w:fill="CCEEFF"/>
          </w:tcPr>
          <w:p>
            <w:pPr>
              <w:jc w:val="right"/>
              <w:ind w:right="886"/>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58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1,267</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224</w:t>
            </w:r>
          </w:p>
        </w:tc>
        <w:tc>
          <w:tcPr>
            <w:tcW w:w="10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371</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930</w:t>
            </w: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1,414</w:t>
            </w:r>
          </w:p>
        </w:tc>
      </w:tr>
      <w:tr>
        <w:trPr>
          <w:trHeight w:val="210"/>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8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8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values of employee and non-employee director stock options and employee stock purchases granted during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2010 and 2009 were valued using the Black-Scholes option-pricing model with the following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33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Three months ended September 30,</w:t>
            </w:r>
          </w:p>
        </w:tc>
        <w:tc>
          <w:tcPr>
            <w:tcW w:w="32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8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CCEEFF"/>
            </w:tcBorders>
          </w:tcPr>
          <w:p>
            <w:pPr>
              <w:spacing w:after="0"/>
              <w:rPr>
                <w:sz w:val="12"/>
                <w:szCs w:val="12"/>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 (options)</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65 - 67%</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Expected stock price volatility (2004 ESPP)</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51 - 70%</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 (options)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 years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 years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 years</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 years</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Expected option term (2004 ESPP)</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0.5 years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0.5 years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0.5 years</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0.5 years</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(options)</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 — 3.2%</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 — 3.4%</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Risk-free interest rate (2004 ESPP)</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None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None</w:t>
            </w:r>
          </w:p>
        </w:tc>
      </w:tr>
    </w:tbl>
    <w:p>
      <w:pPr>
        <w:spacing w:after="0" w:line="202"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Prior to January 1, 2010, the Company used the simplified method of estimating the expected term for share-based compensation. Starting January 1, 2010, the Company ceased using the simplified method, and now uses the average of expected terms for industry peers. Due to the AVANT Merger and the CuraGen Merger, historical exercise patterns do not provide a reasonable basis to estimate expected term of current option grants. Industry peers consist of several public companies that are similar in size in the biopharmaceutical industry. The Company uses its historical stock price volatility consistent with the expected term of grant as the basis for its expected volatility assumption. The risk-free interest rate is based upon the yield of U.S. Treasury securities consistent with the expected term of the option. The dividend yield assumption is based on the Company’s history of zero dividend payouts and expectation that no dividends will be paid in the foreseeable future.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and 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1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Estimated</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3"/>
              </w:rPr>
              <w:t>September 30, 2010</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3"/>
              </w:rPr>
              <w:t>December 31, 2009</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32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0"/>
                <w:szCs w:val="10"/>
                <w:color w:val="auto"/>
              </w:rPr>
            </w:pPr>
          </w:p>
        </w:tc>
        <w:tc>
          <w:tcPr>
            <w:tcW w:w="132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7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1140" w:type="dxa"/>
            <w:vAlign w:val="bottom"/>
          </w:tcPr>
          <w:p>
            <w:pPr>
              <w:ind w:left="460"/>
              <w:spacing w:after="0"/>
              <w:rPr>
                <w:sz w:val="20"/>
                <w:szCs w:val="20"/>
                <w:color w:val="auto"/>
              </w:rPr>
            </w:pPr>
            <w:r>
              <w:rPr>
                <w:rFonts w:ascii="Arial" w:cs="Arial" w:eastAsia="Arial" w:hAnsi="Arial"/>
                <w:sz w:val="14"/>
                <w:szCs w:val="14"/>
                <w:b w:val="1"/>
                <w:bCs w:val="1"/>
                <w:color w:val="auto"/>
              </w:rPr>
              <w:t>Life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IPR&amp;D</w:t>
            </w:r>
          </w:p>
        </w:tc>
        <w:tc>
          <w:tcPr>
            <w:tcW w:w="1140" w:type="dxa"/>
            <w:vAlign w:val="bottom"/>
          </w:tcPr>
          <w:p>
            <w:pPr>
              <w:spacing w:after="0"/>
              <w:rPr>
                <w:sz w:val="20"/>
                <w:szCs w:val="20"/>
                <w:color w:val="auto"/>
              </w:rPr>
            </w:pPr>
            <w:r>
              <w:rPr>
                <w:rFonts w:ascii="Arial" w:cs="Arial" w:eastAsia="Arial" w:hAnsi="Arial"/>
                <w:sz w:val="18"/>
                <w:szCs w:val="18"/>
                <w:color w:val="auto"/>
              </w:rPr>
              <w:t>Indefinite</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11,800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11,800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11,800</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Amgen Amendment</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16 years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13,603</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TopoTarget Agreement</w:t>
            </w:r>
          </w:p>
        </w:tc>
        <w:tc>
          <w:tcPr>
            <w:tcW w:w="1140" w:type="dxa"/>
            <w:vAlign w:val="bottom"/>
          </w:tcPr>
          <w:p>
            <w:pPr>
              <w:spacing w:after="0"/>
              <w:rPr>
                <w:sz w:val="20"/>
                <w:szCs w:val="20"/>
                <w:color w:val="auto"/>
              </w:rPr>
            </w:pPr>
            <w:r>
              <w:rPr>
                <w:rFonts w:ascii="Arial" w:cs="Arial" w:eastAsia="Arial" w:hAnsi="Arial"/>
                <w:sz w:val="18"/>
                <w:szCs w:val="18"/>
                <w:color w:val="auto"/>
              </w:rPr>
              <w:t>1.75 years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515</w:t>
            </w:r>
          </w:p>
        </w:tc>
        <w:tc>
          <w:tcPr>
            <w:tcW w:w="3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Core Technology</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4.5-11 years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2,193</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(832)</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Strategic Partner Agreement</w:t>
            </w:r>
          </w:p>
        </w:tc>
        <w:tc>
          <w:tcPr>
            <w:tcW w:w="1140" w:type="dxa"/>
            <w:vAlign w:val="bottom"/>
          </w:tcPr>
          <w:p>
            <w:pPr>
              <w:spacing w:after="0"/>
              <w:rPr>
                <w:sz w:val="20"/>
                <w:szCs w:val="20"/>
                <w:color w:val="auto"/>
              </w:rPr>
            </w:pPr>
            <w:r>
              <w:rPr>
                <w:rFonts w:ascii="Arial" w:cs="Arial" w:eastAsia="Arial" w:hAnsi="Arial"/>
                <w:sz w:val="18"/>
                <w:szCs w:val="18"/>
                <w:color w:val="auto"/>
              </w:rPr>
              <w:t>8 years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426</w:t>
            </w:r>
          </w:p>
        </w:tc>
        <w:tc>
          <w:tcPr>
            <w:tcW w:w="3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630</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1140" w:type="dxa"/>
            <w:vAlign w:val="bottom"/>
            <w:vMerge w:val="restart"/>
          </w:tcPr>
          <w:p>
            <w:pPr>
              <w:spacing w:after="0"/>
              <w:rPr>
                <w:sz w:val="20"/>
                <w:szCs w:val="20"/>
                <w:color w:val="auto"/>
              </w:rPr>
            </w:pPr>
            <w:r>
              <w:rPr>
                <w:rFonts w:ascii="Arial" w:cs="Arial" w:eastAsia="Arial" w:hAnsi="Arial"/>
                <w:sz w:val="18"/>
                <w:szCs w:val="18"/>
                <w:color w:val="auto"/>
              </w:rPr>
              <w:t>Indefinite</w:t>
            </w:r>
          </w:p>
        </w:tc>
        <w:tc>
          <w:tcPr>
            <w:tcW w:w="2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2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January 2009, the Company entered into a purchase agreement (the “LAHI Agreement”) with Lohmann Animal Health International (“LAHI”) to sell its poultry vaccines assets to LAHI. Under the LAHI Agreement, LAHI paid an upfront fee of $0.8 million and agreed to pay potential milestone payments. The Company recorded a gain of $0.6 million during the three months ended March 31, 2009 related to the LAHI Agreement based on the upfront fee less the net book value of the related asset.</w:t>
      </w:r>
    </w:p>
    <w:p>
      <w:pPr>
        <w:spacing w:after="0" w:line="187"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The estimated fair value attributed to the April 2008 agreement (“TopoTarget Agreement”) between the Company (as a successor to CuraGen) and TopoTarget A/S (“TopoTarget”) relates to the Company’s rights under the TopoTarget Agreement to receive up to $6 million in either potential commercial milestone payments related to future net sales of Belinostat or 10% of any sublicense income received by TopoTarget (“TopoTarget Payments”). In February 2010, TopoTarget entered into a co-development and commercialization agreement for Belinostat with Spectrum Pharmaceuticals, Inc. which resulted in the Company’s receipt of $3 million of the TopoTarget Payments. The Company recorded this cash receipt as Other Income for the nine months ended September 30, 2010 and recorded amortization expense related to the TopoTarget Agreement of $0.2 million and $1.5 million for the three and nine months ended September 30, 2010, respectively.</w:t>
      </w:r>
    </w:p>
    <w:p>
      <w:pPr>
        <w:sectPr>
          <w:pgSz w:w="11900" w:h="16838" w:orient="portrait"/>
          <w:cols w:equalWidth="0" w:num="1">
            <w:col w:w="11420"/>
          </w:cols>
          <w:pgMar w:left="240" w:top="104" w:right="239" w:bottom="0" w:gutter="0" w:footer="0" w:header="0"/>
        </w:sectPr>
      </w:pPr>
    </w:p>
    <w:bookmarkStart w:id="8" w:name="page9"/>
    <w:bookmarkEnd w:id="8"/>
    <w:p>
      <w:pPr>
        <w:spacing w:after="0" w:line="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nine months ended September 30, 2010, the Company wrote-off $0.2 million in Core Technology to amortization of intangible asset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Massachusetts, New Jersey and Connecticut are the three states in which the Company primarily operates or has operated and has income tax nexus. The Company is currently under examination for sales and use taxes by the State of Connecticut for CuraGen’s operations for the period from July 1, 2006 through June 30, 2009 and by the Internal Revenue Service with respect to 2008. The Company is not currently under examination by any other jurisdictions for any tax year.</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September 30, 2010 and December 31, 2009 against the Company’s net deferred tax assets.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Significant Revenue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significant revenue contracts and arrangements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plc (“Glaxo”) and Paul Royalty Fund II, L.P. (“PRF”)</w:t>
      </w:r>
    </w:p>
    <w:p>
      <w:pPr>
        <w:spacing w:after="0" w:line="225"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In 1997, the Company entered into an agreement with Glaxo to collaborate on the development and commercialization of the Company’s oral rotavirus strain and Glaxo assumed responsibility for all subsequent clinical trials and all other development activities. The Company licensed-in the rotavirus strain that was used to develop Glaxo’s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rotavirus vaccine in 1995 and owes a license fee of 30% to Cincinnati Children’s Hospital Medical Center (“CCH”) on net royalties received from Glaxo. The Company is obligated to maintain a license with CCH with respect to the Glaxo agreement. The term of the Glaxo agreement is through the expiration of the last of the relevant patents covered by the agreement, although Glaxo may terminate the agreement upon 90 days prior written notice.</w:t>
      </w:r>
    </w:p>
    <w:p>
      <w:pPr>
        <w:spacing w:after="0" w:line="202" w:lineRule="exact"/>
        <w:rPr>
          <w:sz w:val="20"/>
          <w:szCs w:val="20"/>
          <w:color w:val="auto"/>
        </w:rPr>
      </w:pPr>
    </w:p>
    <w:p>
      <w:pPr>
        <w:ind w:firstLine="648"/>
        <w:spacing w:after="0" w:line="228" w:lineRule="auto"/>
        <w:rPr>
          <w:sz w:val="20"/>
          <w:szCs w:val="20"/>
          <w:color w:val="auto"/>
        </w:rPr>
      </w:pPr>
      <w:r>
        <w:rPr>
          <w:rFonts w:ascii="Arial" w:cs="Arial" w:eastAsia="Arial" w:hAnsi="Arial"/>
          <w:sz w:val="18"/>
          <w:szCs w:val="18"/>
          <w:color w:val="auto"/>
        </w:rPr>
        <w:t>In May 2005, the Company entered into an agreement whereby an affiliate of PRF purchased an interest in the net royalties the Company will receive on worldwide sales of Rotarix</w:t>
      </w:r>
      <w:r>
        <w:rPr>
          <w:rFonts w:ascii="Arial" w:cs="Arial" w:eastAsia="Arial" w:hAnsi="Arial"/>
          <w:sz w:val="23"/>
          <w:szCs w:val="23"/>
          <w:color w:val="auto"/>
          <w:vertAlign w:val="superscript"/>
        </w:rPr>
        <w:t>®</w:t>
      </w:r>
      <w:r>
        <w:rPr>
          <w:rFonts w:ascii="Arial" w:cs="Arial" w:eastAsia="Arial" w:hAnsi="Arial"/>
          <w:sz w:val="18"/>
          <w:szCs w:val="18"/>
          <w:color w:val="auto"/>
        </w:rPr>
        <w:t>. The Company’s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PRF are recorded as product royalty revenue and a corresponding amount that is payable to CCH is recorded as royalty expense. Product royalty revenue and royalty expense related to the Company’s retained interest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was $1.0 million and $1.9 million for the three months ended September 30, 2010 and 2009 and $4.7 million and $5.1 million for the nine months ended September 30, 2010 and 2009, respectively.</w:t>
      </w:r>
    </w:p>
    <w:p>
      <w:pPr>
        <w:spacing w:after="0" w:line="204" w:lineRule="exact"/>
        <w:rPr>
          <w:sz w:val="20"/>
          <w:szCs w:val="20"/>
          <w:color w:val="auto"/>
        </w:rPr>
      </w:pPr>
    </w:p>
    <w:p>
      <w:pPr>
        <w:ind w:right="40" w:firstLine="648"/>
        <w:spacing w:after="0" w:line="245" w:lineRule="auto"/>
        <w:rPr>
          <w:sz w:val="20"/>
          <w:szCs w:val="20"/>
          <w:color w:val="auto"/>
        </w:rPr>
      </w:pPr>
      <w:r>
        <w:rPr>
          <w:rFonts w:ascii="Arial" w:cs="Arial" w:eastAsia="Arial" w:hAnsi="Arial"/>
          <w:sz w:val="16"/>
          <w:szCs w:val="16"/>
          <w:color w:val="auto"/>
        </w:rPr>
        <w:t>Royalty rates on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escalate from 7% to 10% based on net product sales in countries that have valid patent protection. These royalty rates are discounted by 30% for “non-patent” countries (primarily international markets). In September 2006, the Company received notice from Glaxo that Glaxo would begin paying royalties on sales of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at the lower of the two royalty rates under their 1997 license agreement. Glaxo’s decision to pay the lower royalty rate (which is 70% of the full rate) is based upon Glaxo’s assertion that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not covered by the patents Glaxo licensed from the Company in Australia and certain European countries. If Glaxo’s position stands, the royalties to which PRF is entitled will no longer be limited by a $27.5 million annual threshold, which the Company projected may have been reached in later years as sales of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increased. Irrespective of Glaxo’s position, the Company will still retain approximately 65% of the royalties on worldwide sales of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once PRF receives 2.45 times the aggregate cash payments of $60 million it made to the Company, though the potential amount of such residual royalties will be lower if Glaxo’s position stands. The Company has received</w:t>
      </w:r>
    </w:p>
    <w:p>
      <w:pPr>
        <w:spacing w:after="0" w:line="6" w:lineRule="exact"/>
        <w:rPr>
          <w:sz w:val="20"/>
          <w:szCs w:val="20"/>
          <w:color w:val="auto"/>
        </w:rPr>
      </w:pPr>
    </w:p>
    <w:p>
      <w:pPr>
        <w:ind w:right="340"/>
        <w:spacing w:after="0" w:line="255" w:lineRule="auto"/>
        <w:rPr>
          <w:sz w:val="20"/>
          <w:szCs w:val="20"/>
          <w:color w:val="auto"/>
        </w:rPr>
      </w:pPr>
      <w:r>
        <w:rPr>
          <w:rFonts w:ascii="Arial" w:cs="Arial" w:eastAsia="Arial" w:hAnsi="Arial"/>
          <w:sz w:val="17"/>
          <w:szCs w:val="17"/>
          <w:color w:val="auto"/>
        </w:rPr>
        <w:t>$60 million in total milestone payments under the PRF agreement. No additional milestone payments are due from PRF under the agreement. In late March 2010, the FDA temporarily suspended the use of Rotarix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the United States as a precautionary measure following the discovery of PCV-1 DNA material in the vaccine. In May 2010, the FDA determined that healthcare practitioners could resume the use of Rotarix</w:t>
      </w:r>
      <w:r>
        <w:rPr>
          <w:rFonts w:ascii="Arial" w:cs="Arial" w:eastAsia="Arial" w:hAnsi="Arial"/>
          <w:sz w:val="22"/>
          <w:szCs w:val="22"/>
          <w:color w:val="auto"/>
          <w:vertAlign w:val="superscript"/>
        </w:rPr>
        <w:t>®</w:t>
      </w:r>
      <w:r>
        <w:rPr>
          <w:rFonts w:ascii="Arial" w:cs="Arial" w:eastAsia="Arial" w:hAnsi="Arial"/>
          <w:sz w:val="17"/>
          <w:szCs w:val="17"/>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Pfizer Inc. (“Pfizer”)</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April 16, 2008, the Company and Pfizer entered into a License and Development Agreement (the “Pfizer Agreement”) under which Pfizer was granted an exclusive worldwide license to a therapeutic cancer vaccine candidate, Rindopepimut (CDX-110), in Phase 2 development for the treatment of glioblastoma multiforme. The Pfizer Agreement also gave Pfizer exclusive rights to the use of EGFRvIII vaccines in other potential indications. Under the Pfizer Agreement, Pfizer made an upfront payment to the Company of $40 million and made a $10 million equity investment in the Company. On May 27, 2008, the Company received $10 million from Pfizer in exchange for 781,250 shares of the Company’s common stock having a fair value of $10.9 million, or $13.91 per share, on that date. The $0.9 million over the amount received from Pfizer was recorded as a reduction to deferred revenue of the $40 million upfront payment received from Pfizer on June 18, 2008. The Pfizer Agreement also provided for reimbursement by Pfizer of all costs incurred by the Company in connection with the collaboration since the effective date.</w:t>
      </w:r>
    </w:p>
    <w:p>
      <w:pPr>
        <w:spacing w:after="0" w:line="17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had determined that its performance obligations under this collaboration should be accounted for as a single unit of accounting. The Company’s deliverables under this collaboration primarily included an exclusive license to its Rindopepimut product candidate and its EGFRvIII technologies, research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development services as required under the collaboration and participation in the joint clinical development committee. The Company had estimated that its performance period under the collaboration would be 9.5 years based on an assessment of the period over which the Company would have met its performance obligations under the collaboration. The $40 million up-front payment, less the $0.9 million in excess fair value for the Company’s common stock discussed above, and research and development reimbursements, were initially recorded as deferred revenue and recognized as revenue on a straight-line basis over this 9.5 year period using the Contingency Adjusted Performance Model (“CAPM”).</w:t>
      </w:r>
    </w:p>
    <w:p>
      <w:pPr>
        <w:sectPr>
          <w:pgSz w:w="11900" w:h="16927" w:orient="portrait"/>
          <w:cols w:equalWidth="0" w:num="1">
            <w:col w:w="11400"/>
          </w:cols>
          <w:pgMar w:left="240" w:top="125" w:right="259" w:bottom="0" w:gutter="0" w:footer="0" w:header="0"/>
        </w:sectPr>
      </w:pPr>
    </w:p>
    <w:bookmarkStart w:id="9" w:name="page10"/>
    <w:bookmarkEnd w:id="9"/>
    <w:p>
      <w:pPr>
        <w:ind w:right="180" w:firstLine="648"/>
        <w:spacing w:after="0" w:line="259" w:lineRule="auto"/>
        <w:rPr>
          <w:sz w:val="20"/>
          <w:szCs w:val="20"/>
          <w:color w:val="auto"/>
        </w:rPr>
      </w:pPr>
      <w:r>
        <w:rPr>
          <w:rFonts w:ascii="Arial" w:cs="Arial" w:eastAsia="Arial" w:hAnsi="Arial"/>
          <w:sz w:val="18"/>
          <w:szCs w:val="18"/>
          <w:color w:val="auto"/>
        </w:rPr>
        <w:t>On September 1, 2010, the Company received written notice (the “Pfizer Notice”) from Pfizer of termination with respect to the Pfizer Agreement. The Pfizer Notice was given under a provision of the Pfizer Agreement which permitted termination at any time and for any reason, upon 60-days’ written notice to the Company. The Pfizer Notice did not state a reason for termination. In November 2010, the Pfizer Agreement was terminated (the “Pfizer Termination”) and all rights to Rindopepimut were returned to the Company.</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At September 30, 2010, the Company had total deferred revenue of $36.0 million related to the Pfizer Agreement. At September 30, 2010, the Company was working with Pfizer on a transition plan and terms of the termination.</w:t>
      </w:r>
    </w:p>
    <w:p>
      <w:pPr>
        <w:spacing w:after="0" w:line="170" w:lineRule="exact"/>
        <w:rPr>
          <w:sz w:val="20"/>
          <w:szCs w:val="20"/>
          <w:color w:val="auto"/>
        </w:rPr>
      </w:pPr>
    </w:p>
    <w:p>
      <w:pPr>
        <w:jc w:val="both"/>
        <w:ind w:right="540" w:firstLine="648"/>
        <w:spacing w:after="0" w:line="286" w:lineRule="auto"/>
        <w:rPr>
          <w:sz w:val="20"/>
          <w:szCs w:val="20"/>
          <w:color w:val="auto"/>
        </w:rPr>
      </w:pPr>
      <w:r>
        <w:rPr>
          <w:rFonts w:ascii="Arial" w:cs="Arial" w:eastAsia="Arial" w:hAnsi="Arial"/>
          <w:sz w:val="17"/>
          <w:szCs w:val="17"/>
          <w:color w:val="auto"/>
        </w:rPr>
        <w:t>The Company incurred and invoiced Pfizer reimbursable costs related to the Pfizer collaboration of $0.2 million and $0.3 million for the three months ended September 30, 2010 and 2009, respectively, and $0.7 million and $3.0 million for the nine months ended September 30, 2010 and 2009, respectively. Effective with the Pfizer Termination, Pfizer is no longer funding the development of Rindopepimut.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product development and licensing agreements revenue under the Pfizer Agreement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3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Up-front portion</w:t>
            </w:r>
          </w:p>
        </w:tc>
        <w:tc>
          <w:tcPr>
            <w:tcW w:w="242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1,030</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1,030</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3,089</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Reimbursable costs portion</w:t>
            </w: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273</w:t>
            </w:r>
          </w:p>
        </w:tc>
        <w:tc>
          <w:tcPr>
            <w:tcW w:w="9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815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r>
      <w:tr>
        <w:trPr>
          <w:trHeight w:val="210"/>
        </w:trPr>
        <w:tc>
          <w:tcPr>
            <w:tcW w:w="348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1,303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connection with the Pfizer Agreement, the Company paid a total of $6.9 million in sublicense fees to Duke University and Thomas Jefferson University. The Company recorded these deferred sublicense fees to other assets in the consolidated balance sheets and was amortizing them to royalty expense over the 9.5-year performance period at a rate of $0.2 million per quarter. At September 30, 2010 and December 31, 2009, the unamortized balance of deferred costs was $5.1 million and $5.7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The Company is providing research and development support to Rockefeller on the development of their vaccine, DCVax-001, which the Company refers to as CDX-2401, aimed at providing protection from infection with HIV, the virus known to cause AIDS. This program is in a Bill &amp; Melinda Gates Foundation funded partnership called the Grand Challenges initiative. Preclinical studies and manufacturing development have been completed and clinical development initiated. Payments to the Company are made on a time and materials basis. The Company recorded grant revenue from Rockefeller of</w:t>
      </w:r>
    </w:p>
    <w:p>
      <w:pPr>
        <w:spacing w:after="0" w:line="2"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auto"/>
        </w:rPr>
        <w:t>$0.2 million and $0.9 million for the nine months ended September 30, 2010 and 2009, respectively, no grant revenue for the three months ended September 30, 2010 and $0.8 million in grant revenue for the three months ended September 30, 2009.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Long-Term Liabilities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long-term liabilities include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9"/>
              </w:rPr>
              <w:t>September 30, 2010</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0"/>
              </w:rPr>
              <w:t>December 31, 2009</w:t>
            </w:r>
          </w:p>
        </w:tc>
      </w:tr>
      <w:tr>
        <w:trPr>
          <w:trHeight w:val="142"/>
        </w:trPr>
        <w:tc>
          <w:tcPr>
            <w:tcW w:w="47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443</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CuraGen Merger Severance</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894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2,623</w:t>
            </w:r>
          </w:p>
        </w:tc>
        <w:tc>
          <w:tcPr>
            <w:tcW w:w="8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4,661</w:t>
            </w:r>
          </w:p>
        </w:tc>
        <w:tc>
          <w:tcPr>
            <w:tcW w:w="8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Loan Payable</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Note Payable</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8"/>
                <w:szCs w:val="18"/>
                <w:color w:val="auto"/>
              </w:rPr>
              <w:t>Total</w:t>
            </w:r>
          </w:p>
        </w:tc>
        <w:tc>
          <w:tcPr>
            <w:tcW w:w="26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(2,156)</w:t>
            </w: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Long-Term Portion</w:t>
            </w:r>
          </w:p>
        </w:tc>
        <w:tc>
          <w:tcPr>
            <w:tcW w:w="26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CuraGen Acquisition</w:t>
      </w:r>
    </w:p>
    <w:p>
      <w:pPr>
        <w:spacing w:after="0" w:line="22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In connection with the CuraGen Merger, effective October 1, 2009, the Company (i) issued 15,722,713 shares of common stock of the Company, or 0.2739 shares, in exchange for each share of outstanding CuraGen common stock, plus cash in lieu of fractional shares (the “CuraGen Exchange Ratio”),</w:t>
      </w:r>
    </w:p>
    <w:p>
      <w:pPr>
        <w:ind w:right="20" w:firstLine="8"/>
        <w:spacing w:after="0" w:line="255"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assumed all of the CuraGen Stock Options and (iii) assumed the CuraGen Debt. The Company acquired CuraGen to gain access to a pipeline of oncology-focused antibody-drug conjugates, including CDX-011 currently in Phase 2 clinical development for the treatment of breast cancer and melanoma, and cash, cash equivalents and marketable securities of $70.3 million.</w:t>
      </w:r>
    </w:p>
    <w:p>
      <w:pPr>
        <w:spacing w:after="0" w:line="190"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The transaction was accounted for under the acquisition method of accounting. All of the assets acquired and liabilities assumed in the transaction are recognized at their acquisition-date fair values, while transaction costs associated with the transaction are expensed as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 purchase price for CuraGen was based on the acquisition-date fair value of the consideration transferred, which was calculated based on the closing price of the Company’s common stock of $5.43 per share on October 1, 2009. The acquisition-date fair value of the consideration transferred consisted of the following (in thousands):</w:t>
      </w:r>
    </w:p>
    <w:p>
      <w:pPr>
        <w:spacing w:after="0" w:line="19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 issued</w:t>
            </w:r>
          </w:p>
        </w:tc>
        <w:tc>
          <w:tcPr>
            <w:tcW w:w="37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85,374</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Fair value of CuraGen Stock Options</w:t>
            </w:r>
          </w:p>
        </w:tc>
        <w:tc>
          <w:tcPr>
            <w:tcW w:w="3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2,868</w:t>
            </w:r>
          </w:p>
        </w:tc>
      </w:tr>
      <w:tr>
        <w:trPr>
          <w:trHeight w:val="210"/>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consideration transferred</w:t>
            </w:r>
          </w:p>
        </w:tc>
        <w:tc>
          <w:tcPr>
            <w:tcW w:w="32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sectPr>
      </w:pPr>
    </w:p>
    <w:bookmarkStart w:id="10" w:name="page11"/>
    <w:bookmarkEnd w:id="10"/>
    <w:p>
      <w:pPr>
        <w:ind w:right="80" w:firstLine="648"/>
        <w:spacing w:after="0" w:line="259" w:lineRule="auto"/>
        <w:rPr>
          <w:sz w:val="20"/>
          <w:szCs w:val="20"/>
          <w:color w:val="auto"/>
        </w:rPr>
      </w:pPr>
      <w:r>
        <w:rPr>
          <w:rFonts w:ascii="Arial" w:cs="Arial" w:eastAsia="Arial" w:hAnsi="Arial"/>
          <w:sz w:val="18"/>
          <w:szCs w:val="18"/>
          <w:color w:val="auto"/>
        </w:rPr>
        <w:t>U.S. GAAP requires that the fair value of replacement awards attributable to precombination service be included in the consideration transferred. Of the CuraGen Stock Options assumed, all but 1%, were immediately vested upon closing in accordance with the terms of the stock option agreements and employment agreements. The fair value of the CuraGen Stock Options that has been attributed to precombination service was included in the consideration transferred.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Allocations of Assets and Liabilities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allocated the consideration transferred for CuraGen to net tangible assets, intangible assets, goodwill and a severance obligation. The difference between the aggregate consideration transferred and the fair value of assets acquired and liabilities assumed was allocated to goodwill. This goodwill relates to the potential synergies from the CuraGen Merger and a deferred tax liability related to acquired IPR&amp;D intangible assets. None of the goodwill is expected to be deductible for income tax purposes. The following table summarizes the fair values of the assets acquired and liabilities assumed at the acquisition date (in thousands):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51,654</w:t>
            </w: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18,638</w:t>
            </w:r>
          </w:p>
        </w:tc>
        <w:tc>
          <w:tcPr>
            <w:tcW w:w="100" w:type="dxa"/>
            <w:vAlign w:val="bottom"/>
          </w:tcPr>
          <w:p>
            <w:pPr>
              <w:spacing w:after="0"/>
              <w:rPr>
                <w:sz w:val="18"/>
                <w:szCs w:val="18"/>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ind w:left="180"/>
              <w:spacing w:after="0"/>
              <w:rPr>
                <w:sz w:val="20"/>
                <w:szCs w:val="20"/>
                <w:color w:val="auto"/>
              </w:rPr>
            </w:pPr>
            <w:r>
              <w:rPr>
                <w:rFonts w:ascii="Arial" w:cs="Arial" w:eastAsia="Arial" w:hAnsi="Arial"/>
                <w:sz w:val="18"/>
                <w:szCs w:val="18"/>
                <w:color w:val="auto"/>
              </w:rPr>
              <w:t>IPR&amp;D</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Amgen Amendment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14,500</w:t>
            </w: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ind w:left="180"/>
              <w:spacing w:after="0"/>
              <w:rPr>
                <w:sz w:val="20"/>
                <w:szCs w:val="20"/>
                <w:color w:val="auto"/>
              </w:rPr>
            </w:pPr>
            <w:r>
              <w:rPr>
                <w:rFonts w:ascii="Arial" w:cs="Arial" w:eastAsia="Arial" w:hAnsi="Arial"/>
                <w:sz w:val="18"/>
                <w:szCs w:val="18"/>
                <w:color w:val="auto"/>
              </w:rPr>
              <w:t>TopoTarget Agreement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long-term assets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8,965</w:t>
            </w:r>
          </w:p>
        </w:tc>
        <w:tc>
          <w:tcPr>
            <w:tcW w:w="100" w:type="dxa"/>
            <w:vAlign w:val="bottom"/>
          </w:tcPr>
          <w:p>
            <w:pPr>
              <w:spacing w:after="0"/>
              <w:rPr>
                <w:sz w:val="18"/>
                <w:szCs w:val="18"/>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CuraGen Debt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(11,503)</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(5,190)</w:t>
            </w: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 assumed liabilities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(3,778)</w:t>
            </w:r>
          </w:p>
        </w:tc>
      </w:tr>
      <w:tr>
        <w:trPr>
          <w:trHeight w:val="210"/>
        </w:trPr>
        <w:tc>
          <w:tcPr>
            <w:tcW w:w="91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88,242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Stockholders’ Equity</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April 2010, the Company filed a shelf registration statement with the Securities and Exchange Commission to register for sale any combination of the types of securities described in the filing up to a dollar amount of $150 million. The shelf registration went effective on April 22, 2010. No securities have been sold by the Company from this shelf registration.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right="6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complete product research and further development, including animal, preclinical and clinical studies, and commercialization of Rindopepimut, CDX-011, CDX-1307, CDX-1401, CDX-1135, and other products and the growth of the markets for those product candidates;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sufficient additional capital on terms acceptable to us, or at all;</w:t>
      </w:r>
    </w:p>
    <w:p>
      <w:pPr>
        <w:spacing w:after="0" w:line="225" w:lineRule="exact"/>
        <w:rPr>
          <w:rFonts w:ascii="Arial" w:cs="Arial" w:eastAsia="Arial" w:hAnsi="Arial"/>
          <w:sz w:val="18"/>
          <w:szCs w:val="18"/>
          <w:color w:val="auto"/>
        </w:rPr>
      </w:pPr>
    </w:p>
    <w:p>
      <w:pPr>
        <w:ind w:left="980" w:right="32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timing, scope and results of ongoing safety and efficacy trials of Rindopepimut, CDX-011, CDX-1307, CDX-1401, CDX-1135, and other preclinical and clinical testing;</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complete the transition of the Rindopepimut program from Pfizer to us;</w:t>
      </w:r>
    </w:p>
    <w:p>
      <w:pPr>
        <w:spacing w:after="0" w:line="225" w:lineRule="exact"/>
        <w:rPr>
          <w:rFonts w:ascii="Arial" w:cs="Arial" w:eastAsia="Arial" w:hAnsi="Arial"/>
          <w:sz w:val="18"/>
          <w:szCs w:val="18"/>
          <w:color w:val="auto"/>
        </w:rPr>
      </w:pPr>
    </w:p>
    <w:p>
      <w:pPr>
        <w:ind w:left="980" w:right="160" w:hanging="324"/>
        <w:spacing w:after="0" w:line="342" w:lineRule="auto"/>
        <w:tabs>
          <w:tab w:leader="none" w:pos="944"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fund and complete the development and commercialization of Rindopepimut internally or to find another strategic partner to fund the development and commercialization of Rindopepimut following Pfizer’s termination of its license and development agreement with us;</w:t>
      </w:r>
    </w:p>
    <w:p>
      <w:pPr>
        <w:spacing w:after="0" w:line="123" w:lineRule="exact"/>
        <w:rPr>
          <w:rFonts w:ascii="Arial" w:cs="Arial" w:eastAsia="Arial" w:hAnsi="Arial"/>
          <w:sz w:val="16"/>
          <w:szCs w:val="16"/>
          <w:color w:val="auto"/>
        </w:rPr>
      </w:pPr>
    </w:p>
    <w:p>
      <w:pPr>
        <w:ind w:left="980" w:right="58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adapt our APC Targeting Technology™ to develop new, safe and effective vaccines against oncology and infectious disease indications;</w:t>
      </w:r>
    </w:p>
    <w:p>
      <w:pPr>
        <w:sectPr>
          <w:pgSz w:w="11900" w:h="16838" w:orient="portrait"/>
          <w:cols w:equalWidth="0" w:num="1">
            <w:col w:w="11420"/>
          </w:cols>
          <w:pgMar w:left="240" w:top="341" w:right="239" w:bottom="0" w:gutter="0" w:footer="0" w:header="0"/>
        </w:sectPr>
      </w:pPr>
    </w:p>
    <w:bookmarkStart w:id="11" w:name="page12"/>
    <w:bookmarkEnd w:id="11"/>
    <w:p>
      <w:pPr>
        <w:spacing w:after="0" w:line="74"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negotiate strategic partnerships or other disposition transactions for our non-core programs;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product candidates at different stages of development;</w:t>
      </w:r>
    </w:p>
    <w:p>
      <w:pPr>
        <w:spacing w:after="0" w:line="225" w:lineRule="exact"/>
        <w:rPr>
          <w:rFonts w:ascii="Arial" w:cs="Arial" w:eastAsia="Arial" w:hAnsi="Arial"/>
          <w:sz w:val="18"/>
          <w:szCs w:val="18"/>
          <w:color w:val="auto"/>
        </w:rPr>
      </w:pPr>
    </w:p>
    <w:p>
      <w:pPr>
        <w:ind w:left="980" w:right="360" w:hanging="324"/>
        <w:spacing w:after="0" w:line="216"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strategies and business plans of our partners, such as GlaxoSmithKline’s plans with respect to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Vaccine Technologies’ plans concerning the CholeraGarde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(Peru-15) and ETEC E. coli vaccines, which are not within our control, and our ability to maintain strong, mutually beneficial relationships with those partners;</w:t>
      </w:r>
    </w:p>
    <w:p>
      <w:pPr>
        <w:spacing w:after="0" w:line="201"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and expand our focus to broader markets for vaccines;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and partners;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cost and uncertainty of obtaining regulatory approvals for product candidates;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6" w:lineRule="exact"/>
        <w:rPr>
          <w:rFonts w:ascii="Arial" w:cs="Arial" w:eastAsia="Arial" w:hAnsi="Arial"/>
          <w:sz w:val="17"/>
          <w:szCs w:val="17"/>
          <w:color w:val="auto"/>
        </w:rPr>
      </w:pPr>
    </w:p>
    <w:p>
      <w:pPr>
        <w:ind w:left="980" w:right="4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validity of our patents and our ability to avoid intellectual property litigation, which can be costly and divert management time and attention; and</w:t>
      </w:r>
    </w:p>
    <w:p>
      <w:pPr>
        <w:spacing w:after="0" w:line="170" w:lineRule="exact"/>
        <w:rPr>
          <w:rFonts w:ascii="Arial" w:cs="Arial" w:eastAsia="Arial" w:hAnsi="Arial"/>
          <w:sz w:val="18"/>
          <w:szCs w:val="18"/>
          <w:color w:val="auto"/>
        </w:rPr>
      </w:pPr>
    </w:p>
    <w:p>
      <w:pPr>
        <w:ind w:left="980" w:hanging="324"/>
        <w:spacing w:after="0" w:line="312" w:lineRule="auto"/>
        <w:tabs>
          <w:tab w:leader="none" w:pos="9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factors listed under the headings “Business,” “Risk Factors” and “Management’s Discussion and Analysis of Financial Condition and Results of Operations” in the Company’s annual report on Form 10-K for the year ended December 31, 2009, in this Quarterly report on Form 10-Q for the quarter ended September 30, 2010 and other reports that Celldex files with the Securities and Exchange Commission (“SEC”)</w:t>
      </w:r>
      <w:r>
        <w:rPr>
          <w:rFonts w:ascii="Arial" w:cs="Arial" w:eastAsia="Arial" w:hAnsi="Arial"/>
          <w:sz w:val="16"/>
          <w:szCs w:val="16"/>
          <w:i w:val="1"/>
          <w:iCs w:val="1"/>
          <w:color w:val="auto"/>
        </w:rPr>
        <w:t>.</w:t>
      </w:r>
    </w:p>
    <w:p>
      <w:pPr>
        <w:spacing w:after="0" w:line="14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We are an integrated biopharmaceutical company that applies our comprehensive Precision Targeted Immunotherapy Platform to generate a pipeline of candidates to treat cancer and other difficult-to-treat diseases. Our immunotherapy platform includes a complementary portfolio of monoclonal antibodies, antibody-targeted vaccines, antibody-drug conjugates and immunomodulators to create novel disease-specific drug candidates.</w:t>
      </w:r>
    </w:p>
    <w:p>
      <w:pPr>
        <w:spacing w:after="0" w:line="14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strategy is to develop and demonstrate proof-of-concept for our product candidates before leveraging their value through partnerships or, in appropriate situations, continuing late stage development through commercialization ourselves. Demonstrating proof-of-concept for a product candidate generally involves bringing it through Phase 1 clinical trials and one or more Phase 2 clinical trials so that we are able to demonstrate, based on human trials, good safety data for the product candidate and some data indicating its effectiveness. We thus leverage the value of our technology portfolio through corporate, governmental and non-governmental partnerships. This approach allows us to maximize the overall value of our technology and product portfolio while best ensuring the expeditious development of each individual product.</w:t>
      </w:r>
    </w:p>
    <w:p>
      <w:pPr>
        <w:spacing w:after="0" w:line="17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current collaborations include the commercialization of an oral human rotavirus vaccine. Our product candidates address market opportunities for which we believe current therapies are inadequate or non-existent.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CuraGen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connection with the CuraGen Merger, effective October 1, 2009, we (i) issued 15,722,713 shares of our common stock, or 0.2739 shares, in exchange for each share of outstanding CuraGen common stock, plus cash in lieu of fractional shares (the “CuraGen Exchange Ratio”), (ii) assumed all of the CuraGen Stock Options and (iii) assumed the CuraGen Debt. We acquired CuraGen to gain access to a pipeline of oncology-focused antibody-drug conjugates, including CDX-011 currently in Phase 2 clinical development for the treatment of breast cancer and melanoma, and cash, cash equivalents and marketable securities of $70.3 million.</w:t>
      </w:r>
    </w:p>
    <w:p>
      <w:pPr>
        <w:spacing w:after="0" w:line="188"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transaction was accounted for under the acquisition method of accounting. All of the assets acquired and liabilities assumed in the transaction are recognized at their acquisition-date fair values, while transaction costs associated with the transaction are expensed as incurred.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PROGRAMS AND PARTNERSHIPS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products are derived from a broad set of complementary technologies which have the ability to utilize the human immune system and enable the creation of preventative and therapeutic agents. We are using these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technologies to develop targeted immunotherapeutics comprised of antibodies, adjuvants and monotherapies and antibody-drug conjugates that prevent or treat cancer and other diseases that modify undesirable activity by the body’s own proteins or cells. A number of our immunotherapeutic and antibody-drug conjugate product candidates are in various stages of clinical trials. We expect that a large percentage of our research and development expenses will be incurred in support of our current and future clinical trial programs.</w:t>
      </w:r>
    </w:p>
    <w:p>
      <w:pPr>
        <w:sectPr>
          <w:pgSz w:w="11900" w:h="16912" w:orient="portrait"/>
          <w:cols w:equalWidth="0" w:num="1">
            <w:col w:w="11400"/>
          </w:cols>
          <w:pgMar w:left="240" w:top="125" w:right="259" w:bottom="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The following table includes the programs that we currently believe are material to our business: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20"/>
                <w:szCs w:val="20"/>
                <w:color w:val="auto"/>
              </w:rPr>
            </w:pPr>
            <w:r>
              <w:rPr>
                <w:rFonts w:ascii="Arial" w:cs="Arial" w:eastAsia="Arial" w:hAnsi="Arial"/>
                <w:sz w:val="14"/>
                <w:szCs w:val="14"/>
                <w:b w:val="1"/>
                <w:bCs w:val="1"/>
                <w:color w:val="auto"/>
              </w:rPr>
              <w:t>Product</w:t>
            </w:r>
          </w:p>
        </w:tc>
        <w:tc>
          <w:tcPr>
            <w:tcW w:w="260" w:type="dxa"/>
            <w:vAlign w:val="bottom"/>
          </w:tcPr>
          <w:p>
            <w:pPr>
              <w:spacing w:after="0"/>
              <w:rPr>
                <w:sz w:val="14"/>
                <w:szCs w:val="14"/>
                <w:color w:val="auto"/>
              </w:rPr>
            </w:pPr>
          </w:p>
        </w:tc>
        <w:tc>
          <w:tcPr>
            <w:tcW w:w="4240" w:type="dxa"/>
            <w:vAlign w:val="bottom"/>
            <w:gridSpan w:val="2"/>
          </w:tcPr>
          <w:p>
            <w:pPr>
              <w:ind w:left="1500"/>
              <w:spacing w:after="0"/>
              <w:rPr>
                <w:sz w:val="20"/>
                <w:szCs w:val="20"/>
                <w:color w:val="auto"/>
              </w:rPr>
            </w:pPr>
            <w:r>
              <w:rPr>
                <w:rFonts w:ascii="Arial" w:cs="Arial" w:eastAsia="Arial" w:hAnsi="Arial"/>
                <w:sz w:val="14"/>
                <w:szCs w:val="14"/>
                <w:b w:val="1"/>
                <w:bCs w:val="1"/>
                <w:color w:val="auto"/>
              </w:rPr>
              <w:t>Indication/Field</w:t>
            </w:r>
          </w:p>
        </w:tc>
        <w:tc>
          <w:tcPr>
            <w:tcW w:w="1820" w:type="dxa"/>
            <w:vAlign w:val="bottom"/>
          </w:tcPr>
          <w:p>
            <w:pPr>
              <w:ind w:left="680"/>
              <w:spacing w:after="0"/>
              <w:rPr>
                <w:sz w:val="20"/>
                <w:szCs w:val="20"/>
                <w:color w:val="auto"/>
              </w:rPr>
            </w:pPr>
            <w:r>
              <w:rPr>
                <w:rFonts w:ascii="Arial" w:cs="Arial" w:eastAsia="Arial" w:hAnsi="Arial"/>
                <w:sz w:val="14"/>
                <w:szCs w:val="14"/>
                <w:b w:val="1"/>
                <w:bCs w:val="1"/>
                <w:color w:val="auto"/>
              </w:rPr>
              <w:t>Partner</w:t>
            </w:r>
          </w:p>
        </w:tc>
        <w:tc>
          <w:tcPr>
            <w:tcW w:w="260" w:type="dxa"/>
            <w:vAlign w:val="bottom"/>
          </w:tcPr>
          <w:p>
            <w:pPr>
              <w:spacing w:after="0"/>
              <w:rPr>
                <w:sz w:val="14"/>
                <w:szCs w:val="14"/>
                <w:color w:val="auto"/>
              </w:rPr>
            </w:pPr>
          </w:p>
        </w:tc>
        <w:tc>
          <w:tcPr>
            <w:tcW w:w="1260" w:type="dxa"/>
            <w:vAlign w:val="bottom"/>
          </w:tcPr>
          <w:p>
            <w:pPr>
              <w:ind w:left="440"/>
              <w:spacing w:after="0"/>
              <w:rPr>
                <w:sz w:val="20"/>
                <w:szCs w:val="20"/>
                <w:color w:val="auto"/>
              </w:rPr>
            </w:pPr>
            <w:r>
              <w:rPr>
                <w:rFonts w:ascii="Arial" w:cs="Arial" w:eastAsia="Arial" w:hAnsi="Arial"/>
                <w:sz w:val="14"/>
                <w:szCs w:val="14"/>
                <w:b w:val="1"/>
                <w:bCs w:val="1"/>
                <w:color w:val="auto"/>
              </w:rPr>
              <w:t>Status</w:t>
            </w:r>
          </w:p>
        </w:tc>
      </w:tr>
      <w:tr>
        <w:trPr>
          <w:trHeight w:val="210"/>
        </w:trPr>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26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Rindopepimut (CDX-110)</w:t>
            </w:r>
          </w:p>
        </w:tc>
        <w:tc>
          <w:tcPr>
            <w:tcW w:w="4500" w:type="dxa"/>
            <w:vAlign w:val="bottom"/>
            <w:gridSpan w:val="3"/>
          </w:tcPr>
          <w:p>
            <w:pPr>
              <w:ind w:left="260"/>
              <w:spacing w:after="0"/>
              <w:rPr>
                <w:sz w:val="20"/>
                <w:szCs w:val="20"/>
                <w:color w:val="auto"/>
              </w:rPr>
            </w:pPr>
            <w:r>
              <w:rPr>
                <w:rFonts w:ascii="Arial" w:cs="Arial" w:eastAsia="Arial" w:hAnsi="Arial"/>
                <w:sz w:val="18"/>
                <w:szCs w:val="18"/>
                <w:color w:val="auto"/>
              </w:rPr>
              <w:t>Glioblastoma multiforme</w:t>
            </w:r>
          </w:p>
        </w:tc>
        <w:tc>
          <w:tcPr>
            <w:tcW w:w="182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260"/>
              <w:spacing w:after="0"/>
              <w:rPr>
                <w:sz w:val="20"/>
                <w:szCs w:val="20"/>
                <w:color w:val="auto"/>
              </w:rPr>
            </w:pPr>
            <w:r>
              <w:rPr>
                <w:rFonts w:ascii="Arial" w:cs="Arial" w:eastAsia="Arial" w:hAnsi="Arial"/>
                <w:sz w:val="18"/>
                <w:szCs w:val="18"/>
                <w:color w:val="auto"/>
              </w:rPr>
              <w:t>Phase 2b</w:t>
            </w: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Glembatumumab Vedotin (CDX-011)</w:t>
            </w:r>
          </w:p>
        </w:tc>
        <w:tc>
          <w:tcPr>
            <w:tcW w:w="45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Metastatic melanoma and breast cancer</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Phase 2b</w:t>
            </w: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CDX-1307</w:t>
            </w:r>
          </w:p>
        </w:tc>
        <w:tc>
          <w:tcPr>
            <w:tcW w:w="4500" w:type="dxa"/>
            <w:vAlign w:val="bottom"/>
            <w:gridSpan w:val="3"/>
          </w:tcPr>
          <w:p>
            <w:pPr>
              <w:ind w:left="260"/>
              <w:spacing w:after="0"/>
              <w:rPr>
                <w:sz w:val="20"/>
                <w:szCs w:val="20"/>
                <w:color w:val="auto"/>
              </w:rPr>
            </w:pPr>
            <w:r>
              <w:rPr>
                <w:rFonts w:ascii="Arial" w:cs="Arial" w:eastAsia="Arial" w:hAnsi="Arial"/>
                <w:sz w:val="18"/>
                <w:szCs w:val="18"/>
                <w:color w:val="auto"/>
              </w:rPr>
              <w:t>Invasive bladder cancer</w:t>
            </w:r>
          </w:p>
        </w:tc>
        <w:tc>
          <w:tcPr>
            <w:tcW w:w="182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260"/>
              <w:spacing w:after="0"/>
              <w:rPr>
                <w:sz w:val="20"/>
                <w:szCs w:val="20"/>
                <w:color w:val="auto"/>
              </w:rPr>
            </w:pPr>
            <w:r>
              <w:rPr>
                <w:rFonts w:ascii="Arial" w:cs="Arial" w:eastAsia="Arial" w:hAnsi="Arial"/>
                <w:sz w:val="18"/>
                <w:szCs w:val="18"/>
                <w:color w:val="auto"/>
              </w:rPr>
              <w:t>Phase 2</w:t>
            </w: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CDX-1401</w:t>
            </w:r>
          </w:p>
        </w:tc>
        <w:tc>
          <w:tcPr>
            <w:tcW w:w="45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Multiple solid tumors</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Phase 1/2</w:t>
            </w: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CDX-1135</w:t>
            </w:r>
          </w:p>
        </w:tc>
        <w:tc>
          <w:tcPr>
            <w:tcW w:w="4500" w:type="dxa"/>
            <w:vAlign w:val="bottom"/>
            <w:gridSpan w:val="3"/>
          </w:tcPr>
          <w:p>
            <w:pPr>
              <w:ind w:left="260"/>
              <w:spacing w:after="0"/>
              <w:rPr>
                <w:sz w:val="20"/>
                <w:szCs w:val="20"/>
                <w:color w:val="auto"/>
              </w:rPr>
            </w:pPr>
            <w:r>
              <w:rPr>
                <w:rFonts w:ascii="Arial" w:cs="Arial" w:eastAsia="Arial" w:hAnsi="Arial"/>
                <w:sz w:val="18"/>
                <w:szCs w:val="18"/>
                <w:color w:val="auto"/>
              </w:rPr>
              <w:t>Renal disease</w:t>
            </w:r>
          </w:p>
        </w:tc>
        <w:tc>
          <w:tcPr>
            <w:tcW w:w="182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260"/>
              <w:spacing w:after="0"/>
              <w:rPr>
                <w:sz w:val="20"/>
                <w:szCs w:val="20"/>
                <w:color w:val="auto"/>
              </w:rPr>
            </w:pPr>
            <w:r>
              <w:rPr>
                <w:rFonts w:ascii="Arial" w:cs="Arial" w:eastAsia="Arial" w:hAnsi="Arial"/>
                <w:sz w:val="18"/>
                <w:szCs w:val="18"/>
                <w:color w:val="auto"/>
              </w:rPr>
              <w:t>Pilot Study</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2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CDX-301</w:t>
            </w:r>
          </w:p>
        </w:tc>
        <w:tc>
          <w:tcPr>
            <w:tcW w:w="4500" w:type="dxa"/>
            <w:vAlign w:val="bottom"/>
            <w:gridSpan w:val="3"/>
          </w:tcPr>
          <w:p>
            <w:pPr>
              <w:ind w:left="260"/>
              <w:spacing w:after="0"/>
              <w:rPr>
                <w:sz w:val="20"/>
                <w:szCs w:val="20"/>
                <w:color w:val="auto"/>
              </w:rPr>
            </w:pPr>
            <w:r>
              <w:rPr>
                <w:rFonts w:ascii="Arial" w:cs="Arial" w:eastAsia="Arial" w:hAnsi="Arial"/>
                <w:sz w:val="18"/>
                <w:szCs w:val="18"/>
                <w:color w:val="auto"/>
              </w:rPr>
              <w:t>Cancer, autoimmune disease and transplant</w:t>
            </w:r>
          </w:p>
        </w:tc>
        <w:tc>
          <w:tcPr>
            <w:tcW w:w="182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260"/>
              <w:spacing w:after="0"/>
              <w:rPr>
                <w:sz w:val="20"/>
                <w:szCs w:val="20"/>
                <w:color w:val="auto"/>
              </w:rPr>
            </w:pPr>
            <w:r>
              <w:rPr>
                <w:rFonts w:ascii="Arial" w:cs="Arial" w:eastAsia="Arial" w:hAnsi="Arial"/>
                <w:sz w:val="18"/>
                <w:szCs w:val="18"/>
                <w:color w:val="auto"/>
              </w:rPr>
              <w:t>Preclinical</w:t>
            </w: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CDX-1127</w:t>
            </w:r>
          </w:p>
        </w:tc>
        <w:tc>
          <w:tcPr>
            <w:tcW w:w="45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Immuno-modulation, multiple tumors</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Preclinical</w:t>
            </w: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CDX-014</w:t>
            </w:r>
          </w:p>
        </w:tc>
        <w:tc>
          <w:tcPr>
            <w:tcW w:w="4500" w:type="dxa"/>
            <w:vAlign w:val="bottom"/>
            <w:gridSpan w:val="3"/>
          </w:tcPr>
          <w:p>
            <w:pPr>
              <w:ind w:left="260"/>
              <w:spacing w:after="0"/>
              <w:rPr>
                <w:sz w:val="20"/>
                <w:szCs w:val="20"/>
                <w:color w:val="auto"/>
              </w:rPr>
            </w:pPr>
            <w:r>
              <w:rPr>
                <w:rFonts w:ascii="Arial" w:cs="Arial" w:eastAsia="Arial" w:hAnsi="Arial"/>
                <w:sz w:val="18"/>
                <w:szCs w:val="18"/>
                <w:color w:val="auto"/>
              </w:rPr>
              <w:t>Renal and ovarian cancer</w:t>
            </w:r>
          </w:p>
        </w:tc>
        <w:tc>
          <w:tcPr>
            <w:tcW w:w="182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260"/>
              <w:spacing w:after="0"/>
              <w:rPr>
                <w:sz w:val="20"/>
                <w:szCs w:val="20"/>
                <w:color w:val="auto"/>
              </w:rPr>
            </w:pPr>
            <w:r>
              <w:rPr>
                <w:rFonts w:ascii="Arial" w:cs="Arial" w:eastAsia="Arial" w:hAnsi="Arial"/>
                <w:sz w:val="18"/>
                <w:szCs w:val="18"/>
                <w:color w:val="auto"/>
              </w:rPr>
              <w:t>Preclinical</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MARKETED PRODUCTS</w:t>
            </w:r>
          </w:p>
        </w:tc>
        <w:tc>
          <w:tcPr>
            <w:tcW w:w="26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305"/>
        </w:trPr>
        <w:tc>
          <w:tcPr>
            <w:tcW w:w="3580" w:type="dxa"/>
            <w:vAlign w:val="bottom"/>
          </w:tcPr>
          <w:p>
            <w:pPr>
              <w:ind w:left="180"/>
              <w:spacing w:after="0"/>
              <w:rPr>
                <w:sz w:val="20"/>
                <w:szCs w:val="20"/>
                <w:color w:val="auto"/>
              </w:rPr>
            </w:pPr>
            <w:r>
              <w:rPr>
                <w:rFonts w:ascii="Arial" w:cs="Arial" w:eastAsia="Arial" w:hAnsi="Arial"/>
                <w:sz w:val="18"/>
                <w:szCs w:val="18"/>
                <w:color w:val="auto"/>
              </w:rPr>
              <w:t>Rotarix</w:t>
            </w:r>
            <w:r>
              <w:rPr>
                <w:rFonts w:ascii="Arial" w:cs="Arial" w:eastAsia="Arial" w:hAnsi="Arial"/>
                <w:sz w:val="23"/>
                <w:szCs w:val="23"/>
                <w:color w:val="auto"/>
                <w:vertAlign w:val="superscript"/>
              </w:rPr>
              <w:t>®</w:t>
            </w:r>
          </w:p>
        </w:tc>
        <w:tc>
          <w:tcPr>
            <w:tcW w:w="4500" w:type="dxa"/>
            <w:vAlign w:val="bottom"/>
            <w:gridSpan w:val="3"/>
          </w:tcPr>
          <w:p>
            <w:pPr>
              <w:ind w:left="260"/>
              <w:spacing w:after="0"/>
              <w:rPr>
                <w:sz w:val="20"/>
                <w:szCs w:val="20"/>
                <w:color w:val="auto"/>
              </w:rPr>
            </w:pPr>
            <w:r>
              <w:rPr>
                <w:rFonts w:ascii="Arial" w:cs="Arial" w:eastAsia="Arial" w:hAnsi="Arial"/>
                <w:sz w:val="18"/>
                <w:szCs w:val="18"/>
                <w:color w:val="auto"/>
              </w:rPr>
              <w:t>Rotavirus infection</w:t>
            </w:r>
          </w:p>
        </w:tc>
        <w:tc>
          <w:tcPr>
            <w:tcW w:w="1820" w:type="dxa"/>
            <w:vAlign w:val="bottom"/>
          </w:tcPr>
          <w:p>
            <w:pPr>
              <w:spacing w:after="0"/>
              <w:rPr>
                <w:sz w:val="20"/>
                <w:szCs w:val="20"/>
                <w:color w:val="auto"/>
              </w:rPr>
            </w:pPr>
            <w:r>
              <w:rPr>
                <w:rFonts w:ascii="Arial" w:cs="Arial" w:eastAsia="Arial" w:hAnsi="Arial"/>
                <w:sz w:val="18"/>
                <w:szCs w:val="18"/>
                <w:color w:val="auto"/>
              </w:rPr>
              <w:t>GlaxoSmithKline</w:t>
            </w:r>
          </w:p>
        </w:tc>
        <w:tc>
          <w:tcPr>
            <w:tcW w:w="1520" w:type="dxa"/>
            <w:vAlign w:val="bottom"/>
            <w:gridSpan w:val="2"/>
          </w:tcPr>
          <w:p>
            <w:pPr>
              <w:ind w:left="260"/>
              <w:spacing w:after="0"/>
              <w:rPr>
                <w:sz w:val="20"/>
                <w:szCs w:val="20"/>
                <w:color w:val="auto"/>
              </w:rPr>
            </w:pPr>
            <w:r>
              <w:rPr>
                <w:rFonts w:ascii="Arial" w:cs="Arial" w:eastAsia="Arial" w:hAnsi="Arial"/>
                <w:sz w:val="18"/>
                <w:szCs w:val="18"/>
                <w:color w:val="auto"/>
              </w:rPr>
              <w:t>Marketed</w:t>
            </w:r>
          </w:p>
        </w:tc>
      </w:tr>
    </w:tbl>
    <w:p>
      <w:pPr>
        <w:spacing w:after="0" w:line="11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product candidate. It is not unusual for the clinical development of these types of product candidates to each take five years or more, and for total development costs to exceed $100 million for each product candidate. Our estimates that clinical trials of the type we generally conduct are typically completed over the following timelines: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9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Completion</w:t>
            </w:r>
          </w:p>
        </w:tc>
        <w:tc>
          <w:tcPr>
            <w:tcW w:w="0" w:type="dxa"/>
            <w:vAlign w:val="bottom"/>
          </w:tcPr>
          <w:p>
            <w:pPr>
              <w:spacing w:after="0"/>
              <w:rPr>
                <w:sz w:val="1"/>
                <w:szCs w:val="1"/>
                <w:color w:val="auto"/>
              </w:rPr>
            </w:pPr>
          </w:p>
        </w:tc>
      </w:tr>
      <w:tr>
        <w:trPr>
          <w:trHeight w:val="171"/>
        </w:trPr>
        <w:tc>
          <w:tcPr>
            <w:tcW w:w="9060" w:type="dxa"/>
            <w:vAlign w:val="bottom"/>
            <w:gridSpan w:val="2"/>
            <w:vMerge w:val="continue"/>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0"/>
        </w:trPr>
        <w:tc>
          <w:tcPr>
            <w:tcW w:w="8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within our therapeutic categories and consistent with our technology and capabilities. This is intended to allow us to diversify the risks associated with our research and development expenditures. As a result, we believe our future capital requirements and our future financial success are not substantially dependent on any one product candidate. To the extent we are unable to maintain a broad range of product candidates, our dependence on the success of one or a few product candidates increases.</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Regulatory approval is required before we can market our product candidates as immunotherapeutics. In order to proceed to subsequent clinical trial stages and to ultimately achieve regulatory approval, the regulatory agency must conclude that our product candidate is safe and effective. Historically, the results from preclinical testing and early clinical trials (through Phase 2) have often not been predictive of results obtained in later clinical trials. A number of new drugs, biologics and immunotherapeutics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we are unable to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ectPr>
          <w:pgSz w:w="11900" w:h="16838" w:orient="portrait"/>
          <w:cols w:equalWidth="0" w:num="1">
            <w:col w:w="11420"/>
          </w:cols>
          <w:pgMar w:left="240" w:top="341" w:right="239" w:bottom="0" w:gutter="0" w:footer="0" w:header="0"/>
        </w:sectPr>
      </w:pPr>
    </w:p>
    <w:bookmarkStart w:id="13" w:name="page14"/>
    <w:bookmarkEnd w:id="13"/>
    <w:p>
      <w:pPr>
        <w:ind w:firstLine="648"/>
        <w:spacing w:after="0" w:line="276" w:lineRule="auto"/>
        <w:rPr>
          <w:sz w:val="20"/>
          <w:szCs w:val="20"/>
          <w:color w:val="auto"/>
        </w:rPr>
      </w:pPr>
      <w:r>
        <w:rPr>
          <w:rFonts w:ascii="Arial" w:cs="Arial" w:eastAsia="Arial" w:hAnsi="Arial"/>
          <w:sz w:val="17"/>
          <w:szCs w:val="17"/>
          <w:color w:val="auto"/>
        </w:rPr>
        <w:t>During the past five years through December 31, 2009, we incurred an aggregate of $73.5 million in research and development expenses. The following table indicates the amount incurred for each of our significant research programs and for other identified research and development activities during the nine months ended September 30, 2010 and 2009. The amounts disclosed in the following table reflect direct research and development costs, license fees associated with the underlying technology and an allocation of indirect research and development costs to each program. Prior to 2008, the privately-held Celldex Research did not maintain records that allowed for quantification of research and development expenses by project.</w:t>
      </w:r>
    </w:p>
    <w:p>
      <w:pPr>
        <w:spacing w:after="0" w:line="164"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312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75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gridSpan w:val="4"/>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Rindopepimut</w:t>
            </w:r>
          </w:p>
        </w:tc>
        <w:tc>
          <w:tcPr>
            <w:tcW w:w="840" w:type="dxa"/>
            <w:vAlign w:val="bottom"/>
          </w:tcPr>
          <w:p>
            <w:pPr>
              <w:jc w:val="right"/>
              <w:ind w:right="687"/>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968</w:t>
            </w: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2,942</w:t>
            </w: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CDX-011</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CDX-1307</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5,341</w:t>
            </w: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CDX-1401</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3,607</w:t>
            </w: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CDX-1135</w:t>
            </w:r>
          </w:p>
        </w:tc>
        <w:tc>
          <w:tcPr>
            <w:tcW w:w="8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651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371</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CDX-301</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503</w:t>
            </w: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CDX-1127</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w:t>
            </w: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CDX-014</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Other Programs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4,657</w:t>
            </w:r>
          </w:p>
        </w:tc>
      </w:tr>
      <w:tr>
        <w:trPr>
          <w:trHeight w:val="210"/>
        </w:trPr>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84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20,908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Rindopepimut (CDX-110)</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lead clinical development program, Rindopepimut, is a peptide-based immunotherapy that targets the tumor specific molecule called EGFRvIII, a functional variant of the naturally expressed epidermal growth factor receptor (“EGFR”), a protein which has been well validated as a target for cancer therapy. Unlike EGFR, EGFRvIII is not present in normal tissues, and has been shown to be a transforming oncogene that can directly contribute to cancer cell growth. EGFRvIII is commonly present in glioblastoma multiforme, or GBM, the most common and aggressive form of brain cancer, and has also been observed in various other cancers such as breast, ovarian, prostate, colorectal, and head &amp; neck cancer. The FDA has granted orphan drug designation for Rindopepimut for the treatment of EGFRvIII expressing GBM as well as fast track designation.</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April 2008, we and Pfizer Inc. (“Pfizer”) entered into a License and Development Agreement (the “Pfizer Agreement”) under which Pfizer was granted an exclusive worldwide license to Rindopepimut. The Pfizer Agreement also gave Pfizer exclusive rights to the use of EGFRvIII vaccines in other potential indications. The Pfizer Agreement also provided for reimbursement by Pfizer of all costs incurred by us in connection with the collaboration since the effective date.</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On September 1, 2010, we received written notice (the “Pfizer Notice”) from Pfizer of termination with respect to the Pfizer Agreement. The Pfizer Notice was given under a provision of the Pfizer Agreement which permitted termination at any time and for any reason, upon 60-days’ written notice to us. The Pfizer Notice did not state a reason for termination. In November 2010, the Pfizer Agreement was terminated (the “Pfizer Termination”) and all rights to Rindopepimut were returned to us. Effective with the Pfizer Termination, Pfizer is no longer funding the development of Rindopepimut.</w:t>
      </w:r>
    </w:p>
    <w:p>
      <w:pPr>
        <w:spacing w:after="0" w:line="154"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Initial clinical development of EGFRvIII immunotherapy was led by collaborating investigators at the Brain Center at Duke Comprehensive Cancer Center in Durham, North Carolina and at M.D. Anderson Cancer Center in Houston, Texas. The results from the Phase 1 (VICTORI) and Phase 2a (ACTIVATE) studies, which enrolled 14 and 18 evaluable patients, respectively, have demonstrated a significant increase in the time to disease progression (“TTP”) and overall survival (“OS”) rates. In ACTIVATE, improvements in TTP and OS were approximately 125% and 73%, respectively, relative to appropriately matched historical controls. An extension of the Phase 2a program (ACT II) at the same two institutions has evaluated 22 additional GBM patients treated in combination with maintenance temozolomide (the current standard of care). Preliminary results from ACT II estimate median OS to be 23.6 months, although the median has not yet been reached, while the survival of a matched historical control group was 15.0 months (p value = 0.0194). Overall TTP in the ACT II study was 15.2 months compared with 6.3 months for the historical control group (p value = 0.0237).</w:t>
      </w:r>
    </w:p>
    <w:p>
      <w:pPr>
        <w:spacing w:after="0" w:line="16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initiated a Phase 2b/3 randomized study (ACT III) of Rindopepimut combined with standard of care, temozolomide, versus standard of care alone in patients with GBM in over 30 sites throughout the United States. In December 2008, we announced an amendment to convert the ACT III study to a single-arm Phase 2 clinical trial in which all patients were to receive Rindopepimut in combination with temozolomide. The decision, which followed the recommendation of the Independent Data Monitoring Committee, was based on the observation that the majority of patients randomized to the control (standard of care) arm withdrew from this open-label study after being randomized to the control arm. Patients participating on the control arm of the study were offered the option to receive treatment with Rindopepimut. Under this amendment, the ACT III study provided for a multi-center, non-randomized dataset for Rindopepimut in patients with newly diagnosed GBM.</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June 2010, we announced interim data for the first 40 of the total 65 patients enrolled in the ACT III study. The interim data showed that 28 of 40 patients (70%) were progression-free at 5.5 months after entry into the study. Taking into account the 3 to 3.5 months required to complete pre-study chemoradiation and enter into the study, the 5.5 month time point in ACT III corresponds to approximately 8.5 months after diagnosis. The ACTIVATE and ACT II trials, which were conducted in just two leading centers, reported progression-free rates at 8.5 months after diagnosis of 70% and 80%, respectively, whereas similar results were seen in the ACT III trial, which enrolled patients in over 25 centers in the United States.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221"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expect to present final data on the 5.5 month Progression Free Survival (“PFS”) rate from all 65 patients enrolled in the ACT III study as well as an update on OS data from this study during the fourth quarter of 2010. Final OS data from the ACT II study will also be presented. These data will provide additional information that will allow us to better design the future clinical development of Rindopepimut. We are currently planning to initiate a Phase 3 randomized study of Rindopepimut in patients with GBM by the second half of 2011.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 (CDX-011)</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CDX-011 is an antibody-drug conjugate (ADC) that consists of a fully-human monoclonal antibody, CR011, linked to a potent cell-killing drug, monomethyl-auristatin E (MMAE). The CR011 antibody specifically targets glycoprotein NMB or (GPNMB) that is expressed in a variety of human cancers including breast cancer and melanoma. The ADC technology, comprised of MMAE and a stable linker system for attaching it to CR011, was licensed from Seattle Genetics, Inc. The ADC is designed to be stable in the bloodstream. Following intravenous administration, CDX-011 targets and binds to GPNMB and upon internalization into the targeted cell, CDX-011 is designed to release MMAE from CR011 to produce a cell-killing effect. We acquired the rights to CDX-011 in connection with the CuraGen Merger.</w:t>
      </w:r>
    </w:p>
    <w:p>
      <w:pPr>
        <w:spacing w:after="0" w:line="189" w:lineRule="exact"/>
        <w:rPr>
          <w:sz w:val="20"/>
          <w:szCs w:val="20"/>
          <w:color w:val="auto"/>
        </w:rPr>
      </w:pPr>
    </w:p>
    <w:p>
      <w:pPr>
        <w:jc w:val="both"/>
        <w:ind w:right="40" w:firstLine="648"/>
        <w:spacing w:after="0" w:line="314"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In June 2008, an open-label, multi-center Phase 1/2 study was initiated of CDX-011 administered intravenously once</w:t>
      </w:r>
      <w:r>
        <w:rPr>
          <w:rFonts w:ascii="Arial" w:cs="Arial" w:eastAsia="Arial" w:hAnsi="Arial"/>
          <w:sz w:val="16"/>
          <w:szCs w:val="16"/>
          <w:b w:val="1"/>
          <w:bCs w:val="1"/>
          <w:color w:val="auto"/>
        </w:rPr>
        <w:t xml:space="preserve"> </w:t>
      </w:r>
      <w:r>
        <w:rPr>
          <w:rFonts w:ascii="Arial" w:cs="Arial" w:eastAsia="Arial" w:hAnsi="Arial"/>
          <w:sz w:val="16"/>
          <w:szCs w:val="16"/>
          <w:color w:val="auto"/>
        </w:rPr>
        <w:t>every three weeks to patients with locally advanced or metastatic breast cancer who have received prior therapy (median of seven prior regimens). The study began with a bridging phase to confirm the maximum tolerated dose (“MTD”) and then expanded into a Phase 2 open-label, multi-center study.</w:t>
      </w:r>
    </w:p>
    <w:p>
      <w:pPr>
        <w:spacing w:after="0" w:line="14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study confirmed the safety of CDX-011 at the pre-defined maximum dose level (1.88 mg/kg) in 6 patients. An additional 28 patients were enrolled as an expanded Phase 2 cohort (for a total of 34 treated patients at 1.88 mg/kg, the Phase 2 dose) to evaluate the PFS rate at 12 weeks. As previously seen in melanoma patients,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For all patients treated at the maximum dose level, tumor shrinkage was seen in 62% (16/26) and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any tumor shrinkage, 12-week PFS rate was 70% (7/10), and median PFS was 17.9 weeks. Tumor samples from a subset of patients across all dose groups were analyzed for GPNMB expression. The tumor samples from most patients showed evidence of stromal and/or tumor cell expression of GPNMB. The most common treatment-related toxicities were fatigue, rash, nausea, alopecia (hair loss), neutropenia and vomiting.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May 2010, the FDA granted Fast Track designation to CDX-011 for the treatment of advanced, refractory/resistant GPNMB-expressing breast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cancer.</w:t>
      </w:r>
    </w:p>
    <w:p>
      <w:pPr>
        <w:spacing w:after="0" w:line="21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September 2010, we initiated a randomized Phase 2b controlled study in patients with heavily pre-treated, advanced breast cancer whose tumors are confirmed to express GPNMB via a validated, centralized diagnostic assay. We expect that a significant portion of the enrolled patients will have triple-negative disease, since GPNMB is frequently expressed in this patient population. Patients will be randomized (2:1) to receive either CDX-011 or single-agent “Investigator’s Choice” chemotherapy. Activity endpoints will include objective response rate (“ORR”), PFS and OS. We expect to enroll 120 patients at approximately 25 clinical sites in the United States. We expect to complete enrollment in this study by the fourth quarter of 2011.</w:t>
      </w:r>
    </w:p>
    <w:p>
      <w:pPr>
        <w:spacing w:after="0" w:line="169" w:lineRule="exact"/>
        <w:rPr>
          <w:sz w:val="20"/>
          <w:szCs w:val="20"/>
          <w:color w:val="auto"/>
        </w:rPr>
      </w:pPr>
    </w:p>
    <w:p>
      <w:pPr>
        <w:jc w:val="both"/>
        <w:ind w:right="100" w:firstLine="648"/>
        <w:spacing w:after="0" w:line="261" w:lineRule="auto"/>
        <w:rPr>
          <w:sz w:val="20"/>
          <w:szCs w:val="20"/>
          <w:color w:val="auto"/>
        </w:rPr>
      </w:pPr>
      <w:r>
        <w:rPr>
          <w:rFonts w:ascii="Arial" w:cs="Arial" w:eastAsia="Arial" w:hAnsi="Arial"/>
          <w:sz w:val="18"/>
          <w:szCs w:val="18"/>
          <w:b w:val="1"/>
          <w:bCs w:val="1"/>
          <w:color w:val="auto"/>
        </w:rPr>
        <w:t xml:space="preserve">Treatment of Metastatic Melanoma: </w:t>
      </w:r>
      <w:r>
        <w:rPr>
          <w:rFonts w:ascii="Arial" w:cs="Arial" w:eastAsia="Arial" w:hAnsi="Arial"/>
          <w:sz w:val="18"/>
          <w:szCs w:val="18"/>
          <w:color w:val="auto"/>
        </w:rPr>
        <w:t>In June 2006, a Phase 1/2 open-label, multi-center, dose escalation study was initiated to evaluate the safety,</w:t>
      </w:r>
      <w:r>
        <w:rPr>
          <w:rFonts w:ascii="Arial" w:cs="Arial" w:eastAsia="Arial" w:hAnsi="Arial"/>
          <w:sz w:val="18"/>
          <w:szCs w:val="18"/>
          <w:b w:val="1"/>
          <w:bCs w:val="1"/>
          <w:color w:val="auto"/>
        </w:rPr>
        <w:t xml:space="preserve"> </w:t>
      </w:r>
      <w:r>
        <w:rPr>
          <w:rFonts w:ascii="Arial" w:cs="Arial" w:eastAsia="Arial" w:hAnsi="Arial"/>
          <w:sz w:val="18"/>
          <w:szCs w:val="18"/>
          <w:color w:val="auto"/>
        </w:rPr>
        <w:t>tolerability and pharmacokinetics of CDX-011 for patients with un-resectable Stage III or Stage IV melanoma who have failed no more than one prior line of cytotoxic therapy. A total of 117 patients were enrolled in this trial. The trial initially evaluated doses of CDX-011 between 0.03 mg/kg to 2.63 mg/kg given once every three weeks. CDX-011 was generally well tolerated, with rash and neutropenia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emerging at higher doses. The MTD was determined to be 1.88 mg/kg administered intravenously (IV) once every three weeks.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study achieved its primary activity objective with an ORR in the Phase 2 cohort of 15% (5/34). Median PFS was 3.9 months. CDX-011 was found to be active in advanced melanoma patients in the study. The most frequent treatment-related adverse events included rash, fatigue, alopecia (hair loss), pruritus, diarrhea and neuropathy.</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More frequent dosing schedules of CDX-011 were also evaluated, including a weekly and a two out of every three-week regimen, to explore if more frequent administration can provide additional activity in patients with metastatic melanoma. Doses of 1.0 mg/kg given once every week and 1.5 mg/kg given for two out of three weeks were identified as the MTD in each schedule. The response rate was observed to be 20% and 33%, respectively. This increased activity was accompanied by increased toxicity.</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CDX-1307</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lead APC Targeting Technology™ product candidate, CDX-1307, is in development for the treatment of epithelial tumors such as colorectal, pancreatic, bladder, ovarian and breast cancers. CDX-1307 targets the beta chain of human chorionic gonadotropin, known as hCG-Beta, which is an antigen often found in epithelial tumors. The presence of hCG-Beta in these cancers correlates with a poor clinical outcome, suggesting that this molecule may contribute to tumor growth. Normal adult tissues have minimal expression of hCG-Beta; therefore, targeted immune responses are not expected to generate significant side effects.</w:t>
      </w:r>
    </w:p>
    <w:p>
      <w:pPr>
        <w:sectPr>
          <w:pgSz w:w="11900" w:h="16838" w:orient="portrait"/>
          <w:cols w:equalWidth="0" w:num="1">
            <w:col w:w="11420"/>
          </w:cols>
          <w:pgMar w:left="240" w:top="125" w:right="239" w:bottom="0" w:gutter="0" w:footer="0" w:header="0"/>
        </w:sectPr>
      </w:pPr>
    </w:p>
    <w:bookmarkStart w:id="15" w:name="page16"/>
    <w:bookmarkEnd w:id="15"/>
    <w:p>
      <w:pPr>
        <w:ind w:right="60" w:firstLine="648"/>
        <w:spacing w:after="0" w:line="257" w:lineRule="auto"/>
        <w:rPr>
          <w:sz w:val="20"/>
          <w:szCs w:val="20"/>
          <w:color w:val="auto"/>
        </w:rPr>
      </w:pPr>
      <w:r>
        <w:rPr>
          <w:rFonts w:ascii="Arial" w:cs="Arial" w:eastAsia="Arial" w:hAnsi="Arial"/>
          <w:sz w:val="18"/>
          <w:szCs w:val="18"/>
          <w:color w:val="auto"/>
        </w:rPr>
        <w:t>The Phase 1 studies are complete. The Phase 1 studies investigated the safety and immunogenicity of CDX-1307 alone and in combination with adjuvants, including GM-CSF (known to increase mannose receptor expression on dendritic cells) and Toll-Like Receptor (“TLR”) agonists (poly-ICLC or Hiltonol™ and R848 or resiquimod). Patients with an assortment of different tumor types that are known to express hCG-Beta were enrolled with retrospective analysis for hCG-Beta expression. A regimen of every two week dosing for four doses was utilized with the possibility of retreatment if patients demonstrate tumor regression or stable disease.</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Phase 1 studies enrolled over 80 patients with heavily pretreated, advanced-stage colorectal, breast, pancreatic, bladder/ureteral, ovarian and testicular cancer. All patient cohorts demonstrated a favorable safety profile with no dose limiting toxicity. The combination of CDX-1307 with TLR agonists significantly enhanced immune responses against hCG-Beta. Immune responses occurred even in the presence of high circulating levels of hCG-Beta, suggesting that the CDX-1307 can overcome antigen tolerance in advanced and heavily pretreated cancers. Nine patients in the studies experienced disease stabilization from 2.3 months to 16 months following the initiation of CDX-1307 vaccination. These data provide the basis for advancing CDX-1307 into a front-line patient population selected for hCG-Beta-expressing cancers.</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May 2010, we initiated a 60 patient randomized (1:1) Phase 2 controlled study to evaluate the CDX-1307 regimen in both neoadjuvant and adjuvant settings in patients with newly diagnosed muscle-invasive bladder cancers that express hCG-beta. Preliminary data from this study are expected in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CDX-1401, also developed from the APC Targeting Technology, is a fusion protein consisting of a fully human monoclonal antibody with specificity for the dendritic cell receptor, DEC-205, linked to the NY-ESO-1 tumor antigen. In humans, NY-ESO-1 is one of the most immunogenic tumor antigens and has been detected in 20 - 30% of cancers, thus representing a broad opportunity. This product is intended to selectively deliver the NY-ESO-1 antigen to APCs for generating robust immune responses against cancer cells expressing NY-ESO-1. Unlike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CDX-1307, which targets the mannose receptor expressing dendritic cells, CDX-1401 is the first APC product targeting DEC-205 expressing dendritic cells. We are developing CDX-1401 for the treatment of malignant melanoma and a variety of solid tumors which express the proprietary cancer antigen NY-ESO-1, which we licensed from the Ludwig Institute for Cancer Research in 2006. We believe that preclinical studies have shown that CDX-1401 is effective for activation of human T-cell responses against NY-ESO-1.</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September 2009, we initiated enrollment in a dose-escalating Phase 1/2 clinical trial aimed at determining the optimal dose for further development based on the safety, tolerability, and immunogenicity of the CDX-1401 vaccine. The trial will evaluate three different doses of the vaccine in combination with TLR agonists poly-ICLC or Hiltonol™ and/or R848 or resiquimod. We expect to enroll approximately 50 patients with solid tumor cancers at multiple clinical sites in the United States.</w:t>
      </w:r>
    </w:p>
    <w:p>
      <w:pPr>
        <w:spacing w:after="0" w:line="18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October 2010, we announced interim data for the first 20 patients enrolled in the study, 35% of whom had confirmed NY-ESO-1 expression. The interim data showed that six patients maintained stable disease and were eligible for multiple cycles of the treatment regimen, including 4 patients who have received 3 or more cycles (6 weeks of treatment followed by a 6 week rest), with stable disease of up to 11.5+ months. The treatment was well tolerated and there were no dose-limiting toxicities. Robust anti-NY-ESO-1 immunity was induced with the majority of the patients developing anti-NY-ESO-1 antibody responses and 39% of the patients having increases in NY-ESO-1 specific T cell responses, including both CD4 and CD8 responses. Importantly, the T cell responses were directed against multiple regions of the NY-ESO-1 antigen.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CDX-1135</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CDX-1135 is a molecule that inhibits a part of the immune system called the complement system. The complement 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inhibits the activation of the complement cascade in animal models and in human clinical trials. We believe that regulating the complement system could have therapeutic and prophylactic applications in several acute and chronic conditions, including organ transplantation, multiple sclerosis, rheumatoid arthritis, age-related macular degeneration (“AMD”), atypical Hemolytic Uremic Syndrome (“aHUS”), Paroxysmal Nocturnal Hemaglobinuria (“PNH”), Dense Deposit Disease (“DDD”) in kidneys, and myasthenia gravis. We are currently defining the most appropriate clinical development path for CDX-1135 and are focusing on rare disease conditions of unregulated complement activation as the fastest route to FDA approval.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CDX-301 is a FMS-like tyrosine kinase 3 ligand (Flt3L) that we licensed from Amgen in March 2009. CDX-301 is a growth factor for stem cells and immune cells called dendritic cells. Based on previous experience with this molecule, we believe that CDX-301 has considerable opportunity in various transplant settings as a stem cell mobilizing agent. In addition, CDX-301 is an immune modulating molecule that increases the numbers and activity of specific types of immune cells. We believe CDX-301 has significant opportunity for synergistic development in combination with proprietary molecules in our portfolio. We expect to file an Investigational New Drug (“IND”) application during the fourth quarter of 2010 and are engaged in discussions with collaborators to re-initiate the clinical development of CDX-301.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CDX-1127</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have entered into a License Agreement with the University of Southampton, UK, to develop human antibodies to CD27, a potentially important target for immunotherapy of various cancers. In preclinical models, antibodies to CD27 alone have been shown to mediate anti-tumor effects, and may be particularly effective in combination with other immunotherapy. CD27 is a critical molecule in the activation pathway of lymphocytes. It acts downstream from CD40 and may provide a novel way to regulate the immune responses. In September 2010, we exercised an option under our Research and Commercialization Agreement with Medarex, whereby we have a</w:t>
      </w:r>
    </w:p>
    <w:p>
      <w:pPr>
        <w:sectPr>
          <w:pgSz w:w="11900" w:h="16838" w:orient="portrait"/>
          <w:cols w:equalWidth="0" w:num="1">
            <w:col w:w="11420"/>
          </w:cols>
          <w:pgMar w:left="240" w:top="125" w:right="239" w:bottom="0" w:gutter="0" w:footer="0" w:header="0"/>
        </w:sectPr>
      </w:pPr>
    </w:p>
    <w:bookmarkStart w:id="16" w:name="page17"/>
    <w:bookmarkEnd w:id="16"/>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commercial license to the human antibody technology specifically for our CD27 antibody. Preclinical models with our human monoclonal antibody to CD27 have demonstrated immune cell activation and anti-tumor responses.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CDX-014 is a fully-human monoclonal ADC that targets TIM-1, an immunomudulatory protein that appears to down regulate immune response to tumors. The antibody, CDX-014, is linked to a potent chemotherapeutic, monomethyl auristatin E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We acquired the rights to CDX-014 in connection with the CuraGen Merger.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Rotavirus Vaccine</w:t>
      </w:r>
    </w:p>
    <w:p>
      <w:pPr>
        <w:spacing w:after="0" w:line="225"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Rotavirus is a major cause of diarrhea and vomiting in infants and children. In 1997, we licensed our oral rotavirus strain to Glaxo and Glaxo assumed responsibility for all subsequent clinical trials and all other development activities. Glaxo gained approval for its rotavirus vaccine, Rotarix</w:t>
      </w:r>
      <w:r>
        <w:rPr>
          <w:rFonts w:ascii="Arial" w:cs="Arial" w:eastAsia="Arial" w:hAnsi="Arial"/>
          <w:sz w:val="23"/>
          <w:szCs w:val="23"/>
          <w:color w:val="auto"/>
          <w:vertAlign w:val="superscript"/>
        </w:rPr>
        <w:t>®</w:t>
      </w:r>
      <w:r>
        <w:rPr>
          <w:rFonts w:ascii="Arial" w:cs="Arial" w:eastAsia="Arial" w:hAnsi="Arial"/>
          <w:sz w:val="18"/>
          <w:szCs w:val="18"/>
          <w:color w:val="auto"/>
        </w:rPr>
        <w:t>, in Mexico in July 2004, which represented the first in a series of worldwide approvals and commercial launches for the product leading up to the approval in Europe in 2006 and in the U.S. in 2008. We licensed-in our rotavirus strain in 1995 and owe a license fee of 30% to Cincinnati Children’s Hospital Medical Center (“CCH”) on net royalties received from Glaxo. We are obligated to maintain a license with CCH with respect to the Glaxo agreement. The term of the Glaxo agreement is through the expiration of the last of the relevant patents covered by the agreement, although Glaxo may terminate the agreement upon 90 days prior written notice.</w:t>
      </w:r>
    </w:p>
    <w:p>
      <w:pPr>
        <w:spacing w:after="0" w:line="203" w:lineRule="exact"/>
        <w:rPr>
          <w:sz w:val="20"/>
          <w:szCs w:val="20"/>
          <w:color w:val="auto"/>
        </w:rPr>
      </w:pPr>
    </w:p>
    <w:p>
      <w:pPr>
        <w:jc w:val="both"/>
        <w:ind w:right="200" w:firstLine="648"/>
        <w:spacing w:after="0" w:line="234" w:lineRule="auto"/>
        <w:rPr>
          <w:sz w:val="20"/>
          <w:szCs w:val="20"/>
          <w:color w:val="auto"/>
        </w:rPr>
      </w:pPr>
      <w:r>
        <w:rPr>
          <w:rFonts w:ascii="Arial" w:cs="Arial" w:eastAsia="Arial" w:hAnsi="Arial"/>
          <w:sz w:val="18"/>
          <w:szCs w:val="18"/>
          <w:color w:val="auto"/>
        </w:rPr>
        <w:t>In May 2005, we entered into an agreement whereby an affiliate of PRF purchased an interest in the milestone payments and net royalties that we will receive on the development and worldwide sales of Rotarix</w:t>
      </w:r>
      <w:r>
        <w:rPr>
          <w:rFonts w:ascii="Arial" w:cs="Arial" w:eastAsia="Arial" w:hAnsi="Arial"/>
          <w:sz w:val="23"/>
          <w:szCs w:val="23"/>
          <w:color w:val="auto"/>
          <w:vertAlign w:val="superscript"/>
        </w:rPr>
        <w:t>®</w:t>
      </w:r>
      <w:r>
        <w:rPr>
          <w:rFonts w:ascii="Arial" w:cs="Arial" w:eastAsia="Arial" w:hAnsi="Arial"/>
          <w:sz w:val="18"/>
          <w:szCs w:val="18"/>
          <w:color w:val="auto"/>
        </w:rPr>
        <w:t>. We have received a total of $60 million in milestone payments under the PRF agreement. No additional milestone payments are due from PRF under the agreement.</w:t>
      </w:r>
    </w:p>
    <w:p>
      <w:pPr>
        <w:spacing w:after="0" w:line="203" w:lineRule="exact"/>
        <w:rPr>
          <w:sz w:val="20"/>
          <w:szCs w:val="20"/>
          <w:color w:val="auto"/>
        </w:rPr>
      </w:pPr>
    </w:p>
    <w:p>
      <w:pPr>
        <w:ind w:right="20" w:firstLine="648"/>
        <w:spacing w:after="0" w:line="218" w:lineRule="auto"/>
        <w:rPr>
          <w:sz w:val="20"/>
          <w:szCs w:val="20"/>
          <w:color w:val="auto"/>
        </w:rPr>
      </w:pPr>
      <w:r>
        <w:rPr>
          <w:rFonts w:ascii="Arial" w:cs="Arial" w:eastAsia="Arial" w:hAnsi="Arial"/>
          <w:sz w:val="18"/>
          <w:szCs w:val="18"/>
          <w:color w:val="auto"/>
        </w:rPr>
        <w:t>Royalty rates on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escalate from 7% to 10% based on net product sales in countries that have valid patent protection. These royalty rates are discounted by 30% for “non-patent” countries (primarily international markets). In September 2006, we received notice from Glaxo that Glaxo would begin paying royalties on sales of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vaccine at the lower of the two royalty rates under their 1997 license agreement. Glaxo’s decision to pay the lower royalty rate (which is 70% of the full rate) is based upon Glaxo’s assertion that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not covered by the patents Glaxo licensed from us in Australia and certain European countries. We are currently evaluating the basis for Glaxo’s action and our potential remedies. If Glaxo’s position stands, the royalties to which PRF is entitled will no longer be limited by a $27.5 million annual threshold, which we projected may have been reached in later years as sales of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increased. Irrespective of Glaxo’s position, we will still retain approximately 65% of the royalties on worldwide sales of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once PRF receives 2.45 times the aggregate cash payments of $60 million it made to us, though the potential amount of such residual royalties will be lower if Glaxo’s position stands.</w:t>
      </w:r>
    </w:p>
    <w:p>
      <w:pPr>
        <w:spacing w:after="0" w:line="208" w:lineRule="exact"/>
        <w:rPr>
          <w:sz w:val="20"/>
          <w:szCs w:val="20"/>
          <w:color w:val="auto"/>
        </w:rPr>
      </w:pPr>
    </w:p>
    <w:p>
      <w:pPr>
        <w:ind w:right="160" w:firstLine="648"/>
        <w:spacing w:after="0" w:line="250" w:lineRule="auto"/>
        <w:rPr>
          <w:sz w:val="20"/>
          <w:szCs w:val="20"/>
          <w:color w:val="auto"/>
        </w:rPr>
      </w:pPr>
      <w:r>
        <w:rPr>
          <w:rFonts w:ascii="Arial" w:cs="Arial" w:eastAsia="Arial" w:hAnsi="Arial"/>
          <w:sz w:val="16"/>
          <w:szCs w:val="16"/>
          <w:color w:val="auto"/>
        </w:rPr>
        <w:t>In late March 2010, the FDA temporarily suspended the use of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the United States as a precautionary measure following the discovery of PCV-1 DNA material in the vaccine. In May 2010, the FDA determined that healthcare practitioners could resume the use of Rotarix</w:t>
      </w:r>
      <w:r>
        <w:rPr>
          <w:rFonts w:ascii="Arial" w:cs="Arial" w:eastAsia="Arial" w:hAnsi="Arial"/>
          <w:sz w:val="20"/>
          <w:szCs w:val="20"/>
          <w:color w:val="auto"/>
          <w:vertAlign w:val="superscript"/>
        </w:rPr>
        <w:t>®</w:t>
      </w:r>
      <w:r>
        <w:rPr>
          <w:rFonts w:ascii="Arial" w:cs="Arial" w:eastAsia="Arial" w:hAnsi="Arial"/>
          <w:sz w:val="16"/>
          <w:szCs w:val="16"/>
          <w:color w:val="auto"/>
        </w:rPr>
        <w:t>. Our royalties from sales of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were negatively impacted during the three months ended September 30, 2010 by the FDA’s decision to temporarily suspend the use of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from March 2010 through May 2010 and that negative impact from the temporary suspension may extend to future quarters as well. However, our net loss and cash position were not impacted even though our royalty revenue was impacted because there was an offsetting impact on our royalty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Our critical accounting policies are more fully described in Note 2 to our consolidated financial statements included in our Annual Report on Form 10-K for the year ended December 31, 2009 and there have been no material changes to such critical accounting policies. We believe our most critical accounting policies include accounting for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business combinations, revenue recognition, property and equipment, impairment of long-lived assets, marketable securities, research and development expenses and stock-based compensation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Our financial statements prior to the CuraGen Merger reflect the financial position, results of operations and cash flows of Celldex. Following the CuraGen Merger, our financial statements reflect the financial position, results of operation and cash flows of Celldex and CuraGen.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2010 compared with Three Months Ended September 30,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Increase/</w:t>
            </w: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4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4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w w:val="89"/>
              </w:rPr>
              <w:t>2009</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39"/>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138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1,371</w:t>
            </w:r>
          </w:p>
        </w:tc>
        <w:tc>
          <w:tcPr>
            <w:tcW w:w="300" w:type="dxa"/>
            <w:vAlign w:val="bottom"/>
          </w:tcPr>
          <w:p>
            <w:pPr>
              <w:spacing w:after="0"/>
              <w:rPr>
                <w:sz w:val="18"/>
                <w:szCs w:val="18"/>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1,339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32</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799</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(799)</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1,037</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1,892</w:t>
            </w: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(855)</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r>
      <w:tr>
        <w:trPr>
          <w:trHeight w:val="30"/>
        </w:trPr>
        <w:tc>
          <w:tcPr>
            <w:tcW w:w="4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r>
    </w:tbl>
    <w:p>
      <w:pPr>
        <w:sectPr>
          <w:pgSz w:w="11900" w:h="16900" w:orient="portrait"/>
          <w:cols w:equalWidth="0" w:num="1">
            <w:col w:w="11420"/>
          </w:cols>
          <w:pgMar w:left="240" w:top="125" w:right="239" w:bottom="0" w:gutter="0" w:footer="0" w:header="0"/>
        </w:sectPr>
      </w:pPr>
    </w:p>
    <w:bookmarkStart w:id="17" w:name="page18"/>
    <w:bookmarkEnd w:id="17"/>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4,030</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(1,622)</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Operating Expense:</w:t>
            </w:r>
          </w:p>
        </w:tc>
        <w:tc>
          <w:tcPr>
            <w:tcW w:w="7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5,169</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2,046</w:t>
            </w: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Royalty</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1,218</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2,072</w:t>
            </w:r>
          </w:p>
        </w:tc>
        <w:tc>
          <w:tcPr>
            <w:tcW w:w="500" w:type="dxa"/>
            <w:vAlign w:val="bottom"/>
          </w:tcPr>
          <w:p>
            <w:pPr>
              <w:spacing w:after="0"/>
              <w:rPr>
                <w:sz w:val="18"/>
                <w:szCs w:val="18"/>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8"/>
                <w:szCs w:val="18"/>
                <w:color w:val="auto"/>
              </w:rPr>
              <w:t>(854)</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3,850</w:t>
            </w:r>
          </w:p>
        </w:tc>
        <w:tc>
          <w:tcPr>
            <w:tcW w:w="5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(1,429)</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Gain on Sale of Assets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8"/>
                <w:szCs w:val="18"/>
                <w:color w:val="auto"/>
              </w:rPr>
              <w:t>(50)</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w:t>
            </w: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0"/>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7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11,287</w:t>
            </w:r>
          </w:p>
        </w:tc>
        <w:tc>
          <w:tcPr>
            <w:tcW w:w="3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11,186</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4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70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w:t>
            </w: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Net Loss</w:t>
            </w:r>
          </w:p>
        </w:tc>
        <w:tc>
          <w:tcPr>
            <w:tcW w:w="7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(9,087</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The $1.9 million increase in net loss for the three months ended September 30, 2010 was primarily due to an increase in research and development expense and a decrease in contracts and grants revenue, partially offset by a decrease in general and administrative expense.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 $0.8 million decrease in contracts and grants revenue for the three months ended September 30, 2010 was due to a decrease in revenue related to our vaccine development work on Rockefeller’s CDX-2401 program. The $0.9 million decrease in product royalty revenue for the three months ended September 30, 2010 was related to our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PRF and which is equal to the amount payable to CCH and recognized in royalty expense by us.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Research and development expenses consist primarily of (i) personnel expenses, (ii) laboratory supply expenses relating to the development of our technology, (iii) facility expenses, and (iv) product development expenses associated with our product candidates as follows: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8"/>
              <w:spacing w:after="0"/>
              <w:rPr>
                <w:sz w:val="20"/>
                <w:szCs w:val="20"/>
                <w:color w:val="auto"/>
              </w:rPr>
            </w:pPr>
            <w:r>
              <w:rPr>
                <w:rFonts w:ascii="Arial" w:cs="Arial" w:eastAsia="Arial" w:hAnsi="Arial"/>
                <w:sz w:val="14"/>
                <w:szCs w:val="14"/>
                <w:b w:val="1"/>
                <w:bCs w:val="1"/>
                <w:color w:val="auto"/>
                <w:w w:val="92"/>
              </w:rPr>
              <w:t>Increase/</w:t>
            </w: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2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8"/>
              <w:spacing w:after="0"/>
              <w:rPr>
                <w:sz w:val="20"/>
                <w:szCs w:val="20"/>
                <w:color w:val="auto"/>
              </w:rPr>
            </w:pPr>
            <w:r>
              <w:rPr>
                <w:rFonts w:ascii="Arial" w:cs="Arial" w:eastAsia="Arial" w:hAnsi="Arial"/>
                <w:sz w:val="14"/>
                <w:szCs w:val="14"/>
                <w:b w:val="1"/>
                <w:bCs w:val="1"/>
                <w:color w:val="auto"/>
                <w:w w:val="89"/>
              </w:rPr>
              <w:t>(Decrease)</w:t>
            </w: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2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578"/>
              <w:spacing w:after="0" w:line="142"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r>
      <w:tr>
        <w:trPr>
          <w:trHeight w:val="142"/>
        </w:trPr>
        <w:tc>
          <w:tcPr>
            <w:tcW w:w="2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0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3,035</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2,328</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707</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Laboratory Supplies</w:t>
            </w: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390</w:t>
            </w:r>
          </w:p>
        </w:tc>
        <w:tc>
          <w:tcPr>
            <w:tcW w:w="6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594</w:t>
            </w:r>
          </w:p>
        </w:tc>
        <w:tc>
          <w:tcPr>
            <w:tcW w:w="460" w:type="dxa"/>
            <w:vAlign w:val="bottom"/>
          </w:tcPr>
          <w:p>
            <w:pPr>
              <w:spacing w:after="0"/>
              <w:rPr>
                <w:sz w:val="18"/>
                <w:szCs w:val="18"/>
                <w:color w:val="auto"/>
              </w:rPr>
            </w:pPr>
          </w:p>
        </w:tc>
        <w:tc>
          <w:tcPr>
            <w:tcW w:w="1380" w:type="dxa"/>
            <w:vAlign w:val="bottom"/>
          </w:tcPr>
          <w:p>
            <w:pPr>
              <w:jc w:val="right"/>
              <w:ind w:right="198"/>
              <w:spacing w:after="0"/>
              <w:rPr>
                <w:sz w:val="20"/>
                <w:szCs w:val="20"/>
                <w:color w:val="auto"/>
              </w:rPr>
            </w:pPr>
            <w:r>
              <w:rPr>
                <w:rFonts w:ascii="Arial" w:cs="Arial" w:eastAsia="Arial" w:hAnsi="Arial"/>
                <w:sz w:val="18"/>
                <w:szCs w:val="18"/>
                <w:color w:val="auto"/>
              </w:rPr>
              <w:t>(204)</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1,199</w:t>
            </w:r>
          </w:p>
        </w:tc>
        <w:tc>
          <w:tcPr>
            <w:tcW w:w="6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1,117</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82</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Product Development</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1,657</w:t>
            </w:r>
          </w:p>
        </w:tc>
        <w:tc>
          <w:tcPr>
            <w:tcW w:w="6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460" w:type="dxa"/>
            <w:vAlign w:val="bottom"/>
          </w:tcPr>
          <w:p>
            <w:pPr>
              <w:spacing w:after="0"/>
              <w:rPr>
                <w:sz w:val="20"/>
                <w:szCs w:val="20"/>
                <w:color w:val="auto"/>
              </w:rPr>
            </w:pPr>
          </w:p>
        </w:tc>
        <w:tc>
          <w:tcPr>
            <w:tcW w:w="1380" w:type="dxa"/>
            <w:vAlign w:val="bottom"/>
          </w:tcPr>
          <w:p>
            <w:pPr>
              <w:jc w:val="right"/>
              <w:ind w:right="258"/>
              <w:spacing w:after="0"/>
              <w:rPr>
                <w:sz w:val="20"/>
                <w:szCs w:val="20"/>
                <w:color w:val="auto"/>
              </w:rPr>
            </w:pPr>
            <w:r>
              <w:rPr>
                <w:rFonts w:ascii="Arial" w:cs="Arial" w:eastAsia="Arial" w:hAnsi="Arial"/>
                <w:sz w:val="18"/>
                <w:szCs w:val="18"/>
                <w:color w:val="auto"/>
              </w:rPr>
              <w:t>857</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r>
    </w:tbl>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$0.7 million increase in personnel expenses for the three months ended September 30, 2010 was primarily due to higher headcount. We expect personnel expenses to increase over the next twelve months as we plan to continue to increase our headcount, primarily in clinical research personnel.</w:t>
      </w:r>
    </w:p>
    <w:p>
      <w:pPr>
        <w:spacing w:after="0" w:line="181" w:lineRule="exact"/>
        <w:rPr>
          <w:sz w:val="20"/>
          <w:szCs w:val="20"/>
          <w:color w:val="auto"/>
        </w:rPr>
      </w:pPr>
    </w:p>
    <w:p>
      <w:pPr>
        <w:ind w:right="480" w:firstLine="648"/>
        <w:spacing w:after="0" w:line="257" w:lineRule="auto"/>
        <w:rPr>
          <w:sz w:val="20"/>
          <w:szCs w:val="20"/>
          <w:color w:val="auto"/>
        </w:rPr>
      </w:pPr>
      <w:r>
        <w:rPr>
          <w:rFonts w:ascii="Arial" w:cs="Arial" w:eastAsia="Arial" w:hAnsi="Arial"/>
          <w:sz w:val="18"/>
          <w:szCs w:val="18"/>
          <w:color w:val="auto"/>
        </w:rPr>
        <w:t>Laboratory supply expenses include laboratory materials and supplies, services, and other related expenses incurred in the development of our technology. The $0.2 million decrease in laboratory supply expense for the three months ended September 30, 2010 was primarily due to the ongoing renovation of our Fall River manufacturing facility during which manufacturing activities ceased over the three months ended September 30, 2010. We expect supply expenses to increase over the next twelve months as a result of increased research and development activities, although there may be fluctuations on a quarterly basis.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Facility expenses include depreciation, amortization, utilities, rent, maintenance, and other related expenses incurred at our facilities.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$0.1 million increase in facility expenses for the three months ended September 30, 2010 was primarily due to higher research and development facility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allocation as a result of the increased headcount in research and development personnel. We expect facility expenses to increase over the next twelve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continued capital expansion and increased headcount in research and development personnel, although there may be fluctuations on a quarterly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basis.</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$0.9 million increase in product development expenses for the three months ended September 30, 2010 was primarily due to an increase of $0.7 million in clinical trial costs. We expect product development expenses to increase over the next twelve months due to the increase in clinical trial expense primarily related to our Rindopepimut program as a result of the Pfizer Termination, although there may be fluctuations on a quarterly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jc w:val="both"/>
        <w:ind w:right="200" w:firstLine="648"/>
        <w:spacing w:after="0" w:line="282" w:lineRule="auto"/>
        <w:rPr>
          <w:sz w:val="20"/>
          <w:szCs w:val="20"/>
          <w:color w:val="auto"/>
        </w:rPr>
      </w:pPr>
      <w:r>
        <w:rPr>
          <w:rFonts w:ascii="Arial" w:cs="Arial" w:eastAsia="Arial" w:hAnsi="Arial"/>
          <w:sz w:val="16"/>
          <w:szCs w:val="16"/>
          <w:color w:val="auto"/>
        </w:rPr>
        <w:t>Royalty expenses include product royalty and sublicense royalty fees on our out-licensed programs. The $0.9 million decrease in royalty expenses for the three months ended September 30, 2010 was due to a decrease in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related royalty fees. Our retained interests in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net royalties which were not sold to PRF are recorded as product royalty revenue and a corresponding amount that is payable to CCH is recorded as royalty expense.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$1.4 million decrease in general and administrative expenses for the three months ended September 30, 2010 was primarily due to a decrease of $1.0 million in consultant and legal expense primarily related to costs incurred in connection with the CuraGen Merger in 2009. We expect general and administrative expense to remain relatively consistent over the next twelve months, although there may be fluctuations on a quarterly basis.</w:t>
      </w:r>
    </w:p>
    <w:p>
      <w:pPr>
        <w:sectPr>
          <w:pgSz w:w="11900" w:h="16966" w:orient="portrait"/>
          <w:cols w:equalWidth="0" w:num="1">
            <w:col w:w="11420"/>
          </w:cols>
          <w:pgMar w:left="240" w:top="140" w:right="239" w:bottom="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$0.4 million increase in amortization expenses for the three months ended September 30, 2010 was primarily due to intangible assets acquired in connection with the CuraGen Merger. We expect amortization expense of acquired intangible assets to remain relatively consistent over the next twelve months, although there may be fluctuations on a quarterly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$0.1 million increase in investment and other income, net for the three months ended September 30, 2010 was primarily related to income earned on our marketable securities during the three months ended September 30, 2010. During the three month ended September 30, 2009, we did not invest in marketable securities. We anticipate investment income to decrease over the next twelve months due to lower cash and investment balances caused by the utilization of cash and investment balances in the normal course of funding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$0.3 million increase in interest expense for the three months ended September 30, 2010 was primarily due to the CuraGen Debt we assumed in connection with the CuraGen Merger. We anticipate interest expense to remain relatively consistent until the CuraGen Debt matures in February 2011.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2010 compared with Nine Months Ended September 30,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Increase/</w:t>
            </w: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96"/>
              </w:rPr>
              <w:t>2009</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33"/>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4,117</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4,338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(221)</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939</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(719)</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4,735</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5,170</w:t>
            </w:r>
          </w:p>
        </w:tc>
        <w:tc>
          <w:tcPr>
            <w:tcW w:w="32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(435)</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3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20,908</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18,060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2,848</w:t>
            </w: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Royalty</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5,277</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5,669</w:t>
            </w:r>
          </w:p>
        </w:tc>
        <w:tc>
          <w:tcPr>
            <w:tcW w:w="32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(392)</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10,701</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(2,853)</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Gain on Sale of Assets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(604)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554</w:t>
            </w:r>
          </w:p>
        </w:tc>
        <w:tc>
          <w:tcPr>
            <w:tcW w:w="32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2,374</w:t>
            </w: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5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36,643</w:t>
            </w:r>
          </w:p>
        </w:tc>
        <w:tc>
          <w:tcPr>
            <w:tcW w:w="3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34,112</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(27,571)</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3,379</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3,183</w:t>
            </w:r>
          </w:p>
        </w:tc>
        <w:tc>
          <w:tcPr>
            <w:tcW w:w="32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(1,002)</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889</w:t>
            </w: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Net Loss</w:t>
            </w:r>
          </w:p>
        </w:tc>
        <w:tc>
          <w:tcPr>
            <w:tcW w:w="5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(25,194</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(23,582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$1.6 million increase in net loss for the nine months ended September 30, 2010 was primarily due to increases in research and development, interest, and amortization of acquired intangible asset expense and a decrease in contracts and grants revenue, partially offset by an increase in other income and a decrease in general and administrative expenses.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20" w:firstLine="648"/>
        <w:spacing w:after="0" w:line="242" w:lineRule="auto"/>
        <w:rPr>
          <w:sz w:val="20"/>
          <w:szCs w:val="20"/>
          <w:color w:val="auto"/>
        </w:rPr>
      </w:pPr>
      <w:r>
        <w:rPr>
          <w:rFonts w:ascii="Arial" w:cs="Arial" w:eastAsia="Arial" w:hAnsi="Arial"/>
          <w:sz w:val="18"/>
          <w:szCs w:val="18"/>
          <w:color w:val="auto"/>
        </w:rPr>
        <w:t>The $0.2 million decrease in product development and licensing agreement revenue for the nine months ended September 30, 2010 was primarily due to $0.2 million in revenue recorded for the nine months ended September 30, 2009 related to the Corixa termination agreement. The $0.7 million decrease in contracts and grants revenue for the nine months ended September 30, 2010 was due to a decrease in revenue related to our vaccine development work on Rockefeller’s CDX-2401 program. The $0.4 million decrease in product royalty revenue for the nine months ended September 30, 2010 was primarily related to our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PRF and which is equal to the amount payable to CCH and recognized in royalty expense by 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Research and development expenses consist primarily of (i) personnel expenses, (ii) laboratory supply expenses relating to the development of our technology, (iii) facility expenses, and (iv) product development expenses associated with our product candidates as follows: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0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4"/>
              </w:rPr>
              <w:t>Nine Months Ended</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tcPr>
          <w:p>
            <w:pPr>
              <w:jc w:val="center"/>
              <w:ind w:right="564"/>
              <w:spacing w:after="0"/>
              <w:rPr>
                <w:sz w:val="20"/>
                <w:szCs w:val="20"/>
                <w:color w:val="auto"/>
              </w:rPr>
            </w:pPr>
            <w:r>
              <w:rPr>
                <w:rFonts w:ascii="Arial" w:cs="Arial" w:eastAsia="Arial" w:hAnsi="Arial"/>
                <w:sz w:val="14"/>
                <w:szCs w:val="14"/>
                <w:b w:val="1"/>
                <w:bCs w:val="1"/>
                <w:color w:val="auto"/>
                <w:w w:val="92"/>
              </w:rPr>
              <w:t>Increase/</w:t>
            </w: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2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299"/>
              <w:spacing w:after="0"/>
              <w:rPr>
                <w:sz w:val="20"/>
                <w:szCs w:val="20"/>
                <w:color w:val="auto"/>
              </w:rPr>
            </w:pPr>
            <w:r>
              <w:rPr>
                <w:rFonts w:ascii="Arial" w:cs="Arial" w:eastAsia="Arial" w:hAnsi="Arial"/>
                <w:sz w:val="14"/>
                <w:szCs w:val="14"/>
                <w:b w:val="1"/>
                <w:bCs w:val="1"/>
                <w:color w:val="auto"/>
                <w:w w:val="91"/>
              </w:rPr>
              <w:t>September 30,</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tcPr>
          <w:p>
            <w:pPr>
              <w:jc w:val="center"/>
              <w:ind w:right="564"/>
              <w:spacing w:after="0"/>
              <w:rPr>
                <w:sz w:val="20"/>
                <w:szCs w:val="20"/>
                <w:color w:val="auto"/>
              </w:rPr>
            </w:pPr>
            <w:r>
              <w:rPr>
                <w:rFonts w:ascii="Arial" w:cs="Arial" w:eastAsia="Arial" w:hAnsi="Arial"/>
                <w:sz w:val="14"/>
                <w:szCs w:val="14"/>
                <w:b w:val="1"/>
                <w:bCs w:val="1"/>
                <w:color w:val="auto"/>
                <w:w w:val="89"/>
              </w:rPr>
              <w:t>(Decrease)</w:t>
            </w: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2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ind w:right="564"/>
              <w:spacing w:after="0" w:line="142" w:lineRule="exact"/>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r>
      <w:tr>
        <w:trPr>
          <w:trHeight w:val="142"/>
        </w:trPr>
        <w:tc>
          <w:tcPr>
            <w:tcW w:w="2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5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9,185</w:t>
            </w:r>
          </w:p>
        </w:tc>
        <w:tc>
          <w:tcPr>
            <w:tcW w:w="104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7,385</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44"/>
              <w:spacing w:after="0"/>
              <w:rPr>
                <w:sz w:val="20"/>
                <w:szCs w:val="20"/>
                <w:color w:val="auto"/>
              </w:rPr>
            </w:pPr>
            <w:r>
              <w:rPr>
                <w:rFonts w:ascii="Arial" w:cs="Arial" w:eastAsia="Arial" w:hAnsi="Arial"/>
                <w:sz w:val="18"/>
                <w:szCs w:val="18"/>
                <w:color w:val="auto"/>
              </w:rPr>
              <w:t>1,800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20"/>
          </w:cols>
          <w:pgMar w:left="240" w:top="341" w:right="239" w:bottom="0" w:gutter="0" w:footer="0" w:header="0"/>
        </w:sectPr>
      </w:pPr>
    </w:p>
    <w:bookmarkStart w:id="19" w:name="page20"/>
    <w:bookmarkEnd w:id="19"/>
    <w:p>
      <w:pPr>
        <w:spacing w:after="0" w:line="3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Laboratory Supplies</w:t>
            </w:r>
          </w:p>
        </w:tc>
        <w:tc>
          <w:tcPr>
            <w:tcW w:w="2720" w:type="dxa"/>
            <w:vAlign w:val="bottom"/>
          </w:tcPr>
          <w:p>
            <w:pPr>
              <w:jc w:val="right"/>
              <w:ind w:right="530"/>
              <w:spacing w:after="0"/>
              <w:rPr>
                <w:sz w:val="20"/>
                <w:szCs w:val="20"/>
                <w:color w:val="auto"/>
              </w:rPr>
            </w:pPr>
            <w:r>
              <w:rPr>
                <w:rFonts w:ascii="Arial" w:cs="Arial" w:eastAsia="Arial" w:hAnsi="Arial"/>
                <w:sz w:val="18"/>
                <w:szCs w:val="18"/>
                <w:color w:val="auto"/>
              </w:rPr>
              <w:t>1,133</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1,829</w:t>
            </w:r>
          </w:p>
        </w:tc>
        <w:tc>
          <w:tcPr>
            <w:tcW w:w="1720" w:type="dxa"/>
            <w:vAlign w:val="bottom"/>
          </w:tcPr>
          <w:p>
            <w:pPr>
              <w:jc w:val="right"/>
              <w:ind w:right="570"/>
              <w:spacing w:after="0"/>
              <w:rPr>
                <w:sz w:val="20"/>
                <w:szCs w:val="20"/>
                <w:color w:val="auto"/>
              </w:rPr>
            </w:pPr>
            <w:r>
              <w:rPr>
                <w:rFonts w:ascii="Arial" w:cs="Arial" w:eastAsia="Arial" w:hAnsi="Arial"/>
                <w:sz w:val="18"/>
                <w:szCs w:val="18"/>
                <w:color w:val="auto"/>
              </w:rPr>
              <w:t>(696)</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2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3,934</w:t>
            </w:r>
          </w:p>
        </w:tc>
        <w:tc>
          <w:tcPr>
            <w:tcW w:w="16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3,489</w:t>
            </w:r>
          </w:p>
        </w:tc>
        <w:tc>
          <w:tcPr>
            <w:tcW w:w="17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445</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Product Development</w:t>
            </w:r>
          </w:p>
        </w:tc>
        <w:tc>
          <w:tcPr>
            <w:tcW w:w="2720" w:type="dxa"/>
            <w:vAlign w:val="bottom"/>
          </w:tcPr>
          <w:p>
            <w:pPr>
              <w:jc w:val="right"/>
              <w:ind w:right="530"/>
              <w:spacing w:after="0"/>
              <w:rPr>
                <w:sz w:val="20"/>
                <w:szCs w:val="20"/>
                <w:color w:val="auto"/>
              </w:rPr>
            </w:pPr>
            <w:r>
              <w:rPr>
                <w:rFonts w:ascii="Arial" w:cs="Arial" w:eastAsia="Arial" w:hAnsi="Arial"/>
                <w:sz w:val="18"/>
                <w:szCs w:val="18"/>
                <w:color w:val="auto"/>
              </w:rPr>
              <w:t>4,332</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4,025</w:t>
            </w:r>
          </w:p>
        </w:tc>
        <w:tc>
          <w:tcPr>
            <w:tcW w:w="1720" w:type="dxa"/>
            <w:vAlign w:val="bottom"/>
          </w:tcPr>
          <w:p>
            <w:pPr>
              <w:jc w:val="right"/>
              <w:ind w:right="630"/>
              <w:spacing w:after="0"/>
              <w:rPr>
                <w:sz w:val="20"/>
                <w:szCs w:val="20"/>
                <w:color w:val="auto"/>
              </w:rPr>
            </w:pPr>
            <w:r>
              <w:rPr>
                <w:rFonts w:ascii="Arial" w:cs="Arial" w:eastAsia="Arial" w:hAnsi="Arial"/>
                <w:sz w:val="18"/>
                <w:szCs w:val="18"/>
                <w:color w:val="auto"/>
              </w:rPr>
              <w:t>307</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8%</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$1.8 million increase in personnel expenses for the nine months ended September 30, 2010 was primarily due to higher headcount.</w:t>
      </w:r>
    </w:p>
    <w:p>
      <w:pPr>
        <w:spacing w:after="0" w:line="237"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$0.7 million decrease in laboratory supply expense for the nine months ended September 30, 2010 was primarily due to the ongoing renovation of our Fall River manufacturing facility during which manufacturing activities ceased for the six months ended September 30, 2010.</w:t>
      </w:r>
    </w:p>
    <w:p>
      <w:pPr>
        <w:spacing w:after="0" w:line="14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$0.4 million increase in facility expenses for the nine months ended September 30, 2010 was primarily due to higher depreciation and</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amortization expenses and higher research and development facility allocation as a result of the increased headcount in research and development personnel.</w:t>
      </w:r>
    </w:p>
    <w:p>
      <w:pPr>
        <w:spacing w:after="0" w:line="23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$0.3 million increase in product development expenses for the nine months ended September 30, 2010 was primarily due to increases of $0.1 million in clinical trial costs and $0.2 million in contract manufacturing.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$0.4 million decrease in royalty expenses for the nine months ended September 30, 2010 was due to a decrease in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related royalty fees.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$2.9 million decrease in general and administrative expenses for the nine months ended September 30, 2010 was primarily due to a decrease of $2.0 million in consultant and legal expense primarily related to costs incurred in connection with the CuraGen Merger in 2009 and $0.7 million in severance expense, including related non-cash stock-based compensation expense, incurred during the nine months ended September 30, 2009 related to the departure of our former SVP, Business Development.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$2.4 million increase in amortization expenses for the nine months ended September 30, 2010 was primarily due to intangible assets acquired in connection with the CuraGen Merger including the TopoTarget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Agreement. In February 2010, TopoTarget entered into a co-development and commercialization agreement for Belinostat with Spectrum</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Pharmaceuticals, Inc. which resulted in our receipt of $3.0 million which we recorded as Other Income for the nine months ended September 30, 2010 and we recorded amortization expense related to the TopoTarget Agreement of $1.5 million for the nine months ended September 30, 2010.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$3.2 million increase in investment and other income, net for the nine months ended September 30, 2010 was primarily due to $3.0 million received in connection with the TopoTarget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$0.9 million increase in interest expense for the nine months ended September 30, 2010 was primarily due to the CuraGen Debt we assumed in connection with the CuraGen Merger.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September 30, 2010, our principal sources of liquidity consisted of cash, cash equivalents and marketable securities of $57.7 million. Our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working capital at September 30, 2010 was $35.9 million. At September 30, 2010, we had 4% convertible subordinated debt due in February 2011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$12.5 million. We incurred a loss of $25.2 million for the nine months ended September 30, 2010. Net cash used in operations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2010 was $24.4 million. We believe that expected cash inflows from interest income on invested funds and our current cash, cash equivalents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marketable securities at September 30, 2010 and our ability to control certain costs, including those related to clinical trials, manufacturing and preclinical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activities, are sufficient to meet estimated working capital requirements and fund planned operations for at least the next twelve months.</w:t>
      </w:r>
    </w:p>
    <w:p>
      <w:pPr>
        <w:spacing w:after="0" w:line="21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5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7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During the next twelve months, we will take further steps to raise additional capital to meet our long-term liquidity needs including, but not limited to, the licensing of technology programs with existing or new collaborative partners, possible business combinations, issuance of debt, or the issuance of common stock or other securities via private placements or public offerings. While we may continue to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w:t>
      </w:r>
    </w:p>
    <w:p>
      <w:pPr>
        <w:sectPr>
          <w:pgSz w:w="11900" w:h="16874" w:orient="portrait"/>
          <w:cols w:equalWidth="0" w:num="1">
            <w:col w:w="11420"/>
          </w:cols>
          <w:pgMar w:left="240" w:top="125" w:right="239" w:bottom="0" w:gutter="0" w:footer="0" w:header="0"/>
        </w:sectPr>
      </w:pPr>
    </w:p>
    <w:bookmarkStart w:id="20" w:name="page21"/>
    <w:bookmarkEnd w:id="20"/>
    <w:p>
      <w:pPr>
        <w:spacing w:after="0" w:line="13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If we are unable to raise the funds necessary to meet our long-term liquidity needs, we may have to delay or discontinue the development of one or more programs, license out programs earlier than expected, raise funds at significant discount or on other unfavorable terms, or sell all or part of us.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Net cash used in operating activities was $24.4 million for the nine months ended September 30, 2010 compared to $19.0 million for the nine months ended September 30, 2009. The increase in net cash used in operating activities was primarily due to decreases of $3.4 million in deferred revenue, $2.1 million in accounts payable and accrued expenses, and $1.7 million in other long-term liabilities for the nine months ended September 30, 2010 as compared to decreases in deferred revenue and accounts payable and accrued expenses of $0.8 million and $0.2 million, respectively, and an increase of $0.1 million other long-term liabilities for the nine months ended September 30, 2009. The decrease in other long-term liabilities was primarily due to severance payments made related to the CuraGen Merger. We expect that cash used in operations will increase over the next twelve months primarily related to costs to be incurred on our Rindopepimut program as a result of the Pfizer Termination.</w:t>
      </w:r>
    </w:p>
    <w:p>
      <w:pPr>
        <w:spacing w:after="0" w:line="17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as our product candidates are developed. We plan to spend significant amounts to progress our current product candidates through the clinical trial and commercialization process as well as to develop additional product candidates. As our product candidates progress through the clinical trial process, we may be obligated to make significant milestone payments to our collaborators.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Net cash used in investing activities was $23.7 million for the nine months ended September 30, 2010 compared to net cash provided by investing activities of $0.4 million for the nine months ended September 30, 2009. The increase in net cash used in investing activities was primarily due to net purchases of marketable securities for the nine months ended September 30, 2010 of $22.1 million. We expect to incur future facility costs as a result of continued capital expansion, renovation and replacements. Our investment in capital equipment is discretionary and there may be significant fluctuations on a quarterly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Net cash provided by financing activities was $0.9 million for the nine months ended September 30, 2010 compared to $0.4 million for the nine months ended September 30, 2009. The increase in net cash provided by financing activities was primarily due to an increase in proceeds from stock option exercises.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29"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Except as set forth below, the disclosures relating to our contractual obligations reported in our Annual Report on Form 10-K for the year ended December 31, 2009 which was filed with the SEC on March 12, 2010 have not materially changed since we filed that report.</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June 2010, we amended our lease with MassDevelopment for our manufacturing facility in Fall River, Massachusetts. The initial term under the amended lease expires in December 2017 and includes two renewal options of five years each.</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October 2010, we amended our lease in Phillipsburg, New Jersey. The initial term under the amended lease expires in August 2016 and includes one renewal option of five years.</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24"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September 30, 2010 due to the short-term maturities of these instruments.</w:t>
      </w:r>
    </w:p>
    <w:p>
      <w:pPr>
        <w:spacing w:after="0" w:line="1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As of September 30, 2010, we evaluated, with the participation of our Chief Executive Officer and Chief Financial Officer, the effectiveness of our disclosure controls and procedures (as defined in Rules 13a-15(e) and 15d-15(e) under the Securities Exchange Act of 1934, as amended (the “Exchange</w:t>
      </w:r>
    </w:p>
    <w:p>
      <w:pPr>
        <w:sectPr>
          <w:pgSz w:w="11900" w:h="16975" w:orient="portrait"/>
          <w:cols w:equalWidth="0" w:num="1">
            <w:col w:w="11420"/>
          </w:cols>
          <w:pgMar w:left="240" w:top="125" w:right="239" w:bottom="0" w:gutter="0" w:footer="0" w:header="0"/>
        </w:sectPr>
      </w:pPr>
    </w:p>
    <w:bookmarkStart w:id="21" w:name="page22"/>
    <w:bookmarkEnd w:id="21"/>
    <w:p>
      <w:pPr>
        <w:spacing w:after="0" w:line="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Act”)). Based on that evaluation, our Chief Executive Officer and Chief Financial Officer concluded that our disclosure controls and procedures were effective at the reasonable assurance level as of September 30, 2010.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nine months ended September 30, 2010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2009, which could materially affect our business, financial condition or future results. The risks described in our Annual Report on Form 10-K and other reports filed with the SEC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Except as set forth below, there have been no material changes to the risk factors previously disclosed in our Annual Report on Form 10-K for the year ended December 31, 2009 filed with the SEC on March 12, 2010.</w:t>
      </w:r>
    </w:p>
    <w:p>
      <w:pPr>
        <w:spacing w:after="0" w:line="16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Pfizer’s termination of its global development and commercialization agreement with us may cause uncertainty surrounding, as well as delays in and increased costs for, the development of our lead clinical development program, which could adversely affect the value of our common stock, our cash position and results of operations.</w:t>
      </w:r>
    </w:p>
    <w:p>
      <w:pPr>
        <w:spacing w:after="0" w:line="18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had licensed our lead clinical development program, Rindopepimut, a therapeutic cancer vaccine candidate, to Pfizer pursuant to a License and Development Agreement dated April 16, 2008 (“Pfizer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under which Pfizer was granted an exclusive worldwide license to Rindopepimut and Pfizer would have funded all development costs for the program and would have commercialized the product. On September 1, 2010, Pfizer provided a sixty day written notice to terminate the Pfizer Agreement. Pfizer is in the process of transitioning back to us all current as well as planned activities related to the development of Rindopepimut. In November 2010, all rights to the Rindopepimut program were returned to us. We are currently evaluating our options with respect to Rindopepimut, which may include licensing all or specific portions of the rights to the Rindopepimut program to another third party collaborator or retaining the rights and funding the development of the Rindopepimut program ourselves. If we retain the rights to the Rindopepimut program and are fully responsible for its development and commercialization, we may face delays, difficulties or unanticipated costs in completing the development and commercialization of the product and will need substantial additional financing. If we elect to enter into an agreement with a new third party collaborator for the licensing, development and commercialization of the product, the process of identifying a new collaborator and negotiating a new collaboration agreement may cause delays and increased costs. In addition, we may not be able to enter into a new collaboration agreement on terms as favorable as the terms in the Pfizer Agreement.</w:t>
      </w:r>
    </w:p>
    <w:p>
      <w:pPr>
        <w:spacing w:after="0" w:line="16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rely on third parties to plan, conduct and monitor our clinical tests, and their failure to perform as required would interfere with our product development.</w:t>
      </w:r>
    </w:p>
    <w:p>
      <w:pPr>
        <w:spacing w:after="0" w:line="166"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rely on third parties to conduct a significant portion of our clinical development activities. These activities include clinical patient recruitment and observation, clinical trial monitoring, clinical data management and analysis, safety monitoring and project management. We conduct project management and medical and safety monitoring in-house for some of our programs and rely on third parties for the remainder of our clinical development activities.</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any of these third parties fails to perform as we expect or if their work fails to meet regulatory standards, our testing could be delayed, cancelled or rendered ineffective.</w:t>
      </w:r>
    </w:p>
    <w:p>
      <w:pPr>
        <w:spacing w:after="0" w:line="166" w:lineRule="exact"/>
        <w:rPr>
          <w:sz w:val="20"/>
          <w:szCs w:val="20"/>
          <w:color w:val="auto"/>
        </w:rPr>
      </w:pPr>
    </w:p>
    <w:p>
      <w:pPr>
        <w:ind w:right="1040"/>
        <w:spacing w:after="0" w:line="282" w:lineRule="auto"/>
        <w:rPr>
          <w:sz w:val="20"/>
          <w:szCs w:val="20"/>
          <w:color w:val="auto"/>
        </w:rPr>
      </w:pPr>
      <w:r>
        <w:rPr>
          <w:rFonts w:ascii="Arial" w:cs="Arial" w:eastAsia="Arial" w:hAnsi="Arial"/>
          <w:sz w:val="18"/>
          <w:szCs w:val="18"/>
          <w:b w:val="1"/>
          <w:bCs w:val="1"/>
          <w:color w:val="auto"/>
        </w:rPr>
        <w:t>We depend greatly on third party collaborators to license, develop and commercialize some of our products, and they may not meet our expectations.</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have agreements with third party collaborators for the licensing, development and ultimate commercialization of some of our products. Some of those agreements give substantial responsibility over the products to the collaborator. Some collaborators may be unable or unwilling to devote sufficient resources to develop our products as their agreements require. They often face business risks similar to ours, and this could interfere with their efforts. Also, collaborators may choose to devote their resources to products that compete with ours. If a collaborator does not successfully develop any one of our products, we will need to find another collaborator to do so. The success of our search for a new collaborator will depend on our legal right to do so at the time and whether the product remains commercially viable.</w:t>
      </w:r>
    </w:p>
    <w:p>
      <w:pPr>
        <w:spacing w:after="0" w:line="19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success of our products depends in great part upon our and our collaborators’ success in promoting them as superior to other treatment alternatives. We believe that our products can be proven to offer disease prevention and treatment with notable advantages over drugs in terms of patient compliance and effectiveness. However, there can be no assurance that we will be able to prove these advantages or that the advantages will be sufficient to support the successful commercialization of our products.</w:t>
      </w:r>
    </w:p>
    <w:p>
      <w:pPr>
        <w:sectPr>
          <w:pgSz w:w="11900" w:h="16845" w:orient="portrait"/>
          <w:cols w:equalWidth="0" w:num="1">
            <w:col w:w="11420"/>
          </w:cols>
          <w:pgMar w:left="240" w:top="125" w:right="239" w:bottom="0" w:gutter="0" w:footer="0" w:header="0"/>
        </w:sectPr>
      </w:pPr>
    </w:p>
    <w:bookmarkStart w:id="22" w:name="page23"/>
    <w:bookmarkEnd w:id="22"/>
    <w:p>
      <w:pPr>
        <w:ind w:right="120"/>
        <w:spacing w:after="0" w:line="282" w:lineRule="auto"/>
        <w:rPr>
          <w:sz w:val="20"/>
          <w:szCs w:val="20"/>
          <w:color w:val="auto"/>
        </w:rPr>
      </w:pPr>
      <w:r>
        <w:rPr>
          <w:rFonts w:ascii="Arial" w:cs="Arial" w:eastAsia="Arial" w:hAnsi="Arial"/>
          <w:sz w:val="18"/>
          <w:szCs w:val="18"/>
          <w:b w:val="1"/>
          <w:bCs w:val="1"/>
          <w:color w:val="auto"/>
        </w:rPr>
        <w:t>We may face delays, difficulties or unanticipated costs in establishing sales, distribution and manufacturing capabilities for our commercially ready products.</w:t>
      </w:r>
    </w:p>
    <w:p>
      <w:pPr>
        <w:spacing w:after="0" w:line="16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To date, we have chosen to retain, rather than license, all rights to some of our lead products, such as CDX-011 and our APC Targeting Technology programs. Following the Pfizer Termination, we also may chose to retain, rather than license to another third party, all rights to the Rindopepimut product. If we proceed with this strategy, we will have full responsibility for commercialization of these products if and when they are approved for sale. We currently lack the marketing, sales and distribution capabilities that we will need to carry out this strategy. To market any of our products directly, we must develop a substantial marketing and sales force with technical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expertise and a supporting distribution capability. We have little expertise in this area, and we may not succeed. We may find it necessary to enter into strategic partnerships on uncertain but potentially unfavorable terms to sell, market and distribute our products when they are approved for sale.</w:t>
      </w:r>
    </w:p>
    <w:p>
      <w:pPr>
        <w:spacing w:after="0" w:line="12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Some of our products are difficult to manufacture, especially in large quantities, and we have not yet developed commercial scale manufacturing processes for any of our products. We do not currently plan to develop internal manufacturing capabilities to produce any of our products at commercial scale if they are approved for sale. To the extent that we choose to market and distribute these products ourselves, this strategy will make us dependent on other companies to produce our products in adequate quantities, in compliance with regulatory requirements, and at a competitive cost. We may not find third parties capable of meeting those manufacturing needs.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1080" w:right="20" w:hanging="773"/>
        <w:spacing w:after="0" w:line="256" w:lineRule="auto"/>
        <w:tabs>
          <w:tab w:leader="none" w:pos="10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dated as of May 28, 2009, by and among Celldex Therapeutics, Inc., CuraGen Corporation and Cottrell Merger Sub, Inc. incorporated by reference to Exhibit 2.1 of the Company’s Current Report on Form 8-K filed May 29, 2009 with the Securities and Exchange Commission.</w:t>
      </w:r>
    </w:p>
    <w:p>
      <w:pPr>
        <w:ind w:left="1080" w:right="80" w:hanging="773"/>
        <w:spacing w:after="0" w:line="250" w:lineRule="auto"/>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Third Restated Certificate of Incorporation of the Company, incorporated by reference to Exhibit 3.1 of the Company’s Registration Statement on Form S-4 (Reg. No. 333-59215), filed July 16, 1998 with the Securities and Exchange Commission.</w:t>
      </w:r>
    </w:p>
    <w:p>
      <w:pPr>
        <w:spacing w:after="0" w:line="1" w:lineRule="exact"/>
        <w:rPr>
          <w:sz w:val="20"/>
          <w:szCs w:val="20"/>
          <w:color w:val="auto"/>
        </w:rPr>
      </w:pPr>
    </w:p>
    <w:p>
      <w:pPr>
        <w:ind w:left="1080" w:right="360" w:hanging="773"/>
        <w:spacing w:after="0" w:line="281" w:lineRule="auto"/>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Certificate of Amendment of Third Restated Certificate of Incorporation of the Company, incorporated by reference to Exhibit 3.1 of the Company’s Registration Statement on Form S-4 (Reg. No. 333-59215), filed July 16, 1998 with the Securities and Exchange Commission.</w:t>
      </w:r>
    </w:p>
    <w:p>
      <w:pPr>
        <w:spacing w:after="0" w:line="1" w:lineRule="exact"/>
        <w:rPr>
          <w:sz w:val="20"/>
          <w:szCs w:val="20"/>
          <w:color w:val="auto"/>
        </w:rPr>
      </w:pPr>
    </w:p>
    <w:p>
      <w:pPr>
        <w:ind w:left="1080" w:right="100" w:hanging="773"/>
        <w:spacing w:after="0" w:line="281" w:lineRule="auto"/>
        <w:tabs>
          <w:tab w:leader="none" w:pos="10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Second Certificate of Amendment of Third Restated Certificate of Incorporation of the Company, incorporated by reference to Exhibit 3.2 of the Company’s Registration Statement on Form S-4 (Reg. No. 333-59215), filed July 16, 1998 with the Securities and Exchange Commission.</w:t>
      </w:r>
    </w:p>
    <w:p>
      <w:pPr>
        <w:spacing w:after="0" w:line="1" w:lineRule="exact"/>
        <w:rPr>
          <w:sz w:val="20"/>
          <w:szCs w:val="20"/>
          <w:color w:val="auto"/>
        </w:rPr>
      </w:pPr>
    </w:p>
    <w:p>
      <w:pPr>
        <w:ind w:left="1080" w:right="60" w:hanging="773"/>
        <w:spacing w:after="0" w:line="250" w:lineRule="auto"/>
        <w:tabs>
          <w:tab w:leader="none" w:pos="10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Third Certificate of Amendment of Third Restated Certificate of Incorporation of the Company, incorporated by reference to Exhibit 3.1 of the Company’s Quarterly Report on Form 10-Q, filed May 10, 2002 with the Securities and Exchange Commission.</w:t>
      </w:r>
    </w:p>
    <w:p>
      <w:pPr>
        <w:spacing w:after="0" w:line="1" w:lineRule="exact"/>
        <w:rPr>
          <w:sz w:val="20"/>
          <w:szCs w:val="20"/>
          <w:color w:val="auto"/>
        </w:rPr>
      </w:pPr>
    </w:p>
    <w:p>
      <w:pPr>
        <w:ind w:left="1080" w:right="240" w:hanging="773"/>
        <w:spacing w:after="0" w:line="265" w:lineRule="auto"/>
        <w:tabs>
          <w:tab w:leader="none" w:pos="10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Fourth Certificate of Amendment of Third Restated Certificate of Incorporation of the Company, incorporated by reference to Exhibit 3.1 of the Company’s Current Report on Form 8-K, filed on March 11, 2008 with the Securities and Exchange Commission.</w:t>
      </w:r>
    </w:p>
    <w:p>
      <w:pPr>
        <w:ind w:left="1080" w:right="120" w:hanging="773"/>
        <w:spacing w:after="0" w:line="265" w:lineRule="auto"/>
        <w:tabs>
          <w:tab w:leader="none" w:pos="10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Fifth Certificate of Amendment of Third Restated Certificate of Incorporation of the Company, incorporated by reference to Exhibit 3.2 of the Company’s Current Report on Form 8-K, filed on March 11, 2008 with the Securities and Exchange Commission.</w:t>
      </w:r>
    </w:p>
    <w:p>
      <w:pPr>
        <w:ind w:left="1080" w:right="80" w:hanging="773"/>
        <w:spacing w:after="0" w:line="265" w:lineRule="auto"/>
        <w:tabs>
          <w:tab w:leader="none" w:pos="10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color w:val="auto"/>
        </w:rPr>
        <w:t>Sixth Certificate of Amendment of Third Restated Certificate of Incorporation of the Company, incorporated by reference to Exhibit 3.7 of the Company’s Quarterly Report on Form 10-Q, filed November 10, 2008 with the Securities and Exchange Commission.</w:t>
      </w:r>
    </w:p>
    <w:p>
      <w:pPr>
        <w:ind w:left="1080" w:right="260" w:hanging="773"/>
        <w:spacing w:after="0" w:line="265" w:lineRule="auto"/>
        <w:tabs>
          <w:tab w:leader="none" w:pos="10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Amendment No. 2 to Shareholder Rights Agreement dated November 5, 2004, between the Company and Computershare Trust Company, N.A. (formerly EquiServe Trust Company, N.A.), as Rights Agent, incorporated by reference to Exhibit 10.1 of the Company’s Registration Statement on Form 8-A1G/A, filed on March 7, 2008 with the Securities and Exchange Commission.</w:t>
      </w:r>
    </w:p>
    <w:p>
      <w:pPr>
        <w:spacing w:after="0" w:line="1"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w:t>
      </w:r>
    </w:p>
    <w:p>
      <w:pPr>
        <w:spacing w:after="0" w:line="9"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Senior Vice President and Chief Financial Officer</w:t>
      </w:r>
    </w:p>
    <w:p>
      <w:pPr>
        <w:spacing w:after="0" w:line="9" w:lineRule="exact"/>
        <w:rPr>
          <w:sz w:val="20"/>
          <w:szCs w:val="20"/>
          <w:color w:val="auto"/>
        </w:rPr>
      </w:pPr>
    </w:p>
    <w:p>
      <w:pPr>
        <w:ind w:left="160"/>
        <w:spacing w:after="0"/>
        <w:tabs>
          <w:tab w:leader="none" w:pos="10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Section 1350 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80" w:hanging="71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080" w:hanging="71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CELLDEX THERAPEUTICS, INC.</w:t>
            </w:r>
          </w:p>
        </w:tc>
        <w:tc>
          <w:tcPr>
            <w:tcW w:w="0" w:type="dxa"/>
            <w:vAlign w:val="bottom"/>
          </w:tcPr>
          <w:p>
            <w:pPr>
              <w:spacing w:after="0"/>
              <w:rPr>
                <w:sz w:val="1"/>
                <w:szCs w:val="1"/>
                <w:color w:val="auto"/>
              </w:rPr>
            </w:pPr>
          </w:p>
        </w:tc>
      </w:tr>
      <w:tr>
        <w:trPr>
          <w:trHeight w:val="432"/>
        </w:trPr>
        <w:tc>
          <w:tcPr>
            <w:tcW w:w="57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432"/>
        </w:trPr>
        <w:tc>
          <w:tcPr>
            <w:tcW w:w="5720" w:type="dxa"/>
            <w:vAlign w:val="bottom"/>
            <w:vMerge w:val="restart"/>
          </w:tcPr>
          <w:p>
            <w:pPr>
              <w:spacing w:after="0"/>
              <w:rPr>
                <w:sz w:val="20"/>
                <w:szCs w:val="20"/>
                <w:color w:val="auto"/>
              </w:rPr>
            </w:pPr>
            <w:r>
              <w:rPr>
                <w:rFonts w:ascii="Arial" w:cs="Arial" w:eastAsia="Arial" w:hAnsi="Arial"/>
                <w:sz w:val="18"/>
                <w:szCs w:val="18"/>
                <w:color w:val="auto"/>
              </w:rPr>
              <w:t>Dated: November 4, 2010</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0" w:type="dxa"/>
            <w:vAlign w:val="bottom"/>
          </w:tcPr>
          <w:p>
            <w:pPr>
              <w:spacing w:after="0"/>
              <w:rPr>
                <w:sz w:val="1"/>
                <w:szCs w:val="1"/>
                <w:color w:val="auto"/>
              </w:rPr>
            </w:pPr>
          </w:p>
        </w:tc>
      </w:tr>
      <w:tr>
        <w:trPr>
          <w:trHeight w:val="224"/>
        </w:trPr>
        <w:tc>
          <w:tcPr>
            <w:tcW w:w="5720" w:type="dxa"/>
            <w:vAlign w:val="bottom"/>
            <w:vMerge w:val="continue"/>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Anthony S. Marucci</w:t>
            </w: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40" w:type="dxa"/>
            <w:vAlign w:val="bottom"/>
            <w:gridSpan w:val="2"/>
            <w:vMerge w:val="restart"/>
          </w:tcPr>
          <w:p>
            <w:pPr>
              <w:spacing w:after="0"/>
              <w:rPr>
                <w:sz w:val="20"/>
                <w:szCs w:val="20"/>
                <w:color w:val="auto"/>
              </w:rPr>
            </w:pPr>
            <w:r>
              <w:rPr>
                <w:rFonts w:ascii="Arial" w:cs="Arial" w:eastAsia="Arial" w:hAnsi="Arial"/>
                <w:sz w:val="18"/>
                <w:szCs w:val="18"/>
                <w:color w:val="auto"/>
              </w:rPr>
              <w:t>Dated: November 4, 2010</w:t>
            </w:r>
          </w:p>
        </w:tc>
        <w:tc>
          <w:tcPr>
            <w:tcW w:w="228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40" w:type="dxa"/>
            <w:vAlign w:val="bottom"/>
            <w:gridSpan w:val="2"/>
            <w:vMerge w:val="continue"/>
          </w:tcPr>
          <w:p>
            <w:pPr>
              <w:spacing w:after="0"/>
              <w:rPr>
                <w:sz w:val="16"/>
                <w:szCs w:val="16"/>
                <w:color w:val="auto"/>
              </w:rPr>
            </w:pPr>
          </w:p>
        </w:tc>
        <w:tc>
          <w:tcPr>
            <w:tcW w:w="22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Treasurer and 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980" w:type="dxa"/>
            <w:vAlign w:val="bottom"/>
            <w:gridSpan w:val="2"/>
          </w:tcPr>
          <w:p>
            <w:pPr>
              <w:jc w:val="right"/>
              <w:ind w:right="5533"/>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160" w:type="dxa"/>
            <w:vAlign w:val="bottom"/>
            <w:tcBorders>
              <w:bottom w:val="single" w:sz="8" w:color="010101"/>
            </w:tcBorders>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4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160" w:type="dxa"/>
            <w:vAlign w:val="bottom"/>
          </w:tcPr>
          <w:p>
            <w:pPr>
              <w:spacing w:after="0"/>
              <w:rPr>
                <w:sz w:val="24"/>
                <w:szCs w:val="24"/>
                <w:color w:val="auto"/>
              </w:rPr>
            </w:pPr>
          </w:p>
        </w:tc>
        <w:tc>
          <w:tcPr>
            <w:tcW w:w="7980" w:type="dxa"/>
            <w:vAlign w:val="bottom"/>
            <w:gridSpan w:val="2"/>
          </w:tcPr>
          <w:p>
            <w:pPr>
              <w:jc w:val="center"/>
              <w:ind w:right="3333"/>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80" w:type="dxa"/>
            <w:vAlign w:val="bottom"/>
          </w:tcPr>
          <w:p>
            <w:pPr>
              <w:spacing w:after="0"/>
              <w:rPr>
                <w:sz w:val="24"/>
                <w:szCs w:val="24"/>
                <w:color w:val="auto"/>
              </w:rPr>
            </w:pPr>
          </w:p>
        </w:tc>
        <w:tc>
          <w:tcPr>
            <w:tcW w:w="5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280" w:type="dxa"/>
            <w:vAlign w:val="bottom"/>
          </w:tcPr>
          <w:p>
            <w:pPr>
              <w:spacing w:after="0"/>
              <w:rPr>
                <w:sz w:val="16"/>
                <w:szCs w:val="16"/>
                <w:color w:val="auto"/>
              </w:rPr>
            </w:pPr>
          </w:p>
        </w:tc>
        <w:tc>
          <w:tcPr>
            <w:tcW w:w="57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-996950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-996950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960" w:right="160" w:hanging="713"/>
        <w:spacing w:after="0" w:line="249" w:lineRule="auto"/>
        <w:tabs>
          <w:tab w:leader="none" w:pos="9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dated as of May 28, 2009, by and among Celldex Therapeutics, Inc., CuraGen Corporation and Cottrell Merger Sub, Inc. incorporated by reference to Exhibit 2.1 of the Company’s Current Report on Form 8-K filed May 29, 2009 with the Securities and Exchange Commission.</w:t>
      </w:r>
    </w:p>
    <w:p>
      <w:pPr>
        <w:spacing w:after="0" w:line="3" w:lineRule="exact"/>
        <w:rPr>
          <w:sz w:val="20"/>
          <w:szCs w:val="20"/>
          <w:color w:val="auto"/>
        </w:rPr>
      </w:pPr>
    </w:p>
    <w:p>
      <w:pPr>
        <w:ind w:left="960" w:right="220" w:hanging="713"/>
        <w:spacing w:after="0" w:line="250" w:lineRule="auto"/>
        <w:tabs>
          <w:tab w:leader="none" w:pos="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Third Restated Certificate of Incorporation of the Company, incorporated by reference to Exhibit 3.1 of the Company’s Registration Statement on Form S-4 (Reg. No. 333-59215), filed July 16, 1998 with the Securities and Exchange Commission.</w:t>
      </w:r>
    </w:p>
    <w:p>
      <w:pPr>
        <w:spacing w:after="0" w:line="1" w:lineRule="exact"/>
        <w:rPr>
          <w:sz w:val="20"/>
          <w:szCs w:val="20"/>
          <w:color w:val="auto"/>
        </w:rPr>
      </w:pPr>
    </w:p>
    <w:p>
      <w:pPr>
        <w:ind w:left="960" w:right="500" w:hanging="713"/>
        <w:spacing w:after="0" w:line="281" w:lineRule="auto"/>
        <w:tabs>
          <w:tab w:leader="none" w:pos="9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Certificate of Amendment of Third Restated Certificate of Incorporation of the Company, incorporated by reference to Exhibit 3.1 of the Company’s Registration Statement on Form S-4 (Reg. No. 333-59215), filed July 16, 1998 with the Securities and Exchange Commission.</w:t>
      </w:r>
    </w:p>
    <w:p>
      <w:pPr>
        <w:spacing w:after="0" w:line="1" w:lineRule="exact"/>
        <w:rPr>
          <w:sz w:val="20"/>
          <w:szCs w:val="20"/>
          <w:color w:val="auto"/>
        </w:rPr>
      </w:pPr>
    </w:p>
    <w:p>
      <w:pPr>
        <w:jc w:val="both"/>
        <w:ind w:left="960" w:right="80" w:hanging="713"/>
        <w:spacing w:after="0" w:line="281" w:lineRule="auto"/>
        <w:tabs>
          <w:tab w:leader="none" w:pos="9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Second Certificate of Amendment of Third Restated Certificate of Incorporation of the Company, incorporated by reference to Exhibit 3.2 of the Company’s Registration Statement on Form S-4 (Reg. No. 333-59215), filed July 16, 1998 with the Securities and Exchange Commission.</w:t>
      </w:r>
    </w:p>
    <w:p>
      <w:pPr>
        <w:spacing w:after="0" w:line="1" w:lineRule="exact"/>
        <w:rPr>
          <w:sz w:val="20"/>
          <w:szCs w:val="20"/>
          <w:color w:val="auto"/>
        </w:rPr>
      </w:pPr>
    </w:p>
    <w:p>
      <w:pPr>
        <w:ind w:left="960" w:right="200" w:hanging="713"/>
        <w:spacing w:after="0" w:line="250" w:lineRule="auto"/>
        <w:tabs>
          <w:tab w:leader="none" w:pos="9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Third Certificate of Amendment of Third Restated Certificate of Incorporation of the Company, incorporated by reference to Exhibit 3.1 of the Company’s Quarterly Report on Form 10-Q, filed May 10, 2002 with the Securities and Exchange Commission.</w:t>
      </w:r>
    </w:p>
    <w:p>
      <w:pPr>
        <w:spacing w:after="0" w:line="1" w:lineRule="exact"/>
        <w:rPr>
          <w:sz w:val="20"/>
          <w:szCs w:val="20"/>
          <w:color w:val="auto"/>
        </w:rPr>
      </w:pPr>
    </w:p>
    <w:p>
      <w:pPr>
        <w:ind w:left="960" w:right="120" w:hanging="713"/>
        <w:spacing w:after="0" w:line="250" w:lineRule="auto"/>
        <w:tabs>
          <w:tab w:leader="none" w:pos="9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Fourth Certificate of Amendment of Third Restated Certificate of Incorporation of the Company, incorporated by reference to Exhibit 3.1 of the Company’s Current Report on Form 8-K, filed on March 11, 2008 with the Securities and Exchange Commission.</w:t>
      </w:r>
    </w:p>
    <w:p>
      <w:pPr>
        <w:spacing w:after="0" w:line="1" w:lineRule="exact"/>
        <w:rPr>
          <w:sz w:val="20"/>
          <w:szCs w:val="20"/>
          <w:color w:val="auto"/>
        </w:rPr>
      </w:pPr>
    </w:p>
    <w:p>
      <w:pPr>
        <w:ind w:left="960" w:right="260" w:hanging="713"/>
        <w:spacing w:after="0" w:line="265" w:lineRule="auto"/>
        <w:tabs>
          <w:tab w:leader="none" w:pos="9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Fifth Certificate of Amendment of Third Restated Certificate of Incorporation of the Company, incorporated by reference to Exhibit 3.2 of the Company’s Current Report on Form 8-K, filed on March 11, 2008 with the Securities and Exchange Commission.</w:t>
      </w:r>
    </w:p>
    <w:p>
      <w:pPr>
        <w:ind w:left="960" w:right="220" w:hanging="713"/>
        <w:spacing w:after="0" w:line="265" w:lineRule="auto"/>
        <w:tabs>
          <w:tab w:leader="none" w:pos="9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color w:val="auto"/>
        </w:rPr>
        <w:t>Sixth Certificate of Amendment of Third Restated Certificate of Incorporation of the Company, incorporated by reference to Exhibit 3.7 of the Company’s Quarterly Report on Form 10-Q, filed November 10, 2008 with the Securities and Exchange Commission.</w:t>
      </w:r>
    </w:p>
    <w:p>
      <w:pPr>
        <w:jc w:val="both"/>
        <w:ind w:left="960" w:right="80" w:hanging="713"/>
        <w:spacing w:after="0" w:line="250" w:lineRule="auto"/>
        <w:tabs>
          <w:tab w:leader="none" w:pos="9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Amendment No. 2 to Shareholder Rights Agreement dated November 5, 2004, between the Company and Computershare Trust Company, N.A. (formerly EquiServe Trust Company, N.A.) as Rights Agent, incorporated by reference to Exhibit 10.1 of the Company’s Registration Statement on Form 8-A1G/A, filed on March 7, 2008 with the Securities and Exchange Commission.</w:t>
      </w:r>
    </w:p>
    <w:p>
      <w:pPr>
        <w:spacing w:after="0" w:line="1"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w:t>
      </w:r>
    </w:p>
    <w:p>
      <w:pPr>
        <w:spacing w:after="0" w:line="9"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Senior Vice President and Chief Financial Officer</w:t>
      </w:r>
    </w:p>
    <w:p>
      <w:pPr>
        <w:spacing w:after="0" w:line="9" w:lineRule="exact"/>
        <w:rPr>
          <w:sz w:val="20"/>
          <w:szCs w:val="20"/>
          <w:color w:val="auto"/>
        </w:rPr>
      </w:pPr>
    </w:p>
    <w:p>
      <w:pPr>
        <w:ind w:left="120"/>
        <w:spacing w:after="0"/>
        <w:tabs>
          <w:tab w:leader="none" w:pos="9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Section 1350 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960" w:hanging="59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960" w:hanging="59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4" w:name="page25"/>
    <w:bookmarkEnd w:id="24"/>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640" w:hanging="437"/>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660" w:right="340" w:hanging="457"/>
        <w:spacing w:after="0" w:line="264" w:lineRule="auto"/>
        <w:tabs>
          <w:tab w:leader="none" w:pos="6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00" w:hanging="457"/>
        <w:spacing w:after="0" w:line="308" w:lineRule="auto"/>
        <w:tabs>
          <w:tab w:leader="none" w:pos="647"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320" w:hanging="457"/>
        <w:spacing w:after="0" w:line="264" w:lineRule="auto"/>
        <w:tabs>
          <w:tab w:leader="none" w:pos="6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60" w:hanging="644"/>
        <w:spacing w:after="0" w:line="264" w:lineRule="auto"/>
        <w:tabs>
          <w:tab w:leader="none" w:pos="127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28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272"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28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40" w:hanging="457"/>
        <w:spacing w:after="0" w:line="308" w:lineRule="auto"/>
        <w:tabs>
          <w:tab w:leader="none" w:pos="647"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00" w:hanging="644"/>
        <w:spacing w:after="0" w:line="342" w:lineRule="auto"/>
        <w:tabs>
          <w:tab w:leader="none" w:pos="1272"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80" w:hanging="644"/>
        <w:spacing w:after="0" w:line="277" w:lineRule="auto"/>
        <w:tabs>
          <w:tab w:leader="none" w:pos="128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4, 2010</w:t>
            </w:r>
          </w:p>
        </w:tc>
        <w:tc>
          <w:tcPr>
            <w:tcW w:w="2780" w:type="dxa"/>
            <w:vAlign w:val="bottom"/>
          </w:tcPr>
          <w:p>
            <w:pPr>
              <w:ind w:left="19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78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780" w:type="dxa"/>
            <w:vAlign w:val="bottom"/>
          </w:tcPr>
          <w:p>
            <w:pPr>
              <w:ind w:left="196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010101"/>
            </w:tcBorders>
          </w:tcPr>
          <w:p>
            <w:pPr>
              <w:spacing w:after="0"/>
              <w:rPr>
                <w:sz w:val="24"/>
                <w:szCs w:val="24"/>
                <w:color w:val="auto"/>
              </w:rPr>
            </w:pPr>
          </w:p>
        </w:tc>
        <w:tc>
          <w:tcPr>
            <w:tcW w:w="278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5" w:name="page26"/>
    <w:bookmarkEnd w:id="25"/>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680" w:hanging="477"/>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660" w:right="320" w:hanging="457"/>
        <w:spacing w:after="0" w:line="264" w:lineRule="auto"/>
        <w:tabs>
          <w:tab w:leader="none" w:pos="6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80" w:hanging="457"/>
        <w:spacing w:after="0" w:line="308" w:lineRule="auto"/>
        <w:tabs>
          <w:tab w:leader="none" w:pos="679"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320" w:hanging="457"/>
        <w:spacing w:after="0" w:line="264" w:lineRule="auto"/>
        <w:tabs>
          <w:tab w:leader="none" w:pos="6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30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31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30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0" w:hanging="457"/>
        <w:spacing w:after="0" w:line="308" w:lineRule="auto"/>
        <w:tabs>
          <w:tab w:leader="none" w:pos="679"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60" w:hanging="644"/>
        <w:spacing w:after="0" w:line="342" w:lineRule="auto"/>
        <w:tabs>
          <w:tab w:leader="none" w:pos="131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60" w:hanging="644"/>
        <w:spacing w:after="0" w:line="277" w:lineRule="auto"/>
        <w:tabs>
          <w:tab w:leader="none" w:pos="130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4, 2010</w:t>
            </w:r>
          </w:p>
        </w:tc>
        <w:tc>
          <w:tcPr>
            <w:tcW w:w="2780" w:type="dxa"/>
            <w:vAlign w:val="bottom"/>
          </w:tcPr>
          <w:p>
            <w:pPr>
              <w:ind w:left="19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78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2780" w:type="dxa"/>
            <w:vAlign w:val="bottom"/>
          </w:tcPr>
          <w:p>
            <w:pPr>
              <w:ind w:left="196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Senior Vice President and</w:t>
            </w:r>
          </w:p>
        </w:tc>
        <w:tc>
          <w:tcPr>
            <w:tcW w:w="4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010101"/>
            </w:tcBorders>
          </w:tcPr>
          <w:p>
            <w:pPr>
              <w:spacing w:after="0"/>
              <w:rPr>
                <w:sz w:val="24"/>
                <w:szCs w:val="24"/>
                <w:color w:val="auto"/>
              </w:rPr>
            </w:pPr>
          </w:p>
        </w:tc>
        <w:tc>
          <w:tcPr>
            <w:tcW w:w="278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4, 2010</w:t>
            </w:r>
          </w:p>
        </w:tc>
        <w:tc>
          <w:tcPr>
            <w:tcW w:w="2740" w:type="dxa"/>
            <w:vAlign w:val="bottom"/>
          </w:tcPr>
          <w:p>
            <w:pPr>
              <w:ind w:left="196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760" w:type="dxa"/>
            <w:vAlign w:val="bottom"/>
          </w:tcPr>
          <w:p>
            <w:pPr>
              <w:spacing w:after="0"/>
              <w:rPr>
                <w:sz w:val="16"/>
                <w:szCs w:val="16"/>
                <w:color w:val="auto"/>
              </w:rPr>
            </w:pPr>
          </w:p>
        </w:tc>
        <w:tc>
          <w:tcPr>
            <w:tcW w:w="274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760" w:type="dxa"/>
            <w:vAlign w:val="bottom"/>
          </w:tcPr>
          <w:p>
            <w:pPr>
              <w:spacing w:after="0"/>
              <w:rPr>
                <w:sz w:val="20"/>
                <w:szCs w:val="20"/>
                <w:color w:val="auto"/>
              </w:rPr>
            </w:pPr>
          </w:p>
        </w:tc>
        <w:tc>
          <w:tcPr>
            <w:tcW w:w="2740" w:type="dxa"/>
            <w:vAlign w:val="bottom"/>
          </w:tcPr>
          <w:p>
            <w:pPr>
              <w:ind w:left="196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4, 2010</w:t>
            </w:r>
          </w:p>
        </w:tc>
        <w:tc>
          <w:tcPr>
            <w:tcW w:w="2740" w:type="dxa"/>
            <w:vAlign w:val="bottom"/>
          </w:tcPr>
          <w:p>
            <w:pPr>
              <w:ind w:left="196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3760" w:type="dxa"/>
            <w:vAlign w:val="bottom"/>
          </w:tcPr>
          <w:p>
            <w:pPr>
              <w:spacing w:after="0"/>
              <w:rPr>
                <w:sz w:val="16"/>
                <w:szCs w:val="16"/>
                <w:color w:val="auto"/>
              </w:rPr>
            </w:pPr>
          </w:p>
        </w:tc>
        <w:tc>
          <w:tcPr>
            <w:tcW w:w="274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r>
      <w:tr>
        <w:trPr>
          <w:trHeight w:val="216"/>
        </w:trPr>
        <w:tc>
          <w:tcPr>
            <w:tcW w:w="3760" w:type="dxa"/>
            <w:vAlign w:val="bottom"/>
          </w:tcPr>
          <w:p>
            <w:pPr>
              <w:spacing w:after="0"/>
              <w:rPr>
                <w:sz w:val="18"/>
                <w:szCs w:val="18"/>
                <w:color w:val="auto"/>
              </w:rPr>
            </w:pPr>
          </w:p>
        </w:tc>
        <w:tc>
          <w:tcPr>
            <w:tcW w:w="2740" w:type="dxa"/>
            <w:vAlign w:val="bottom"/>
          </w:tcPr>
          <w:p>
            <w:pPr>
              <w:ind w:left="196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37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lowerRoman"/>
      <w:start w:val="2"/>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2019-12-10T05:13:19Z</dcterms:created>
  <dcterms:modified xsi:type="dcterms:W3CDTF">2019-12-10T05:13:19Z</dcterms:modified>
</cp:coreProperties>
</file>