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1160" w:right="3820" w:hanging="740"/>
        <w:spacing w:after="0" w:line="275" w:lineRule="auto"/>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1160" w:hanging="703"/>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000-15006</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CELLDEX THERAPEUTICS,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13-3191702</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(908) 200-7500</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Name of Each Exchange on Which</w:t>
            </w:r>
          </w:p>
        </w:tc>
        <w:tc>
          <w:tcPr>
            <w:tcW w:w="580" w:type="dxa"/>
            <w:vAlign w:val="bottom"/>
          </w:tcPr>
          <w:p>
            <w:pPr>
              <w:spacing w:after="0"/>
              <w:rPr>
                <w:sz w:val="14"/>
                <w:szCs w:val="14"/>
                <w:color w:val="auto"/>
              </w:rPr>
            </w:pPr>
          </w:p>
        </w:tc>
      </w:tr>
      <w:tr>
        <w:trPr>
          <w:trHeight w:val="161"/>
        </w:trPr>
        <w:tc>
          <w:tcPr>
            <w:tcW w:w="20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1200" w:type="dxa"/>
            <w:vAlign w:val="bottom"/>
          </w:tcPr>
          <w:p>
            <w:pPr>
              <w:spacing w:after="0"/>
              <w:rPr>
                <w:sz w:val="14"/>
                <w:szCs w:val="14"/>
                <w:color w:val="auto"/>
              </w:rPr>
            </w:pPr>
          </w:p>
        </w:tc>
        <w:tc>
          <w:tcPr>
            <w:tcW w:w="2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Registered:</w:t>
            </w:r>
          </w:p>
        </w:tc>
        <w:tc>
          <w:tcPr>
            <w:tcW w:w="580" w:type="dxa"/>
            <w:vAlign w:val="bottom"/>
          </w:tcPr>
          <w:p>
            <w:pPr>
              <w:spacing w:after="0"/>
              <w:rPr>
                <w:sz w:val="14"/>
                <w:szCs w:val="14"/>
                <w:color w:val="auto"/>
              </w:rPr>
            </w:pPr>
          </w:p>
        </w:tc>
      </w:tr>
      <w:tr>
        <w:trPr>
          <w:trHeight w:val="216"/>
        </w:trPr>
        <w:tc>
          <w:tcPr>
            <w:tcW w:w="2020" w:type="dxa"/>
            <w:vAlign w:val="bottom"/>
          </w:tcPr>
          <w:p>
            <w:pPr>
              <w:spacing w:after="0"/>
              <w:rPr>
                <w:sz w:val="18"/>
                <w:szCs w:val="18"/>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Stock, par value $.001</w:t>
            </w:r>
          </w:p>
        </w:tc>
        <w:tc>
          <w:tcPr>
            <w:tcW w:w="120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Capital Market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24"/>
        </w:trPr>
        <w:tc>
          <w:tcPr>
            <w:tcW w:w="2020" w:type="dxa"/>
            <w:vAlign w:val="bottom"/>
          </w:tcPr>
          <w:p>
            <w:pPr>
              <w:spacing w:after="0"/>
              <w:rPr>
                <w:sz w:val="24"/>
                <w:szCs w:val="24"/>
                <w:color w:val="auto"/>
              </w:rPr>
            </w:pPr>
          </w:p>
        </w:tc>
        <w:tc>
          <w:tcPr>
            <w:tcW w:w="6820" w:type="dxa"/>
            <w:vAlign w:val="bottom"/>
            <w:gridSpan w:val="4"/>
          </w:tcPr>
          <w:p>
            <w:pPr>
              <w:ind w:left="10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80" w:type="dxa"/>
            <w:vAlign w:val="bottom"/>
          </w:tcPr>
          <w:p>
            <w:pPr>
              <w:spacing w:after="0"/>
              <w:rPr>
                <w:sz w:val="24"/>
                <w:szCs w:val="24"/>
                <w:color w:val="auto"/>
              </w:rPr>
            </w:pPr>
          </w:p>
        </w:tc>
      </w:tr>
      <w:tr>
        <w:trPr>
          <w:trHeight w:val="452"/>
        </w:trPr>
        <w:tc>
          <w:tcPr>
            <w:tcW w:w="884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4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580" w:type="dxa"/>
            <w:vAlign w:val="bottom"/>
          </w:tcPr>
          <w:p>
            <w:pPr>
              <w:ind w:left="16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r>
    </w:tbl>
    <w:p>
      <w:pPr>
        <w:spacing w:after="0" w:line="190" w:lineRule="exact"/>
        <w:rPr>
          <w:sz w:val="24"/>
          <w:szCs w:val="24"/>
          <w:color w:val="auto"/>
        </w:rPr>
      </w:pPr>
    </w:p>
    <w:p>
      <w:pPr>
        <w:ind w:right="3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38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220" w:firstLine="395"/>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85" w:right="239" w:bottom="65" w:gutter="0" w:footer="0" w:header="0"/>
        </w:sectPr>
      </w:pPr>
    </w:p>
    <w:p>
      <w:pPr>
        <w:spacing w:after="0" w:line="194" w:lineRule="exact"/>
        <w:rPr>
          <w:sz w:val="24"/>
          <w:szCs w:val="24"/>
          <w:color w:val="auto"/>
        </w:rPr>
      </w:pPr>
    </w:p>
    <w:p>
      <w:pPr>
        <w:ind w:left="11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1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both"/>
        <w:ind w:right="1040" w:hanging="38"/>
        <w:spacing w:after="0" w:line="236"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o</w:t>
      </w:r>
    </w:p>
    <w:p>
      <w:pPr>
        <w:sectPr>
          <w:pgSz w:w="11900" w:h="16838" w:orient="portrait"/>
          <w:cols w:equalWidth="0" w:num="4">
            <w:col w:w="3060" w:space="720"/>
            <w:col w:w="1560" w:space="720"/>
            <w:col w:w="1620" w:space="600"/>
            <w:col w:w="3140"/>
          </w:cols>
          <w:pgMar w:left="240" w:top="685" w:right="239" w:bottom="65" w:gutter="0" w:footer="0" w:header="0"/>
          <w:type w:val="continuous"/>
        </w:sectPr>
      </w:pPr>
    </w:p>
    <w:bookmarkStart w:id="1" w:name="page2"/>
    <w:bookmarkEnd w:id="1"/>
    <w:p>
      <w:pPr>
        <w:ind w:firstLine="395"/>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3" w:lineRule="exact"/>
        <w:rPr>
          <w:sz w:val="20"/>
          <w:szCs w:val="20"/>
          <w:color w:val="auto"/>
        </w:rPr>
      </w:pPr>
    </w:p>
    <w:p>
      <w:pPr>
        <w:ind w:left="400"/>
        <w:spacing w:after="0" w:line="184" w:lineRule="exact"/>
        <w:tabs>
          <w:tab w:leader="none" w:pos="8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tab/>
        <w:t xml:space="preserve">No </w:t>
      </w:r>
      <w:r>
        <w:rPr>
          <w:rFonts w:ascii="MS PGothic" w:cs="MS PGothic" w:eastAsia="MS PGothic" w:hAnsi="MS PGothic"/>
          <w:sz w:val="16"/>
          <w:szCs w:val="16"/>
          <w:color w:val="auto"/>
        </w:rPr>
        <w:t>☒</w:t>
      </w:r>
    </w:p>
    <w:p>
      <w:pPr>
        <w:spacing w:after="0" w:line="281"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The aggregate market value of the registrant's common stock held by non-affiliates as of June 30, 2018 was $79 million.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common stock outstanding at February 28, 2019 was 12,439,730 shares.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Portions of the definitive Proxy Statement for our 2019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CELLDEX THERAPEUTICS,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1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0" w:type="dxa"/>
            <w:vAlign w:val="bottom"/>
            <w:gridSpan w:val="2"/>
            <w:vMerge w:val="restart"/>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Part I</w:t>
              </w:r>
            </w:hyperlink>
          </w:p>
        </w:tc>
        <w:tc>
          <w:tcPr>
            <w:tcW w:w="140" w:type="dxa"/>
            <w:vAlign w:val="bottom"/>
            <w:gridSpan w:val="3"/>
            <w:vMerge w:val="restart"/>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400" w:type="dxa"/>
            <w:vAlign w:val="bottom"/>
            <w:tcBorders>
              <w:bottom w:val="single" w:sz="8" w:color="0000EE"/>
            </w:tcBorders>
            <w:gridSpan w:val="2"/>
            <w:vMerge w:val="continue"/>
          </w:tcPr>
          <w:p>
            <w:pPr>
              <w:spacing w:after="0"/>
              <w:rPr>
                <w:sz w:val="14"/>
                <w:szCs w:val="14"/>
                <w:color w:val="auto"/>
              </w:rPr>
            </w:pPr>
          </w:p>
        </w:tc>
        <w:tc>
          <w:tcPr>
            <w:tcW w:w="1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6">
              <w:r>
                <w:rPr>
                  <w:rFonts w:ascii="Arial" w:cs="Arial" w:eastAsia="Arial" w:hAnsi="Arial"/>
                  <w:sz w:val="16"/>
                  <w:szCs w:val="16"/>
                  <w:color w:val="0000EE"/>
                  <w:w w:val="74"/>
                </w:rPr>
                <w:t>1.</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28">
              <w:r>
                <w:rPr>
                  <w:rFonts w:ascii="Arial" w:cs="Arial" w:eastAsia="Arial" w:hAnsi="Arial"/>
                  <w:sz w:val="18"/>
                  <w:szCs w:val="18"/>
                  <w:color w:val="0000EE"/>
                  <w:w w:val="96"/>
                </w:rPr>
                <w:t>Item</w:t>
              </w:r>
            </w:hyperlink>
          </w:p>
        </w:tc>
        <w:tc>
          <w:tcPr>
            <w:tcW w:w="220" w:type="dxa"/>
            <w:vAlign w:val="bottom"/>
            <w:tcBorders>
              <w:bottom w:val="single" w:sz="8" w:color="0000EE"/>
            </w:tcBorders>
            <w:gridSpan w:val="2"/>
          </w:tcPr>
          <w:p>
            <w:pPr>
              <w:ind w:left="20"/>
              <w:spacing w:after="0"/>
              <w:rPr>
                <w:rFonts w:ascii="Arial" w:cs="Arial" w:eastAsia="Arial" w:hAnsi="Arial"/>
                <w:sz w:val="15"/>
                <w:szCs w:val="15"/>
                <w:color w:val="0000EE"/>
                <w:w w:val="70"/>
              </w:rPr>
            </w:pPr>
            <w:hyperlink w:anchor="page28">
              <w:r>
                <w:rPr>
                  <w:rFonts w:ascii="Arial" w:cs="Arial" w:eastAsia="Arial" w:hAnsi="Arial"/>
                  <w:sz w:val="15"/>
                  <w:szCs w:val="15"/>
                  <w:color w:val="0000EE"/>
                  <w:w w:val="70"/>
                </w:rPr>
                <w:t>1A.</w:t>
              </w:r>
            </w:hyperlink>
          </w:p>
        </w:tc>
        <w:tc>
          <w:tcPr>
            <w:tcW w:w="42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6480" w:type="dxa"/>
            <w:vAlign w:val="bottom"/>
            <w:gridSpan w:val="1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Item</w:t>
              </w:r>
            </w:hyperlink>
          </w:p>
        </w:tc>
        <w:tc>
          <w:tcPr>
            <w:tcW w:w="640" w:type="dxa"/>
            <w:vAlign w:val="bottom"/>
            <w:gridSpan w:val="3"/>
          </w:tcPr>
          <w:p>
            <w:pPr>
              <w:ind w:left="2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1B.</w:t>
              </w:r>
            </w:hyperlink>
          </w:p>
        </w:tc>
        <w:tc>
          <w:tcPr>
            <w:tcW w:w="7380" w:type="dxa"/>
            <w:vAlign w:val="bottom"/>
            <w:gridSpan w:val="2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Unresolved Staff Comments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Item</w:t>
              </w:r>
            </w:hyperlink>
          </w:p>
        </w:tc>
        <w:tc>
          <w:tcPr>
            <w:tcW w:w="140" w:type="dxa"/>
            <w:vAlign w:val="bottom"/>
            <w:tcBorders>
              <w:top w:val="single" w:sz="8" w:color="0000EE"/>
              <w:bottom w:val="single" w:sz="8" w:color="0000EE"/>
            </w:tcBorders>
          </w:tcPr>
          <w:p>
            <w:pPr>
              <w:ind w:left="20"/>
              <w:spacing w:after="0"/>
              <w:rPr>
                <w:rFonts w:ascii="Arial" w:cs="Arial" w:eastAsia="Arial" w:hAnsi="Arial"/>
                <w:sz w:val="16"/>
                <w:szCs w:val="16"/>
                <w:color w:val="0000EE"/>
                <w:w w:val="74"/>
              </w:rPr>
            </w:pPr>
            <w:hyperlink w:anchor="page57">
              <w:r>
                <w:rPr>
                  <w:rFonts w:ascii="Arial" w:cs="Arial" w:eastAsia="Arial" w:hAnsi="Arial"/>
                  <w:sz w:val="16"/>
                  <w:szCs w:val="16"/>
                  <w:color w:val="0000EE"/>
                  <w:w w:val="74"/>
                </w:rPr>
                <w:t>2.</w:t>
              </w:r>
            </w:hyperlink>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Properties</w:t>
              </w:r>
            </w:hyperlink>
          </w:p>
        </w:tc>
        <w:tc>
          <w:tcPr>
            <w:tcW w:w="1280" w:type="dxa"/>
            <w:vAlign w:val="bottom"/>
            <w:tcBorders>
              <w:top w:val="single" w:sz="8" w:color="0000EE"/>
            </w:tcBorders>
            <w:gridSpan w:val="8"/>
          </w:tcPr>
          <w:p>
            <w:pPr>
              <w:spacing w:after="0"/>
              <w:rPr>
                <w:sz w:val="17"/>
                <w:szCs w:val="17"/>
                <w:color w:val="auto"/>
              </w:rPr>
            </w:pPr>
          </w:p>
        </w:tc>
        <w:tc>
          <w:tcPr>
            <w:tcW w:w="5380" w:type="dxa"/>
            <w:vAlign w:val="bottom"/>
            <w:gridSpan w:val="11"/>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52</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57">
              <w:r>
                <w:rPr>
                  <w:rFonts w:ascii="Arial" w:cs="Arial" w:eastAsia="Arial" w:hAnsi="Arial"/>
                  <w:sz w:val="16"/>
                  <w:szCs w:val="16"/>
                  <w:color w:val="0000EE"/>
                  <w:w w:val="74"/>
                </w:rPr>
                <w:t>3.</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57">
              <w:r>
                <w:rPr>
                  <w:rFonts w:ascii="Arial" w:cs="Arial" w:eastAsia="Arial" w:hAnsi="Arial"/>
                  <w:sz w:val="16"/>
                  <w:szCs w:val="16"/>
                  <w:color w:val="0000EE"/>
                  <w:w w:val="74"/>
                </w:rPr>
                <w:t>4.</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Mine Safety Disclosures</w:t>
              </w:r>
            </w:hyperlink>
          </w:p>
        </w:tc>
        <w:tc>
          <w:tcPr>
            <w:tcW w:w="5640" w:type="dxa"/>
            <w:vAlign w:val="bottom"/>
            <w:gridSpan w:val="1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52</w:t>
              </w:r>
            </w:hyperlink>
          </w:p>
        </w:tc>
        <w:tc>
          <w:tcPr>
            <w:tcW w:w="0" w:type="dxa"/>
            <w:vAlign w:val="bottom"/>
          </w:tcPr>
          <w:p>
            <w:pPr>
              <w:spacing w:after="0"/>
              <w:rPr>
                <w:sz w:val="1"/>
                <w:szCs w:val="1"/>
                <w:color w:val="auto"/>
              </w:rPr>
            </w:pPr>
          </w:p>
        </w:tc>
      </w:tr>
      <w:tr>
        <w:trPr>
          <w:trHeight w:val="196"/>
        </w:trPr>
        <w:tc>
          <w:tcPr>
            <w:tcW w:w="4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Part II</w:t>
              </w:r>
            </w:hyperlink>
          </w:p>
        </w:tc>
        <w:tc>
          <w:tcPr>
            <w:tcW w:w="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58">
              <w:r>
                <w:rPr>
                  <w:rFonts w:ascii="Arial" w:cs="Arial" w:eastAsia="Arial" w:hAnsi="Arial"/>
                  <w:sz w:val="16"/>
                  <w:szCs w:val="16"/>
                  <w:color w:val="0000EE"/>
                  <w:w w:val="74"/>
                </w:rPr>
                <w:t>5.</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4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Market for Registrant's Common Equity, Related Stockholder Matters and Issuer Purchases of Equity</w:t>
              </w:r>
            </w:hyperlink>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58">
              <w:r>
                <w:rPr>
                  <w:rFonts w:ascii="Arial" w:cs="Arial" w:eastAsia="Arial" w:hAnsi="Arial"/>
                  <w:sz w:val="18"/>
                  <w:szCs w:val="18"/>
                  <w:color w:val="0000EE"/>
                  <w:w w:val="85"/>
                </w:rPr>
                <w:t>Securities</w:t>
              </w:r>
            </w:hyperlink>
          </w:p>
        </w:tc>
        <w:tc>
          <w:tcPr>
            <w:tcW w:w="6500" w:type="dxa"/>
            <w:vAlign w:val="bottom"/>
            <w:gridSpan w:val="18"/>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53</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60">
              <w:r>
                <w:rPr>
                  <w:rFonts w:ascii="Arial" w:cs="Arial" w:eastAsia="Arial" w:hAnsi="Arial"/>
                  <w:sz w:val="16"/>
                  <w:szCs w:val="16"/>
                  <w:color w:val="0000EE"/>
                  <w:w w:val="74"/>
                </w:rPr>
                <w:t>6.</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Selected Financial Data</w:t>
              </w:r>
            </w:hyperlink>
          </w:p>
        </w:tc>
        <w:tc>
          <w:tcPr>
            <w:tcW w:w="5700" w:type="dxa"/>
            <w:vAlign w:val="bottom"/>
            <w:gridSpan w:val="14"/>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61">
              <w:r>
                <w:rPr>
                  <w:rFonts w:ascii="Arial" w:cs="Arial" w:eastAsia="Arial" w:hAnsi="Arial"/>
                  <w:sz w:val="16"/>
                  <w:szCs w:val="16"/>
                  <w:color w:val="0000EE"/>
                  <w:w w:val="74"/>
                </w:rPr>
                <w:t>7.</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Item</w:t>
              </w:r>
            </w:hyperlink>
          </w:p>
        </w:tc>
        <w:tc>
          <w:tcPr>
            <w:tcW w:w="220" w:type="dxa"/>
            <w:vAlign w:val="bottom"/>
            <w:tcBorders>
              <w:bottom w:val="single" w:sz="8" w:color="0000EE"/>
            </w:tcBorders>
            <w:gridSpan w:val="2"/>
          </w:tcPr>
          <w:p>
            <w:pPr>
              <w:ind w:left="20"/>
              <w:spacing w:after="0"/>
              <w:rPr>
                <w:rFonts w:ascii="Arial" w:cs="Arial" w:eastAsia="Arial" w:hAnsi="Arial"/>
                <w:sz w:val="15"/>
                <w:szCs w:val="15"/>
                <w:color w:val="0000EE"/>
                <w:w w:val="70"/>
              </w:rPr>
            </w:pPr>
            <w:hyperlink w:anchor="page79">
              <w:r>
                <w:rPr>
                  <w:rFonts w:ascii="Arial" w:cs="Arial" w:eastAsia="Arial" w:hAnsi="Arial"/>
                  <w:sz w:val="15"/>
                  <w:szCs w:val="15"/>
                  <w:color w:val="0000EE"/>
                  <w:w w:val="70"/>
                </w:rPr>
                <w:t>7A.</w:t>
              </w:r>
            </w:hyperlink>
          </w:p>
        </w:tc>
        <w:tc>
          <w:tcPr>
            <w:tcW w:w="420" w:type="dxa"/>
            <w:vAlign w:val="bottom"/>
          </w:tcPr>
          <w:p>
            <w:pPr>
              <w:spacing w:after="0"/>
              <w:rPr>
                <w:sz w:val="17"/>
                <w:szCs w:val="17"/>
                <w:color w:val="auto"/>
              </w:rPr>
            </w:pPr>
          </w:p>
        </w:tc>
        <w:tc>
          <w:tcPr>
            <w:tcW w:w="42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Quantitative and Qualitative Disclosures About Market Risk</w:t>
              </w:r>
            </w:hyperlink>
          </w:p>
        </w:tc>
        <w:tc>
          <w:tcPr>
            <w:tcW w:w="312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Item</w:t>
              </w:r>
            </w:hyperlink>
          </w:p>
        </w:tc>
        <w:tc>
          <w:tcPr>
            <w:tcW w:w="140" w:type="dxa"/>
            <w:vAlign w:val="bottom"/>
            <w:tcBorders>
              <w:bottom w:val="single" w:sz="8" w:color="0000EE"/>
            </w:tcBorders>
          </w:tcPr>
          <w:p>
            <w:pPr>
              <w:ind w:left="20"/>
              <w:spacing w:after="0"/>
              <w:rPr>
                <w:rFonts w:ascii="Arial" w:cs="Arial" w:eastAsia="Arial" w:hAnsi="Arial"/>
                <w:sz w:val="16"/>
                <w:szCs w:val="16"/>
                <w:color w:val="0000EE"/>
                <w:w w:val="74"/>
              </w:rPr>
            </w:pPr>
            <w:hyperlink w:anchor="page80">
              <w:r>
                <w:rPr>
                  <w:rFonts w:ascii="Arial" w:cs="Arial" w:eastAsia="Arial" w:hAnsi="Arial"/>
                  <w:sz w:val="16"/>
                  <w:szCs w:val="16"/>
                  <w:color w:val="0000EE"/>
                  <w:w w:val="74"/>
                </w:rPr>
                <w:t>8.</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Financial Statements and Supplementary Data</w:t>
              </w:r>
            </w:hyperlink>
          </w:p>
        </w:tc>
        <w:tc>
          <w:tcPr>
            <w:tcW w:w="4120" w:type="dxa"/>
            <w:vAlign w:val="bottom"/>
            <w:gridSpan w:val="8"/>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2">
              <w:r>
                <w:rPr>
                  <w:rFonts w:ascii="Arial" w:cs="Arial" w:eastAsia="Arial" w:hAnsi="Arial"/>
                  <w:sz w:val="18"/>
                  <w:szCs w:val="18"/>
                  <w:color w:val="0000EE"/>
                  <w:w w:val="96"/>
                </w:rPr>
                <w:t>Item</w:t>
              </w:r>
            </w:hyperlink>
          </w:p>
        </w:tc>
        <w:tc>
          <w:tcPr>
            <w:tcW w:w="140" w:type="dxa"/>
            <w:vAlign w:val="bottom"/>
          </w:tcPr>
          <w:p>
            <w:pPr>
              <w:ind w:left="20"/>
              <w:spacing w:after="0"/>
              <w:rPr>
                <w:rFonts w:ascii="Arial" w:cs="Arial" w:eastAsia="Arial" w:hAnsi="Arial"/>
                <w:sz w:val="16"/>
                <w:szCs w:val="16"/>
                <w:color w:val="0000EE"/>
                <w:w w:val="74"/>
              </w:rPr>
            </w:pPr>
            <w:hyperlink w:anchor="page112">
              <w:r>
                <w:rPr>
                  <w:rFonts w:ascii="Arial" w:cs="Arial" w:eastAsia="Arial" w:hAnsi="Arial"/>
                  <w:sz w:val="16"/>
                  <w:szCs w:val="16"/>
                  <w:color w:val="0000EE"/>
                  <w:w w:val="74"/>
                </w:rPr>
                <w:t>9.</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60" w:type="dxa"/>
            <w:vAlign w:val="bottom"/>
            <w:gridSpan w:val="19"/>
          </w:tcPr>
          <w:p>
            <w:pPr>
              <w:spacing w:after="0" w:line="196"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Changes in and Disagreements With Accountants on Accounting and Financial Disclosure</w:t>
              </w:r>
            </w:hyperlink>
          </w:p>
        </w:tc>
        <w:tc>
          <w:tcPr>
            <w:tcW w:w="1020" w:type="dxa"/>
            <w:vAlign w:val="bottom"/>
            <w:gridSpan w:val="3"/>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107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2">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5"/>
                <w:szCs w:val="15"/>
                <w:color w:val="0000EE"/>
                <w:w w:val="70"/>
              </w:rPr>
            </w:pPr>
            <w:hyperlink w:anchor="page112">
              <w:r>
                <w:rPr>
                  <w:rFonts w:ascii="Arial" w:cs="Arial" w:eastAsia="Arial" w:hAnsi="Arial"/>
                  <w:sz w:val="15"/>
                  <w:szCs w:val="15"/>
                  <w:color w:val="0000EE"/>
                  <w:w w:val="70"/>
                </w:rPr>
                <w:t>9A.</w:t>
              </w:r>
            </w:hyperlink>
          </w:p>
        </w:tc>
        <w:tc>
          <w:tcPr>
            <w:tcW w:w="420" w:type="dxa"/>
            <w:vAlign w:val="bottom"/>
          </w:tcPr>
          <w:p>
            <w:pPr>
              <w:spacing w:after="0"/>
              <w:rPr>
                <w:sz w:val="17"/>
                <w:szCs w:val="17"/>
                <w:color w:val="auto"/>
              </w:rPr>
            </w:pPr>
          </w:p>
        </w:tc>
        <w:tc>
          <w:tcPr>
            <w:tcW w:w="1740" w:type="dxa"/>
            <w:vAlign w:val="bottom"/>
            <w:gridSpan w:val="9"/>
          </w:tcPr>
          <w:p>
            <w:pPr>
              <w:spacing w:after="0" w:line="196" w:lineRule="exact"/>
              <w:rPr>
                <w:rFonts w:ascii="Arial" w:cs="Arial" w:eastAsia="Arial" w:hAnsi="Arial"/>
                <w:sz w:val="18"/>
                <w:szCs w:val="18"/>
                <w:color w:val="0000EE"/>
                <w:w w:val="86"/>
              </w:rPr>
            </w:pPr>
            <w:hyperlink w:anchor="page112">
              <w:r>
                <w:rPr>
                  <w:rFonts w:ascii="Arial" w:cs="Arial" w:eastAsia="Arial" w:hAnsi="Arial"/>
                  <w:sz w:val="18"/>
                  <w:szCs w:val="18"/>
                  <w:color w:val="0000EE"/>
                  <w:w w:val="86"/>
                </w:rPr>
                <w:t>Controls and Procedures</w:t>
              </w:r>
            </w:hyperlink>
          </w:p>
        </w:tc>
        <w:tc>
          <w:tcPr>
            <w:tcW w:w="5640" w:type="dxa"/>
            <w:vAlign w:val="bottom"/>
            <w:gridSpan w:val="13"/>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107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3">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5"/>
                <w:szCs w:val="15"/>
                <w:color w:val="0000EE"/>
                <w:w w:val="70"/>
              </w:rPr>
            </w:pPr>
            <w:hyperlink w:anchor="page113">
              <w:r>
                <w:rPr>
                  <w:rFonts w:ascii="Arial" w:cs="Arial" w:eastAsia="Arial" w:hAnsi="Arial"/>
                  <w:sz w:val="15"/>
                  <w:szCs w:val="15"/>
                  <w:color w:val="0000EE"/>
                  <w:w w:val="70"/>
                </w:rPr>
                <w:t>9B.</w:t>
              </w:r>
            </w:hyperlink>
          </w:p>
        </w:tc>
        <w:tc>
          <w:tcPr>
            <w:tcW w:w="420" w:type="dxa"/>
            <w:vAlign w:val="bottom"/>
          </w:tcPr>
          <w:p>
            <w:pPr>
              <w:spacing w:after="0"/>
              <w:rPr>
                <w:sz w:val="17"/>
                <w:szCs w:val="17"/>
                <w:color w:val="auto"/>
              </w:rPr>
            </w:pPr>
          </w:p>
        </w:tc>
        <w:tc>
          <w:tcPr>
            <w:tcW w:w="1740" w:type="dxa"/>
            <w:vAlign w:val="bottom"/>
            <w:gridSpan w:val="9"/>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Other Information</w:t>
              </w:r>
            </w:hyperlink>
          </w:p>
        </w:tc>
        <w:tc>
          <w:tcPr>
            <w:tcW w:w="5640" w:type="dxa"/>
            <w:vAlign w:val="bottom"/>
            <w:gridSpan w:val="13"/>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13">
              <w:r>
                <w:rPr>
                  <w:rFonts w:ascii="Arial" w:cs="Arial" w:eastAsia="Arial" w:hAnsi="Arial"/>
                  <w:sz w:val="18"/>
                  <w:szCs w:val="18"/>
                  <w:color w:val="0000EE"/>
                  <w:w w:val="94"/>
                </w:rPr>
                <w:t>Part III</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3">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13">
              <w:r>
                <w:rPr>
                  <w:rFonts w:ascii="Arial" w:cs="Arial" w:eastAsia="Arial" w:hAnsi="Arial"/>
                  <w:sz w:val="16"/>
                  <w:szCs w:val="16"/>
                  <w:color w:val="0000EE"/>
                  <w:w w:val="71"/>
                </w:rPr>
                <w:t>10.</w:t>
              </w:r>
            </w:hyperlink>
          </w:p>
        </w:tc>
        <w:tc>
          <w:tcPr>
            <w:tcW w:w="420" w:type="dxa"/>
            <w:vAlign w:val="bottom"/>
          </w:tcPr>
          <w:p>
            <w:pPr>
              <w:spacing w:after="0"/>
              <w:rPr>
                <w:sz w:val="17"/>
                <w:szCs w:val="17"/>
                <w:color w:val="auto"/>
              </w:rPr>
            </w:pPr>
          </w:p>
        </w:tc>
        <w:tc>
          <w:tcPr>
            <w:tcW w:w="4000" w:type="dxa"/>
            <w:vAlign w:val="bottom"/>
            <w:gridSpan w:val="15"/>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Directors, Executive Officers and Corporate Governance</w:t>
              </w:r>
            </w:hyperlink>
          </w:p>
        </w:tc>
        <w:tc>
          <w:tcPr>
            <w:tcW w:w="3380" w:type="dxa"/>
            <w:vAlign w:val="bottom"/>
            <w:gridSpan w:val="7"/>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3">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13">
              <w:r>
                <w:rPr>
                  <w:rFonts w:ascii="Arial" w:cs="Arial" w:eastAsia="Arial" w:hAnsi="Arial"/>
                  <w:sz w:val="16"/>
                  <w:szCs w:val="16"/>
                  <w:color w:val="0000EE"/>
                  <w:w w:val="71"/>
                </w:rPr>
                <w:t>11.</w:t>
              </w:r>
            </w:hyperlink>
          </w:p>
        </w:tc>
        <w:tc>
          <w:tcPr>
            <w:tcW w:w="420" w:type="dxa"/>
            <w:vAlign w:val="bottom"/>
          </w:tcPr>
          <w:p>
            <w:pPr>
              <w:spacing w:after="0"/>
              <w:rPr>
                <w:sz w:val="17"/>
                <w:szCs w:val="17"/>
                <w:color w:val="auto"/>
              </w:rPr>
            </w:pPr>
          </w:p>
        </w:tc>
        <w:tc>
          <w:tcPr>
            <w:tcW w:w="4000" w:type="dxa"/>
            <w:vAlign w:val="bottom"/>
            <w:gridSpan w:val="15"/>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Executive Compensation</w:t>
              </w:r>
            </w:hyperlink>
          </w:p>
        </w:tc>
        <w:tc>
          <w:tcPr>
            <w:tcW w:w="3380" w:type="dxa"/>
            <w:vAlign w:val="bottom"/>
            <w:gridSpan w:val="7"/>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3">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13">
              <w:r>
                <w:rPr>
                  <w:rFonts w:ascii="Arial" w:cs="Arial" w:eastAsia="Arial" w:hAnsi="Arial"/>
                  <w:sz w:val="16"/>
                  <w:szCs w:val="16"/>
                  <w:color w:val="0000EE"/>
                  <w:w w:val="71"/>
                </w:rPr>
                <w:t>12.</w:t>
              </w:r>
            </w:hyperlink>
          </w:p>
        </w:tc>
        <w:tc>
          <w:tcPr>
            <w:tcW w:w="420" w:type="dxa"/>
            <w:vAlign w:val="bottom"/>
          </w:tcPr>
          <w:p>
            <w:pPr>
              <w:spacing w:after="0"/>
              <w:rPr>
                <w:sz w:val="17"/>
                <w:szCs w:val="17"/>
                <w:color w:val="auto"/>
              </w:rPr>
            </w:pPr>
          </w:p>
        </w:tc>
        <w:tc>
          <w:tcPr>
            <w:tcW w:w="7120" w:type="dxa"/>
            <w:vAlign w:val="bottom"/>
            <w:gridSpan w:val="20"/>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Security Ownership of Certain Beneficial Owners and Management and Related Stockholder Matters</w:t>
              </w:r>
            </w:hyperlink>
          </w:p>
        </w:tc>
        <w:tc>
          <w:tcPr>
            <w:tcW w:w="260" w:type="dxa"/>
            <w:vAlign w:val="bottom"/>
            <w:gridSpan w:val="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3">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13">
              <w:r>
                <w:rPr>
                  <w:rFonts w:ascii="Arial" w:cs="Arial" w:eastAsia="Arial" w:hAnsi="Arial"/>
                  <w:sz w:val="16"/>
                  <w:szCs w:val="16"/>
                  <w:color w:val="0000EE"/>
                  <w:w w:val="71"/>
                </w:rPr>
                <w:t>13.</w:t>
              </w:r>
            </w:hyperlink>
          </w:p>
        </w:tc>
        <w:tc>
          <w:tcPr>
            <w:tcW w:w="420" w:type="dxa"/>
            <w:vAlign w:val="bottom"/>
          </w:tcPr>
          <w:p>
            <w:pPr>
              <w:spacing w:after="0"/>
              <w:rPr>
                <w:sz w:val="17"/>
                <w:szCs w:val="17"/>
                <w:color w:val="auto"/>
              </w:rPr>
            </w:pPr>
          </w:p>
        </w:tc>
        <w:tc>
          <w:tcPr>
            <w:tcW w:w="7120" w:type="dxa"/>
            <w:vAlign w:val="bottom"/>
            <w:gridSpan w:val="20"/>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Certain Relationships and Related Transactions, and Director Independence</w:t>
              </w:r>
            </w:hyperlink>
          </w:p>
        </w:tc>
        <w:tc>
          <w:tcPr>
            <w:tcW w:w="260" w:type="dxa"/>
            <w:vAlign w:val="bottom"/>
            <w:gridSpan w:val="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4">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14">
              <w:r>
                <w:rPr>
                  <w:rFonts w:ascii="Arial" w:cs="Arial" w:eastAsia="Arial" w:hAnsi="Arial"/>
                  <w:sz w:val="16"/>
                  <w:szCs w:val="16"/>
                  <w:color w:val="0000EE"/>
                  <w:w w:val="71"/>
                </w:rPr>
                <w:t>14.</w:t>
              </w:r>
            </w:hyperlink>
          </w:p>
        </w:tc>
        <w:tc>
          <w:tcPr>
            <w:tcW w:w="420" w:type="dxa"/>
            <w:vAlign w:val="bottom"/>
          </w:tcPr>
          <w:p>
            <w:pPr>
              <w:spacing w:after="0"/>
              <w:rPr>
                <w:sz w:val="17"/>
                <w:szCs w:val="17"/>
                <w:color w:val="auto"/>
              </w:rPr>
            </w:pPr>
          </w:p>
        </w:tc>
        <w:tc>
          <w:tcPr>
            <w:tcW w:w="2800" w:type="dxa"/>
            <w:vAlign w:val="bottom"/>
            <w:gridSpan w:val="12"/>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Principal Accountant Fees and Services</w:t>
              </w:r>
            </w:hyperlink>
          </w:p>
        </w:tc>
        <w:tc>
          <w:tcPr>
            <w:tcW w:w="2520" w:type="dxa"/>
            <w:vAlign w:val="bottom"/>
            <w:gridSpan w:val="5"/>
          </w:tcPr>
          <w:p>
            <w:pPr>
              <w:spacing w:after="0"/>
              <w:rPr>
                <w:sz w:val="17"/>
                <w:szCs w:val="17"/>
                <w:color w:val="auto"/>
              </w:rPr>
            </w:pPr>
          </w:p>
        </w:tc>
        <w:tc>
          <w:tcPr>
            <w:tcW w:w="2060" w:type="dxa"/>
            <w:vAlign w:val="bottom"/>
            <w:gridSpan w:val="5"/>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109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5"/>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Part IV</w:t>
              </w:r>
            </w:hyperlink>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115">
              <w:r>
                <w:rPr>
                  <w:rFonts w:ascii="Arial" w:cs="Arial" w:eastAsia="Arial" w:hAnsi="Arial"/>
                  <w:sz w:val="18"/>
                  <w:szCs w:val="18"/>
                  <w:color w:val="0000EE"/>
                  <w:w w:val="91"/>
                </w:rPr>
                <w:t>Item</w:t>
              </w:r>
            </w:hyperlink>
          </w:p>
        </w:tc>
        <w:tc>
          <w:tcPr>
            <w:tcW w:w="20" w:type="dxa"/>
            <w:vAlign w:val="bottom"/>
          </w:tcPr>
          <w:p>
            <w:pPr>
              <w:spacing w:after="0"/>
              <w:rPr>
                <w:sz w:val="17"/>
                <w:szCs w:val="17"/>
                <w:color w:val="auto"/>
              </w:rPr>
            </w:pPr>
          </w:p>
        </w:tc>
        <w:tc>
          <w:tcPr>
            <w:tcW w:w="220" w:type="dxa"/>
            <w:vAlign w:val="bottom"/>
            <w:gridSpan w:val="2"/>
          </w:tcPr>
          <w:p>
            <w:pPr>
              <w:ind w:left="20"/>
              <w:spacing w:after="0"/>
              <w:rPr>
                <w:rFonts w:ascii="Arial" w:cs="Arial" w:eastAsia="Arial" w:hAnsi="Arial"/>
                <w:sz w:val="16"/>
                <w:szCs w:val="16"/>
                <w:color w:val="0000EE"/>
                <w:w w:val="71"/>
              </w:rPr>
            </w:pPr>
            <w:hyperlink w:anchor="page115">
              <w:r>
                <w:rPr>
                  <w:rFonts w:ascii="Arial" w:cs="Arial" w:eastAsia="Arial" w:hAnsi="Arial"/>
                  <w:sz w:val="16"/>
                  <w:szCs w:val="16"/>
                  <w:color w:val="0000EE"/>
                  <w:w w:val="71"/>
                </w:rPr>
                <w:t>15.</w:t>
              </w:r>
            </w:hyperlink>
          </w:p>
        </w:tc>
        <w:tc>
          <w:tcPr>
            <w:tcW w:w="420" w:type="dxa"/>
            <w:vAlign w:val="bottom"/>
          </w:tcPr>
          <w:p>
            <w:pPr>
              <w:spacing w:after="0"/>
              <w:rPr>
                <w:sz w:val="17"/>
                <w:szCs w:val="17"/>
                <w:color w:val="auto"/>
              </w:rPr>
            </w:pPr>
          </w:p>
        </w:tc>
        <w:tc>
          <w:tcPr>
            <w:tcW w:w="2840" w:type="dxa"/>
            <w:vAlign w:val="bottom"/>
            <w:gridSpan w:val="13"/>
          </w:tcPr>
          <w:p>
            <w:pPr>
              <w:spacing w:after="0" w:line="196" w:lineRule="exact"/>
              <w:rPr>
                <w:rFonts w:ascii="Arial" w:cs="Arial" w:eastAsia="Arial" w:hAnsi="Arial"/>
                <w:sz w:val="18"/>
                <w:szCs w:val="18"/>
                <w:color w:val="0000EE"/>
                <w:w w:val="87"/>
              </w:rPr>
            </w:pPr>
            <w:hyperlink w:anchor="page115">
              <w:r>
                <w:rPr>
                  <w:rFonts w:ascii="Arial" w:cs="Arial" w:eastAsia="Arial" w:hAnsi="Arial"/>
                  <w:sz w:val="18"/>
                  <w:szCs w:val="18"/>
                  <w:color w:val="0000EE"/>
                  <w:w w:val="87"/>
                </w:rPr>
                <w:t>Exhibits, Financial Statement Schedules</w:t>
              </w:r>
            </w:hyperlink>
          </w:p>
        </w:tc>
        <w:tc>
          <w:tcPr>
            <w:tcW w:w="4540" w:type="dxa"/>
            <w:vAlign w:val="bottom"/>
            <w:gridSpan w:val="9"/>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Item</w:t>
              </w:r>
            </w:hyperlink>
          </w:p>
        </w:tc>
        <w:tc>
          <w:tcPr>
            <w:tcW w:w="220" w:type="dxa"/>
            <w:vAlign w:val="bottom"/>
            <w:gridSpan w:val="2"/>
          </w:tcPr>
          <w:p>
            <w:pPr>
              <w:ind w:left="20"/>
              <w:spacing w:after="0"/>
              <w:rPr>
                <w:rFonts w:ascii="Arial" w:cs="Arial" w:eastAsia="Arial" w:hAnsi="Arial"/>
                <w:sz w:val="16"/>
                <w:szCs w:val="16"/>
                <w:color w:val="0000EE"/>
                <w:w w:val="71"/>
              </w:rPr>
            </w:pPr>
            <w:hyperlink w:anchor="page118">
              <w:r>
                <w:rPr>
                  <w:rFonts w:ascii="Arial" w:cs="Arial" w:eastAsia="Arial" w:hAnsi="Arial"/>
                  <w:sz w:val="16"/>
                  <w:szCs w:val="16"/>
                  <w:color w:val="0000EE"/>
                  <w:w w:val="71"/>
                </w:rPr>
                <w:t>16.</w:t>
              </w:r>
            </w:hyperlink>
          </w:p>
        </w:tc>
        <w:tc>
          <w:tcPr>
            <w:tcW w:w="420" w:type="dxa"/>
            <w:vAlign w:val="bottom"/>
          </w:tcPr>
          <w:p>
            <w:pPr>
              <w:spacing w:after="0"/>
              <w:rPr>
                <w:sz w:val="17"/>
                <w:szCs w:val="17"/>
                <w:color w:val="auto"/>
              </w:rPr>
            </w:pPr>
          </w:p>
        </w:tc>
        <w:tc>
          <w:tcPr>
            <w:tcW w:w="1520" w:type="dxa"/>
            <w:vAlign w:val="bottom"/>
            <w:gridSpan w:val="7"/>
          </w:tcPr>
          <w:p>
            <w:pPr>
              <w:spacing w:after="0" w:line="19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Form 10-K Summary</w:t>
              </w:r>
            </w:hyperlink>
          </w:p>
        </w:tc>
        <w:tc>
          <w:tcPr>
            <w:tcW w:w="1320" w:type="dxa"/>
            <w:vAlign w:val="bottom"/>
            <w:gridSpan w:val="6"/>
          </w:tcPr>
          <w:p>
            <w:pPr>
              <w:spacing w:after="0"/>
              <w:rPr>
                <w:sz w:val="17"/>
                <w:szCs w:val="17"/>
                <w:color w:val="auto"/>
              </w:rPr>
            </w:pPr>
          </w:p>
        </w:tc>
        <w:tc>
          <w:tcPr>
            <w:tcW w:w="4540" w:type="dxa"/>
            <w:vAlign w:val="bottom"/>
            <w:gridSpan w:val="9"/>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113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7"/>
          </w:tcPr>
          <w:p>
            <w:pPr>
              <w:spacing w:after="0" w:line="196" w:lineRule="exact"/>
              <w:rPr>
                <w:rFonts w:ascii="Arial" w:cs="Arial" w:eastAsia="Arial" w:hAnsi="Arial"/>
                <w:sz w:val="18"/>
                <w:szCs w:val="18"/>
                <w:color w:val="0000EE"/>
                <w:w w:val="83"/>
              </w:rPr>
            </w:pPr>
            <w:hyperlink w:anchor="page119">
              <w:r>
                <w:rPr>
                  <w:rFonts w:ascii="Arial" w:cs="Arial" w:eastAsia="Arial" w:hAnsi="Arial"/>
                  <w:sz w:val="18"/>
                  <w:szCs w:val="18"/>
                  <w:color w:val="0000EE"/>
                  <w:w w:val="83"/>
                </w:rPr>
                <w:t>Signatures</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Annual Report on Form 10-K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52" w:lineRule="exact"/>
        <w:rPr>
          <w:rFonts w:ascii="Arial" w:cs="Arial" w:eastAsia="Arial" w:hAnsi="Arial"/>
          <w:sz w:val="18"/>
          <w:szCs w:val="18"/>
          <w:color w:val="auto"/>
        </w:rPr>
      </w:pPr>
    </w:p>
    <w:p>
      <w:pPr>
        <w:ind w:left="1080" w:right="64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complete research and further development, including animal, preclinical and clinical studies, and, if we obtain regulatory approval, commercialization of our drug candidates and the growth of the markets for those drug candidates;</w:t>
      </w:r>
    </w:p>
    <w:p>
      <w:pPr>
        <w:spacing w:after="0" w:line="152" w:lineRule="exact"/>
        <w:rPr>
          <w:rFonts w:ascii="Arial" w:cs="Arial" w:eastAsia="Arial" w:hAnsi="Arial"/>
          <w:sz w:val="16"/>
          <w:szCs w:val="16"/>
          <w:color w:val="auto"/>
        </w:rPr>
      </w:pPr>
    </w:p>
    <w:p>
      <w:pPr>
        <w:ind w:left="1080" w:right="80" w:hanging="532"/>
        <w:spacing w:after="0" w:line="298"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sufficient capital to fund our animal, preclinical and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0" w:lineRule="exact"/>
        <w:rPr>
          <w:rFonts w:ascii="Arial" w:cs="Arial" w:eastAsia="Arial" w:hAnsi="Arial"/>
          <w:sz w:val="16"/>
          <w:szCs w:val="16"/>
          <w:color w:val="auto"/>
        </w:rPr>
      </w:pPr>
    </w:p>
    <w:p>
      <w:pPr>
        <w:ind w:left="1080" w:right="6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370"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without infringing the intellectual property rights of third parties;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"Risk Factors" in this Annual Report on Form 10-K.</w:t>
      </w:r>
    </w:p>
    <w:p>
      <w:pPr>
        <w:spacing w:after="0" w:line="225"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Celldex Therapeutics, Inc., which we refer to as "Celldex," "we," "us," "our" or the "Company," is a biopharmaceutical company focused on the development and commercialization of immunotherapies and other targeted biologics. Our drug candidates are derived from a broad set of complementary technologies which have the ability to engage the human immune system and/or directly inhibit tumors to treat specific types of cancer or other diseases. They are aimed at addressing market opportunities for which we believe current therapies are inadequate or non-existent.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39" w:lineRule="exact"/>
        <w:rPr>
          <w:sz w:val="20"/>
          <w:szCs w:val="20"/>
          <w:color w:val="auto"/>
        </w:rPr>
      </w:pPr>
    </w:p>
    <w:p>
      <w:pPr>
        <w:ind w:left="1080" w:right="30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CDX-1140, an agonist human monoclonal antibody targeted to CD40, a key activator of immune response, currently being studied as a single-agent and in combination with CDX-301 in a Phase 1 dose-escalation study in multiple types of solid tumors and B cell lymphomas;</w:t>
      </w:r>
    </w:p>
    <w:p>
      <w:pPr>
        <w:spacing w:after="0" w:line="166"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CDX-3379, a human monoclonal antibody designed to block the activity of ErbB3 (HER3), currently in an early Phase 2 study in advanced head and neck squamous cell cancer in combination with Erbitux®;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CDX-301, a dendritic cell growth factor, currently being evaluated in a combination study with CDX-1140; and</w:t>
      </w:r>
    </w:p>
    <w:p>
      <w:pPr>
        <w:spacing w:after="0" w:line="238"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Varlilumab, an immune modulating antibody targeting CD27 designed to enhance a patient's immune response, currently being evaluated for potential combination with CDX-1140, especially in lymphomas which co-express CD40 and CD27 receptors.</w:t>
      </w:r>
    </w:p>
    <w:p>
      <w:pPr>
        <w:spacing w:after="0" w:line="139"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seven studies ongoing with our prioritized drug candidates.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April 2018, we announced that our Phase 2b METRIC Study of glembatumumab vedotin in metastatic triple-negative breast cancer did not meet its primary endpoint. Based on this result, in the second quarter of 2018, we prioritized our pipeline and evaluated our operational and workforce needs to extend our financial resources and direct them to continued pipeline advancement. As previously disclosed, in line with this initiative and to conserve resources, we discontinued development of glembatumumab vedotin, CDX-014 and CDX-1401.</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67" w:lineRule="exact"/>
        <w:rPr>
          <w:sz w:val="20"/>
          <w:szCs w:val="20"/>
          <w:color w:val="auto"/>
        </w:rPr>
      </w:pPr>
    </w:p>
    <w:p>
      <w:pPr>
        <w:jc w:val="both"/>
        <w:ind w:right="20" w:firstLine="351"/>
        <w:spacing w:after="0" w:line="323" w:lineRule="auto"/>
        <w:rPr>
          <w:sz w:val="20"/>
          <w:szCs w:val="20"/>
          <w:color w:val="auto"/>
        </w:rPr>
      </w:pPr>
      <w:r>
        <w:rPr>
          <w:rFonts w:ascii="Arial" w:cs="Arial" w:eastAsia="Arial" w:hAnsi="Arial"/>
          <w:sz w:val="15"/>
          <w:szCs w:val="15"/>
          <w:color w:val="auto"/>
        </w:rPr>
        <w:t>Our future success depends upon many factors, including our ability, and that of any licensees and collaborators that we may have, to successfully develop, obtain regulatory approval for and commercialize our drug candidates.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rapidly identify the dose for characterizing single-agent and combination activity.</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initiated a Phase 1 study of CDX-1140 in November 2017. This study is expected to enroll up to approximately 180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To this end, in the second quarter of 2018, we amended the Phase 1 study protocol to also explore CDX-1140 in combination with CDX-301. Dendritic cells, which express CD40, are often rare or missing from the tumor microenvironment and are critical for initiating anti-tumor immunity. CDX-301 is being utilized to increase the number of dendritic cells in blood and tissue available for CDX-1140 activation. CDX-1140 should, in turn, activate and mature the dendritic cells, an important step for enhancing anti-tumor immune responses. Several B cell lymphomas, including diffuse large B-cell lymphoma and follicular lymphoma, also express both CD40 and CD27. Celldex's varlilumab is a potent CD27 agonist and has been shown to synergize with CDX-1140 in NHL models and may be evaluated in combination with CDX-1140 in the future.</w:t>
      </w:r>
    </w:p>
    <w:p>
      <w:pPr>
        <w:spacing w:after="0" w:line="174" w:lineRule="exact"/>
        <w:rPr>
          <w:sz w:val="20"/>
          <w:szCs w:val="20"/>
          <w:color w:val="auto"/>
        </w:rPr>
      </w:pPr>
    </w:p>
    <w:p>
      <w:pPr>
        <w:ind w:right="380" w:firstLine="351"/>
        <w:spacing w:after="0" w:line="305" w:lineRule="auto"/>
        <w:rPr>
          <w:sz w:val="20"/>
          <w:szCs w:val="20"/>
          <w:color w:val="auto"/>
        </w:rPr>
      </w:pPr>
      <w:r>
        <w:rPr>
          <w:rFonts w:ascii="Arial" w:cs="Arial" w:eastAsia="Arial" w:hAnsi="Arial"/>
          <w:sz w:val="15"/>
          <w:szCs w:val="15"/>
          <w:color w:val="auto"/>
        </w:rPr>
        <w:t>Interim data from the Phase 1 study were presented in November 2018 at the Society for Immunotherapy of Cancer (SITC) Annual Meeting. Seventeen patients with solid tumors were enrolled at the time of data analysis (n=13 monotherapy; n=4 combination). Four single-agent dosing cohorts were complete</w:t>
      </w:r>
    </w:p>
    <w:p>
      <w:pPr>
        <w:spacing w:after="0" w:line="288" w:lineRule="auto"/>
        <w:rPr>
          <w:sz w:val="20"/>
          <w:szCs w:val="20"/>
          <w:color w:val="auto"/>
        </w:rPr>
      </w:pPr>
      <w:r>
        <w:rPr>
          <w:rFonts w:ascii="Arial" w:cs="Arial" w:eastAsia="Arial" w:hAnsi="Arial"/>
          <w:sz w:val="16"/>
          <w:szCs w:val="16"/>
          <w:color w:val="auto"/>
        </w:rPr>
        <w:t>(0.01; 0.03, 0.09 and 0.18 mg/kg) and enrollment to the 0.36 mg/kg monotherapy cohort was ongoing. Enrollment to the first CDX-1140/CDX-301 combination cohort was also ongoing (0.09 mg/kg and 75 ug/kg, respectively). Dose dependent biological effects consistent with CD40-mediated immune activation were reported. CDX-1140 was well tolerated and no MTD had been reached. One patient experienced a grade 3 dose-limiting toxicity (DLT) (pneumonitis and hypoxia) at the single-agent 0.18 mg/kg dose. Per protocol, three additional patients were enrolled in the cohort and no additional DLTs have been observed in this or subsequent cohorts. While the CDX-1140 and CDX-301 combination cohort had just recently opened to enrollment at the time of presentation, preliminary evidence of enhanced immune activation was reported with no observed DLT. Across both arms of the study, there were no significant drug-related changes observed in liver function tests or platelets, which have been observed with other CD40 agonists. Continued enrollment is ongoing 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define the MTD and select a dose for disease-specific expansion cohorts that will be monitored for clinical activity. We plan to present updated data from the study at a future medical meeting in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in a Phase 2 study in combination with Erbitux in Erbitux-resistant, advanced head and neck squamous cell carcinoma.</w:t>
      </w:r>
    </w:p>
    <w:p>
      <w:pPr>
        <w:spacing w:after="0" w:line="174"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Phase 1a/1b study of CDX-3379 was conducted in solid tumors. The study included a single-agent, dose-escalation portion and combination expansion cohorts. The single-agent, dose-escalation portion of the study did not identify an MTD, and there were no dose limiting toxicities. Four combination arms across multiple tumor types were added to evaluate CDX-3379 with several drugs that target EGFR, HER2 or BRAF. They include combinations with Erbitux® (n=16), Tarceva® (n=8), Zelboraf® (n=9) and Herceptin®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durable complete response in a patient with head and neck cancer, who had been previously treated with Erbitux and was refractory. In the Zelboraf arm, there were two partial responses in patients who had lung cancer, one of whom had been previously treated with Tafinlar® and was considered refractory, as well as an unconfirmed partial response in a patient with thyroid cancer. Initial data were presented at the 2016 American Society of Clinical Oncology (ASCO) Annual Meeting.</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April 2018, results from a window-of-opportunity study evaluating the effect of CDX-3379 on potential biomarkers in patients with head and neck squamous cell carcinoma (HNSCC) were presented at the American Association for Cancer Research (AACR) Annual Meeting. The study enrolled 12 patients with newly diagnosed HNSCC who received two doses of CDX-3379, at a two-week interval prior to tumor resection. CDX-3379 reduced phosphorylated ErbB3 (pErbB3) levels in 83% (10/12) of patient samples, with greater than or equal to 50% decreases in 58% of patients (7/12), which met the primary study objective. Stable disease was observed in 92% (11/12) of patients prior to surgery, and a patient with HPV-negative disease experienced significant tumor shrinkage (92% in primary tumor; 26% in metastatic lesion). CDX-3379 was well-tolerated, and no treatment-related adverse events were observed.</w:t>
      </w:r>
    </w:p>
    <w:p>
      <w:pPr>
        <w:spacing w:after="0" w:line="17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Preclinical data from the combination of CDX-3379 and Erbitux in xenograft models of head and neck squamous cell carcinoma were also presented at the AACR Annual Meeting in April 2018. Combining CDX-3379 and Erbitux inhibited tumor growth more potently than Erbitux alone. Mechanistic studies demonstrated a reduction of PD-L1 expression from the combination.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87" w:lineRule="auto"/>
        <w:rPr>
          <w:sz w:val="20"/>
          <w:szCs w:val="20"/>
          <w:color w:val="auto"/>
        </w:rPr>
      </w:pPr>
      <w:r>
        <w:rPr>
          <w:rFonts w:ascii="Arial" w:cs="Arial" w:eastAsia="Arial" w:hAnsi="Arial"/>
          <w:sz w:val="16"/>
          <w:szCs w:val="16"/>
          <w:color w:val="auto"/>
        </w:rPr>
        <w:t>We have initiated an open-label Phase 2 study in combination with Erbitux in approximately 30 patients with human papillomavirus (HPV) negative, Erbitux-resistant, advanced head and neck squamous cell carcinoma who have previously been treated with an anti-PD1 checkpoint inhibitor, a population with limited options and a particularly poor prognosis. We opened the study to enrollment in November 2017. The study employs a Simon two-stage design with an interim futility analysis following enrollment of the first 13 patients. According to the study's two-stage design, if at least one patient achieves an objective response in the first stage, enrollment may progress to the second stage. Enrollment to the first stage of the Phase 2 study (n=13) is complete. While a confirmed complete response has been documented, Celldex will conduct a comprehensive review, including the full data set, before making decisions on future development, as patients are still undergoing treatment and are eligible for evaluation. The primary objective of the study is objective response rate. Secondary objectives include assessments of clinical benefit response (CBR), duration of response (DOR), progression-free survival (PFS) and overall survival (OS), and safety and pharmacokinetics associated with the combination. We plan to present updated data from the study at a future medical meeting in 2019. CDX-3379 is also being studied in an investigator-sponsored study.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Varlilumab is a fully human agonist monoclonal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models. Varlilumab was initially studied as a single-agent to establish a safety profile and assess immunologic and clinical activity in patients with cancer,</w:t>
      </w:r>
      <w:r>
        <w:rPr>
          <w:rFonts w:ascii="Arial" w:cs="Arial" w:eastAsia="Arial" w:hAnsi="Arial"/>
          <w:sz w:val="16"/>
          <w:szCs w:val="16"/>
          <w:i w:val="1"/>
          <w:iCs w:val="1"/>
          <w:color w:val="auto"/>
        </w:rPr>
        <w:t xml:space="preserve"> </w:t>
      </w:r>
      <w:r>
        <w:rPr>
          <w:rFonts w:ascii="Arial" w:cs="Arial" w:eastAsia="Arial" w:hAnsi="Arial"/>
          <w:sz w:val="16"/>
          <w:szCs w:val="16"/>
          <w:color w:val="auto"/>
        </w:rPr>
        <w:t>but we believe the greatest opportunity for varlilumab is as an immune activator in combination with other agents.</w:t>
      </w:r>
    </w:p>
    <w:p>
      <w:pPr>
        <w:spacing w:after="0" w:line="168"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color w:val="auto"/>
        </w:rPr>
        <w:t xml:space="preserve">Single-Agent Phase 1 Study: </w:t>
      </w:r>
      <w:r>
        <w:rPr>
          <w:rFonts w:ascii="Arial" w:cs="Arial" w:eastAsia="Arial" w:hAnsi="Arial"/>
          <w:sz w:val="16"/>
          <w:szCs w:val="16"/>
          <w:color w:val="auto"/>
        </w:rPr>
        <w:t>In an open-label Phase 1 study of varlilumab in patients with selected malignant solid tumors or hematologic cancers,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varlilumab demonstrated an acceptable safety profile and induced immunologic activity in patients that is consistent with both its proposed mechanism of action and data in preclinical models. A total of 90 patients received varlilumab in the study at multiple clinical sites in the U.S. In both the solid tumor and hematologic dose escalations, the pre-specified maximum dose level (10 mg/kg) was reached without identification of an MTD. The majority of adverse events, or AEs, related to treatment were mild to moderate (Grade 1/2) in severity, and no significant immune-mediated adverse events typically associated with checkpoint blockade were observed. Durable, multi-year clinical benefit was demonstrated in select patients without additional anti-cancer therapy. Final results from the study in patients with solid tumors were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April 2017.</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color w:val="auto"/>
        </w:rPr>
        <w:t xml:space="preserve">Phase 1/2 Varlilumab/Opdivo Combination Study: </w:t>
      </w:r>
      <w:r>
        <w:rPr>
          <w:rFonts w:ascii="Arial" w:cs="Arial" w:eastAsia="Arial" w:hAnsi="Arial"/>
          <w:sz w:val="16"/>
          <w:szCs w:val="16"/>
          <w:color w:val="auto"/>
        </w:rPr>
        <w:t>In 2014, we entered into a clinical trial collaboration with Bristol-Myers Squibb, or BMS, to</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 the safety, tolerability and preliminary efficacy of varlilumab and Opdivo, BMS' PD-1 immune checkpoint inhibitor, in a Phase 1/2 study. The Phase 1 portion of the study was initiated in January 2015 and conducted in adult patients with multiple solid tumors to assess the safety and tolerability of varlilumab at varying doses when administered with Opdivo. It was followed by a Phase 2 expansion to evaluate the activity of the combination in disease specific cohorts. Enrollment to the Phase 2 portion of the study was completed in January 2018 with cohorts in colorectal cancer (n=21), ovarian cancer (n=58), head and neck squamous cell carcinoma (n=24), renal cell carcinoma (n=14) and glioblastoma (n=22). The primary objective of the Phase 2 cohorts is objective response rate, or ORR, except glioblastoma, where the primary objective is the rate of 12-month OS.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Data from the ovarian and colorectal cancer cohorts were presented in an oral presentation at the 2018 ASCO Annual Meeting. Sixty-six patients with ovarian cancer were treated in the study (8 patients in Phase 1; 58 patients in Phase 2). Patients had a median of three prior lines of therapy, 91% had Stage IV disease and 66% had PD-L1 negative tumors. The overall response rate was 14% (n=9; 7 confirmed, 2 unconfirmed) across 64 response-evaluable patients. For patients with paired tumor samples (n=24) from before and during treatment, increases in tumor expression of PD-L1 and CD8+ TIL levels were observed. These increases were associated with improved clinical outcome, including improved PFS and response rate.</w:t>
      </w:r>
    </w:p>
    <w:p>
      <w:pPr>
        <w:spacing w:after="0" w:line="17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Forty-two patients with colorectal cancer were treated in the study (21 patients in Phase 1; 21 patients in Phase 2). Patients had a median of four prior lines of therapy, 100% had Stage IV disease and 87% had PD-L1 negative tumors. One patient had disease that was MSI-high and 21 patients had disease that was MSI-low/mismatch repair (MMR) proficient; MSI status for the remaining 20 patients was unknown. One patient with PD-L1 negative, MSI-high disease experienced a confirmed partial response in the Phase 2 study portion. Of note, a patient with PD-L1 negative disease, initially considered MMR proficient as determined by standard screening laboratory analysis, achieved a near complete response in the Phase 1 portion of the study, which continued at last follow-up at 39 months. This patient's tumor had a high mutational burden and mutations in genes regulating DNA repair, which together likely contributed to the response. Disease control rate for the response-evaluable population was 20% (8/41).</w:t>
      </w:r>
    </w:p>
    <w:p>
      <w:pPr>
        <w:spacing w:after="0" w:line="172"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In the second quarter of 2018, we reported preliminary data from the head and neck squamous cell carcinoma (HNSCC) and renal cell carcinoma (RCC) cohorts. Twenty-seven patients with HNSCC were treated in the study (3 patients in Phase 1; 24 patients in Phase 2). Patients had a median of two prior lines of therapy, 96% had Stage IV disease, 63% had PD-L1 negative tumors and 52% had HPV positive tumors. The overall response rate was 15% (n=4 confirmed) across 27 response-evaluable patients. In this small sample size, no correlation between PDL-1 status and clinical outcome was observed. Given the changing treatment paradigm in renal cell carcinoma, only fourteen patients with RCC were treated in the study, all in Phase 2. All patients had experienced prior angiogenic therapy, with a range of 1 to 4 prior treatments, 100% had Stage IV disease and 50% had PD-L1 negative tumors. 39% of patients experienced stable disease.</w:t>
      </w:r>
    </w:p>
    <w:p>
      <w:pPr>
        <w:spacing w:after="0" w:line="20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Data from the GBM cohort were presented in November 2018 at the Society for Neuro-oncology (SNO) Annual Meeting. 22 patients with recurrent GBM were treated in the study. The median duration of disease prior to study entry was 13 months. Methylation status was determined in 21 patients (n=5 methylated; n=16 unmethylated). The combination was generally well-tolerated and the safety profile was consistent with that of each agent alone. Without taking into account MGMT status or other prognostic factors, overall results were similar to nivolumab monotherapy in recurrent GBM (OS12 = 42%). In the subset of patients with unmethylated MGMT promoter, a durable therapeutic benefit was achieved (OS at 12 months =50%).</w:t>
      </w:r>
    </w:p>
    <w:p>
      <w:pPr>
        <w:spacing w:after="0" w:line="17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Future development of varlilumab is focused on inclusion in internal combination studies, including potentially in the ongoing Phase 1 trial of CDX-1140, and several external investigator-initiated studies.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CDX-301, a recombinant FMS-like tyrosine kinase 3 ligand, or Flt3L, is a hematopoietic cytokine that uniquely expands dendritic cells and hematopoietic stem cells, and in combination with other agents may potentiate anti-tumor responses. Depending on the setting, cells expanded by CDX-301 promote either enhanced or permissive immunity. We believe CDX-301 may hold significant opportunity for synergistic development in combination with other proprietary molecules in our portfolio, as well as with approved or investigational therapies for the treatment of cancer.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dendritic cell and hematopoietic stem cell populations in healthy volunteers. The study was published in the journal Bone Marrow Transplantation in 2015.</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CDX-301 is being used as a priming agent to potentially increase the number of cells available to respond to CDX-1140 in the ongoing Phase 1 trial of CDX-1140. CDX-301 is also in clinical development for multiple cancers in ongoing investigator-sponsored and collaborative studies, including in combination with treatments that release tumor antigens, such as radiation therapy.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Strategy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Immunotherapy Platform</w:t>
      </w:r>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believe there is untapped potential in immunotherapy that can be captured through the right combination and/or sequence of therapeutic agents. Immunotherapy approaches have encountered difficulties when following standard drug development. The mechanisms of action are complex; activity is generally not dependent on highest tolerated dose; and patient response is highly variable. Our understanding of the immune system, cancer's effect on immune mediated mechanisms and the impact of conventional therapies on the immune system provide a new rationale for combining therapies that may lead to significant clinical benefit for patients with cancer or other diseases.</w:t>
      </w:r>
    </w:p>
    <w:p>
      <w:pPr>
        <w:spacing w:after="0" w:line="1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intent is to leverage this knowledge to develop a pipeline of products which we believe may be very effective in combination approaches. Our goal is to design and develop targeted products that maximize the efficacy of immunotherapy regimens through combinations of therapeutic agents in significant and growing markets. We establish governmental and corporate alliances to fund development when appropriate and intend to commercialize our products either through our own direct selling efforts or, for products which we cannot develop ourselves through to commercialization, through corporate partners. This approach allows us to maximize the overall value of our technology and product portfolios while best ensuring the expeditious development of each individual product.</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Factors that may significantly harm our commercial success, and ultimately the market price of our common stock, include but are not limited to, announcements of technological innovations or new commercial products by our competitors, disclosure of unsuccessful results of clinical testing or regulatory proceedings and governmental approvals, adverse developments in patent or other proprietary rights, public concern about the safety of products developed by us and general economic and market conditions. See "Item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w:t>
      </w:r>
    </w:p>
    <w:p>
      <w:pPr>
        <w:spacing w:after="0" w:line="231"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We may enter into co-development and commercialization partnerships for any of our programs where appropriate.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businesses that we face. A delay or</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setback to a partner will, at a minimum, delay the commercialization of any affected drug candidates, and may ultimately prevent it. Moreover, any partner could breach its agreement with us or otherwise not use best efforts to promote our products. A partner may choose to pursue alternative technologies or products that compete with our technologies or drug candidates. In either case, if a partner failed to successfully develop one of our drug candidates, we would need to find another partner. Our ability to do so would depend upon our legal right to do so at the time and whether the product remained commercially viable.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License Agreements</w:t>
      </w:r>
    </w:p>
    <w:p>
      <w:pPr>
        <w:spacing w:after="0" w:line="231"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Summarized below are our significant research collaboration and license agreements for our later-stage drug candidates.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(Medarex), which was acquired by Bristol-Myers Squibb Company (BMS)</w:t>
      </w:r>
    </w:p>
    <w:p>
      <w:pPr>
        <w:spacing w:after="0" w:line="225"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Under a license agreement with Medarex, as amended, we acquired access to the UltiMab technology to develop and commercialize human antibodies to CD27, including varlilumab. We may be required to pay Medarex royalty payments in the low-to-mid single digits on any net product sales with respect to the development and commercialization of varlilumab until the later of (i) the expiration of the last to expire applicable patent and (ii) the tenth anniversary of the first commercial sale of such licensed product.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Under a license agreement with Southampton, we acquired the rights to develop human antibodies towards CD27, a potentially important target for immunotherapy of various cancers. We may be required to pay Southampton milestones of up to approximately $1.0 million upon obtaining first approval for commercial sale in a first indication and royalty payments in the low-single digits on any net product sales with respect to development and commercialization of varlilumab.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a license agreement with Amgen, we acquired the exclusive rights to CDX-301 and CD40 ligand, or CD40L. CDX-301 and CD40L are immune modulating molecules that increase the numbers and activity of immune cells that control immune responses. We may be required to pay Amgen milestones of up to $0.9 million upon obtaining first approval for commercial sale in a first indication and royalty payments in the low-single digits on any net product sales with respect to development and commercialization of the technology licensed from Amgen, including CDX-301.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Yale University (Yale)</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Under a license agreement with Yale, we may be required to make a one-time payment to Yale of $3.0 million with respect to each therapeutic or prophylactic receptor tyrosine kinase (RTK) royalty-bearing product, including CDX-3379, that achieves a specified commercial milestone. In addition, we may be required to pay a low single-digit royalty on annual worldwide net sales of each RTK royalty-bearing product, including CDX-3379. Unless earlier terminated by us or Yale, the Yale license agreement is due to expire no later than May 2038 but may expire earlier on a country-by-country basis under specified circumstances.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MedImmune, LLC (MedImmune)</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Under a license agreement with MedImmune, we acquired exclusive rights to specified patent rights and know-how that are controlled by MedImmune and relate to the research, development, manufacture and commercialization of CDX-3379. We may be required to pay Medimmune up to $45.0 million upon obtaining specified regulatory and development milestones in the first indication of CDX-3379. In addition, we may be required to pay MedImmune one-time milestone payments of up to $125.0 million if specified annual net sale thresholds are met related to the first indication of CDX-3379. We may also be required to pay MedImmune a tiered royalty on annual net sales of CDX-3379 at rates ranging from high single-digit to low teens percentages. These royalties may be reduced in specified circumstances and are payable on a product-by-product and country-by-country basis until the later to occur of ten years after the first commercial sale of the product in that country and the expiration of MedImmune's patent rights that cover the sale of the product in that country. We may also be required to pay specified royalties on annual net sales of CDX-3379 at a rate in the low single digits to certain other third parties from whom MedImmune licensed certain intellectual property.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biotechnology and pharmaceutical industry is intensely competitive and subject to rapid and significant technological change. Many of the products that we are attempting to develop and commercialize will be competing with existing therapies. Other companies are pursuing the development of new therapies that target the same diseases and conditions that we are targeting and may compete directly with our drug candidates. We face competition from companies, major universities and research institutions in the United States and abroad, including a number of large pharmaceutical companies, as well as firms specialized in the development and production of vaccines, adjuvants and immunotherapeutic delivery systems. Some of our competitors possess substantially greater financial, technical and human resources than we possess.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competitors may utilize discovery technologies and techniques or partner with collaborators in order to develop products more rapidly or successfully than us or our collaborators are able to. In addition, some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commence commercial sales of our drug candidates, we also will compete with respect to manufacturing efficiency and sales and marketing capabilities, areas in which we currently have limited experience.</w:t>
      </w:r>
    </w:p>
    <w:p>
      <w:pPr>
        <w:spacing w:after="0" w:line="198"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98"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We also face competition in recruiting and retaining highly qualified scientific personnel and consultants and in the development and acquisition of technologies.</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competitive position will depend upon our ability to attract and retain qualified personnel, obtain patent protection or otherwise develop proprietary products or processes and secure sufficient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capital resources for the often lengthy period between technological conception and commercial sales. We will require substantial capital resources to complete development of some or all of our drug candidates, obtain the necessary regulatory approvals and successfully manufacture and market our drug candidates. In order to secure capital resources, we anticipate having to sell additional capital stock, which would dilute existing stockholders. We may also attempt to obtain funds through research grants and agreements with commercial collaborators. However, these types of funding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a research and development company and have limited experience in commercial manufacturing. Our ability to conduct late-stage clinical trials, as well as manufacture and commercialize our drug candidates, depends on the ability of Contract Manufacturing Organizations (CMOs) to manufacture our drug candidates on a large scale at a competitive cost and in accordance with current Good Manufacturing Practices (cGMP) and U.S. and foreign regulatory requirements, as applicable. We also rely on CMOs for manufacturing, packaging, labeling, storing and shipping our drug products. In order for us to establish our own commercial manufacturing facility, we would require substantial additional funds and would need to hire and retain significant additional personnel and comply with cGMP regulations applicable to such a facility. The commercial manufacturing facility would also need to be licensed for the production of our drug candidates by the FDA. We therefore work with CMOs under established manufacturing arrangements that comply with the FDA's requirements and other regulatory standards, although there is no assurance that the manufacturing will be successful.</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regulations, allowing us to distribute drug candidates to clinical sites in the U.S. for early-stage clinical trials. We currently manufacture CDX-1140, CDX-301 and CDX-0159 drug substance in our Fall River facility for our current and planned Phase 1 and Phase 2 clinical trials. We expect that our existing clinical supplies of CDX-3379 and varlilumab will be sufficient to carry out our current planned clinical development. Additional manufacturing options are under review and may involve utilization of the Fall River facility and/or a CMO. All products are then filled and packaged at CMOs. Any manufacturing failures or compliance issues at contract manufacturers could cause delays in our Phase 1 and Phase 2 clinical studies for these drug candidates.</w:t>
      </w:r>
    </w:p>
    <w:p>
      <w:pPr>
        <w:spacing w:after="0" w:line="17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manufacturing processes for our drug candidates and immunotherapeutic delivery systems utilize known technologies. We believe that the drug candidates we currently have under development can be scaled up to permit manufacture in commercial quantities. However, there can be no assurance that we will not encounter difficulties in scaling up the manufacturing processes.</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While we believe that there is currently sufficient capacity worldwide for the production of our potential products through CMOs, establishing long-term relationships with contract manufacturers and securing multiple sources for the necessary quantities of clinical and commercial materials required can be a challenge due to increasing industry demand for CMO services. Qualifying the initial source of clinical and ultimately commercial material is a time consuming and expensive process due to the highly regulated nature of the pharmaceutical/biotech industry. These costs may be mitigated by the economies of scale realized in commercial manufacture and product sales. The key difficulty in qualifying more than one source for each product is the duplicated time and expense in doing so without the potential to mitigate these costs if the secondary source is never utilized.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Use of third-party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third-party manufacturers fail to meet our manufacturing needs in an acceptable manner, we would face delays and additional costs while we develop internal manufacturing capabilities or find alternate third-party manufacturers. It may not be possible to have multiple third-party manufacturers ready to supply us with needed material at all or without incurring significant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Organization</w:t>
      </w:r>
    </w:p>
    <w:p>
      <w:pPr>
        <w:spacing w:after="0" w:line="231"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We have limited commercial experience in marketing, sales, distribution and product reimbursement. We have the capability to provide current and future market insights to our research and development organization regarding our potential drug candidates. In the future, we may choose to expand our commercial team and build a full-scale commercial organization which we believe could provide us the opportunity to retain marketing rights to our drug candidates and commercialize such products ourselves where we deem appropriate or pursue strategic partnerships to develop, sell, market and distribute our drug candidates where we deem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vaccine technologies, antibody technologies and complement inhibitor technology.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74"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own or license rights under more than 200 granted patents and national and regional patent applications in the U.S. and in major international territories covering inventions relating to our business. The key patents and patent applications owned by us or licensed to us that we consider important to our business include the following (the indicated and estimated patent expiry dates are the estimated expirations if all maintenance fees and annuities are paid when due, and do not include any possible additional terms for Patent Term Extensions (PTEs) or Supplementary Protection Certificates (SPCs), if these may be secured in due course):</w:t>
      </w:r>
    </w:p>
    <w:p>
      <w:pPr>
        <w:spacing w:after="0" w:line="210" w:lineRule="exact"/>
        <w:rPr>
          <w:sz w:val="20"/>
          <w:szCs w:val="20"/>
          <w:color w:val="auto"/>
        </w:rPr>
      </w:pPr>
    </w:p>
    <w:p>
      <w:pPr>
        <w:ind w:left="1080" w:right="40" w:hanging="532"/>
        <w:spacing w:after="0" w:line="25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own a portfolio of patent applications directed to CDX-1140 and certain other anti-CD40 antibodies. These patent applications include claims directed to particular anti-CD40 antibody compositions of matter, including CDX-1140 compositions of matter, and methods of using such antibodies. Patent applications in this portfolio are pending in the U.S., Europe, Japan, Australia, Canada, China, India, New Zealand, Republic of Korea, Russian Federation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other countries. If and when issued the foregoing would have estimated patent expiry dates in 2037.</w:t>
      </w:r>
    </w:p>
    <w:p>
      <w:pPr>
        <w:spacing w:after="0" w:line="239" w:lineRule="exact"/>
        <w:rPr>
          <w:sz w:val="20"/>
          <w:szCs w:val="20"/>
          <w:color w:val="auto"/>
        </w:rPr>
      </w:pPr>
    </w:p>
    <w:p>
      <w:pPr>
        <w:ind w:left="1080" w:hanging="532"/>
        <w:spacing w:after="0" w:line="318" w:lineRule="auto"/>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have exclusively licensed a portfolio of patents and patent applications relating to particular ErbB3 inhibitors from MedImmune. These patents and patent applications include claims directed to particular anti-ErbB3 antibody compositions of matter, including CDX-3379 compositions of matter, and methods of using such antibodies. Patents have been issued in the U.S., Japan, Australia, China, New Zealand and the Russian Federation which have estimated patent expiry dates in 2032. Patent applications in this portfolio are pending in Europe, Canada, India, Republic of Korea and certain other countries, and any patents that may issue from these applications would also have estimated patent expiry dates in 2032.</w:t>
      </w:r>
    </w:p>
    <w:p>
      <w:pPr>
        <w:spacing w:after="0" w:line="180" w:lineRule="exact"/>
        <w:rPr>
          <w:rFonts w:ascii="Arial" w:cs="Arial" w:eastAsia="Arial" w:hAnsi="Arial"/>
          <w:sz w:val="15"/>
          <w:szCs w:val="15"/>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 patent for the composition of matter of CDX-301 has an estimated expiration date in 2020.</w:t>
      </w:r>
    </w:p>
    <w:p>
      <w:pPr>
        <w:spacing w:after="0" w:line="238" w:lineRule="exact"/>
        <w:rPr>
          <w:rFonts w:ascii="Arial" w:cs="Arial" w:eastAsia="Arial" w:hAnsi="Arial"/>
          <w:sz w:val="18"/>
          <w:szCs w:val="18"/>
          <w:color w:val="auto"/>
        </w:rPr>
      </w:pPr>
    </w:p>
    <w:p>
      <w:pPr>
        <w:ind w:left="1080" w:hanging="532"/>
        <w:spacing w:after="0" w:line="28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licensed rights from the University of Southampton under issued U.S., European and Japanese patents and under a pending patent application in Canada relating to the technology used in varlilumab. If and where issued and maintained to full term in due course, these would have estimated patent expiry dates in 2027. In July 2013, the United States Patent and Trademark Office issued a patent to the University of Southampton, that we have an exclusive license to under our license agreement, which broadly supports varlilumab. The patent includes 18 claims covering various methods of treating cancer using agonistic anti-human CD27 antibodies and relates, among other things, directly to our CD27 antibody program and therapeutic uses of varlilumab. In September 2014, two European patent oppositions were filed against the University of Southampton European patent, and at a hearing on November 23, 2016 the European Patent Office (EPO) revoked the European patent on the ground of lack of inventive step. The University of Southampton has filed an appeal against this decision, and we intend to defend the European patent vigorously in cooperation with the University of Southampton. This EPO decision does not affect the later filed Celldex patents and applications for varlilumab. We also have an issued U.S. patent which covers varlilumab as a composition of matter. If maintained to full term this patent would have an estimated patent expiry date in 2034 (including additional term due to Patent Term Adjustment). We also have corresponding patents and patent applications in the major international territories which, if and where issued and maintained to full term in due course, would have estimated patent expiry dates in 2031.</w:t>
      </w:r>
    </w:p>
    <w:p>
      <w:pPr>
        <w:spacing w:after="0" w:line="188"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own a portfolio of patents and patent applications directed to CDX-0159 and other anti-KIT receptor antibodies. These patents and patent applications include claims directed to particular anti-KIT antibody compositions of matter, including CDX-0159 compositions of matter, and methods of using such antibodies. A patent has been issued in the U.S. which would have an estimated patent expiry date in 2034 (including additional term due to Patent Term Adjustment). Patents have also been issued in Europe, Japan, Australia and Singapore, and foreign counterparts are pending in Canada, China, India, Republic of Korea, Russian Federation and certain other countries. If and where issued the foregoing would have estimated patent expiry dates ranging from 2032 to 2033.</w:t>
      </w:r>
    </w:p>
    <w:p>
      <w:pPr>
        <w:spacing w:after="0" w:line="201" w:lineRule="exact"/>
        <w:rPr>
          <w:rFonts w:ascii="Arial" w:cs="Arial" w:eastAsia="Arial" w:hAnsi="Arial"/>
          <w:sz w:val="16"/>
          <w:szCs w:val="16"/>
          <w:color w:val="auto"/>
        </w:rPr>
      </w:pPr>
    </w:p>
    <w:p>
      <w:pPr>
        <w:ind w:left="1080" w:right="160" w:hanging="532"/>
        <w:spacing w:after="0" w:line="29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acquired rights to a portfolio of patents and patent applications related to the "TAM family" of RTKs (comprised of Tyro3 AXL and MerTK) receptors which are in-licensed from, or co-owned with, the Salk Institute for Biological Studies. For example, we have an exclusive license to two issued U.S. patents directed to TAM receptor inhibition to treat infections and to a U.S. patent application directed to methods for the modulation of the immune response via targeting TAM receptors. Foreign counterparts to these patents and this patent application are pending in Europe and Canada. If and where issued the foregoing would have estimated patent expiry dates in at least 2028. Further international and provisional patent applications have also recently been filed in respect of particular antibodies targeting MerTK.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74"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5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Third parties may have or may obtain valid and enforceable patents or proprietary rights that could block us from developing products using our technology, including:</w:t>
      </w:r>
    </w:p>
    <w:p>
      <w:pPr>
        <w:spacing w:after="0" w:line="199" w:lineRule="exact"/>
        <w:rPr>
          <w:sz w:val="20"/>
          <w:szCs w:val="20"/>
          <w:color w:val="auto"/>
        </w:rPr>
      </w:pPr>
    </w:p>
    <w:p>
      <w:pPr>
        <w:ind w:left="1080" w:right="2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patents and pending patent applications in the United States and foreign countries relating to particular receptors, antigens and antigenic fragments targeted by our current drug candidates;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patents and pending patent applications related to particular receptors and other molecules on T-cells, dendritic cells and macrophages that may be useful for generating monoclonal antibodies;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patents held by third parties relating to antibody expression in particular types of host cells; and</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patents and pending patent applications in the United States and foreign countries relating to anti-CD27 antibodies and/or anti-PD-L1 antibodies.</w:t>
      </w:r>
    </w:p>
    <w:p>
      <w:pPr>
        <w:spacing w:after="0" w:line="212" w:lineRule="exact"/>
        <w:rPr>
          <w:rFonts w:ascii="Arial" w:cs="Arial" w:eastAsia="Arial" w:hAnsi="Arial"/>
          <w:sz w:val="18"/>
          <w:szCs w:val="18"/>
          <w:color w:val="auto"/>
        </w:rPr>
      </w:pPr>
    </w:p>
    <w:p>
      <w:pPr>
        <w:ind w:left="1080" w:right="100" w:hanging="532"/>
        <w:spacing w:after="0" w:line="298"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also aware of a third-party European patent that relates to use of ErbB3 antibodies for treatment of hyperproliferative disorders, including cancer. Counterparts of this patent have also issued in Australia and Japan. As a result of an opposition proceeding, the European patent was revoked in its entirety. The owner of the European patent appealed the decision in the opposition proceeding but the appeal has been rejected so that the decision to revoke the European patent stands. We continue to monitor counterparts in other jurisdictions.</w:t>
      </w:r>
    </w:p>
    <w:p>
      <w:pPr>
        <w:spacing w:after="0" w:line="16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to the patents referred to in the previous paragraphs, there may be other patent applications and issued patents belonging to competitors that may require us to alter our drug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have entered into several significant license agreements relating to technologies that are being developed by us. In general, these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and/or a specified period from first commercial sale on a territory-by-territory basis.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Rights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activities and products are significantly regulated by a number of governmental entities, including the U.S. Food and Drug Administration, or FDA, in the United States and by comparable authorities in other countries. These entities regulate, among other things, the manufacture, testing, safety, effectiveness, labeling, documentation, advertising and sale of our products. We must obtain regulatory approval from the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drug candidates that initially appear promising ultimately do not reach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market because they are found to be unsafe or ineffective when tested. Our inability to commercialize a product would impair our ability to earn future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Process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the United States, the FDA regulates drugs and biological products under the Federal Food, Drug, and Cosmetic Act, or FDCA, the Public Health Service Act, or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untitled or warning letters, product recalls, product seizures, total or partial suspension of production or distribution injunctions, fines, refusals of government contracts, restitution, disgorgement of profits, civil penalties and criminal prosecution.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process required by the FDA before a drug or biological product may be marketed in the United States generally involves the following:</w:t>
      </w:r>
    </w:p>
    <w:p>
      <w:pPr>
        <w:spacing w:after="0" w:line="262" w:lineRule="exact"/>
        <w:rPr>
          <w:sz w:val="20"/>
          <w:szCs w:val="20"/>
          <w:color w:val="auto"/>
        </w:rPr>
      </w:pPr>
    </w:p>
    <w:p>
      <w:pPr>
        <w:ind w:left="1080" w:right="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submission to the FDA of an investigational new drug, or IND, application which must become effective before human clinical trials may begin;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or biological product for each indication;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 or a biologics license application, or BLA, as applicable;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expect that all of our clinical drug candidates will be subject to review as biological products under BLA standards.</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FDA provides that human clinical trials may begin 30 days after receipt and review of an IND application, unless the FDA requests additional information or changes to the study protocol within that period. An IND must be sponsored and filed for each of our proposed drug candidates. Authorization to conduct clinical trials in no way assures that the FDA will ultimately approve the product. Clinical trials are generally conducted in three sequential phases. In a Phase 1 trial, the product is given to a small number of patients to test for safety (adverse effects), determine a recommended Phase 2 dose(s) and evaluate any signals of efficacy.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 The FDA maintains and exercises oversight authority throughout the clinical trial process.</w:t>
      </w:r>
    </w:p>
    <w:p>
      <w:pPr>
        <w:spacing w:after="0" w:line="172"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 The FDA or the sponsor may suspend or terminate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Any such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Approval</w:t>
      </w:r>
    </w:p>
    <w:p>
      <w:pPr>
        <w:spacing w:after="0" w:line="225" w:lineRule="exact"/>
        <w:rPr>
          <w:sz w:val="20"/>
          <w:szCs w:val="20"/>
          <w:color w:val="auto"/>
        </w:rPr>
      </w:pPr>
    </w:p>
    <w:p>
      <w:pPr>
        <w:jc w:val="both"/>
        <w:ind w:right="60" w:firstLine="341"/>
        <w:spacing w:after="0" w:line="294" w:lineRule="auto"/>
        <w:rPr>
          <w:sz w:val="20"/>
          <w:szCs w:val="20"/>
          <w:color w:val="auto"/>
        </w:rPr>
      </w:pPr>
      <w:r>
        <w:rPr>
          <w:rFonts w:ascii="Arial" w:cs="Arial" w:eastAsia="Arial" w:hAnsi="Arial"/>
          <w:sz w:val="16"/>
          <w:szCs w:val="16"/>
          <w:color w:val="auto"/>
        </w:rPr>
        <w:t>Assuming successful completion of the required clinical testing, the results of the preclinical and clinical studies, together with detailed information relating to the product's pharmacology, chemistry, manufacture, controls and proposed labeling, among other things, are submitted to the FDA as part of an NDA or BLA requesting approval to market the product for one or more indications. FDA approval of the NDA or BLA is required before marketing of the product may begin in the United States. Under federal law, the submission of most NDAs and BLAs is additionally subject to a substantial application user fee and the sponsor of an approved NDA or BLA is also subject to annual prescription drug program fees.</w:t>
      </w:r>
    </w:p>
    <w:p>
      <w:pPr>
        <w:spacing w:after="0" w:line="17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FDA conducts a preliminary review of all NDAs and BLAs within the first 60 days after receipt before accepting them for filing based on the agency's threshold determination that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Most such applications for non-priority products are reviewed within ten to twelve months after filing, and most applications for priority review products, that is, drugs and biologics that the FDA determines represent a significant improvement over existing therapy, are reviewed in six to eight months after filing. The review process may be extended by the FDA for three additional months to consider certain late-submitted information or clarification regarding information already provided in the submission. The FDA may also refer applications for novel drugs or biological products or products that present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testing and approval processes require substantial time, effort and financial resources, and each may take many years to complete. Data obtained from clinical activities are not always conclusive and may be susceptible to varying interpretations that could delay, limit or prevent regulatory approval. The FDA may not grant approval on a timely basis, or at all. We may encounter difficulties or unanticipated costs in our efforts to develop our drug candidates and secure necessary governmental approvals, which could delay or preclude us from marketing our products.</w:t>
      </w:r>
    </w:p>
    <w:p>
      <w:pPr>
        <w:spacing w:after="0" w:line="167"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or BLA, the FDA will resume review and may subsequently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20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Even 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changes in indications, manufacturing changes and labeling, are subject to further testing requirements and FDA review and approval.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Regulatory Procedures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i w:val="1"/>
          <w:iCs w:val="1"/>
          <w:color w:val="auto"/>
        </w:rPr>
        <w:t>Fast track designation</w:t>
      </w:r>
      <w:r>
        <w:rPr>
          <w:rFonts w:ascii="Arial" w:cs="Arial" w:eastAsia="Arial" w:hAnsi="Arial"/>
          <w:sz w:val="18"/>
          <w:szCs w:val="18"/>
          <w:color w:val="auto"/>
        </w:rPr>
        <w:t>—The FDA is required to facilitate the development and expedite the review of drugs and biologics that are intended for the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 serious or life-threatening disease or condition and that demonstrate the potential to address unmet medical needs. Under the fast track program, the sponsor of a new drug or biologic candidate may request the FDA to designate the product for a specific indication as a fast track product, concurrent with or after the filing of the IND for the drug candidate. A drug that receives fast track designation is eligible for some or all of the following: (i) more frequent meetings with the FDA to discuss the drug's development plan and ensure collection of appropriate data needed to support drug approval; (ii) more frequent written communication from the FDA about such things as the design of the proposed clinical trials and use of biomarkers; (iii) eligibility for accelerated approval and priority review, if relevant criteria are met; and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8"/>
        <w:spacing w:after="0" w:line="294" w:lineRule="auto"/>
        <w:tabs>
          <w:tab w:leader="none" w:pos="297" w:val="left"/>
        </w:tabs>
        <w:numPr>
          <w:ilvl w:val="0"/>
          <w:numId w:val="10"/>
        </w:numPr>
        <w:rPr>
          <w:rFonts w:ascii="Arial" w:cs="Arial" w:eastAsia="Arial" w:hAnsi="Arial"/>
          <w:sz w:val="16"/>
          <w:szCs w:val="16"/>
          <w:color w:val="auto"/>
        </w:rPr>
      </w:pPr>
      <w:r>
        <w:rPr>
          <w:rFonts w:ascii="Arial" w:cs="Arial" w:eastAsia="Arial" w:hAnsi="Arial"/>
          <w:sz w:val="16"/>
          <w:szCs w:val="16"/>
          <w:color w:val="auto"/>
        </w:rPr>
        <w:t>Rolling Review, which means that a drug company can submit completed sections of its BLA or NDA for review by the FDA, rather than waiting until every section of the NDA or BLA is completed before the entire application can be reviewed.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 designation may be withdrawn by the FDA if it believes that the designation is no longer supported by data emerging in the clinical trial process.</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Priority review</w:t>
      </w:r>
      <w:r>
        <w:rPr>
          <w:rFonts w:ascii="Arial" w:cs="Arial" w:eastAsia="Arial" w:hAnsi="Arial"/>
          <w:sz w:val="16"/>
          <w:szCs w:val="16"/>
          <w:color w:val="auto"/>
        </w:rPr>
        <w:t>—Under FDA policies, a drug candidate may be eligible for priority review. The priority review program provides for expedited review or an</w:t>
      </w:r>
      <w:r>
        <w:rPr>
          <w:rFonts w:ascii="Arial" w:cs="Arial" w:eastAsia="Arial" w:hAnsi="Arial"/>
          <w:sz w:val="16"/>
          <w:szCs w:val="16"/>
          <w:i w:val="1"/>
          <w:iCs w:val="1"/>
          <w:color w:val="auto"/>
        </w:rPr>
        <w:t xml:space="preserve"> </w:t>
      </w:r>
      <w:r>
        <w:rPr>
          <w:rFonts w:ascii="Arial" w:cs="Arial" w:eastAsia="Arial" w:hAnsi="Arial"/>
          <w:sz w:val="16"/>
          <w:szCs w:val="16"/>
          <w:color w:val="auto"/>
        </w:rPr>
        <w:t>NDA or BLA, typically within a six to eight month time frame from the time a complete application is accepted for filing. Products regulated by the FDA's Center for Drug Evaluation and Research, or CDER, are eligible for priority review if they provide a significant improvement compared to marketed products in the treatment, diagnosis or prevention of a disease. Products regulated by the FDA's Center for Biologics Evaluation and Research, or CBER, are eligible for priority review if they provide a significant improvement in the safety or effectiveness of the treatment, diagnosis or prevention of a serious or life-threatening disease. A fast track designated drug candidate could be eligible for priority review if supported by clinical data at the time of the BLA or NDA submission.</w:t>
      </w:r>
    </w:p>
    <w:p>
      <w:pPr>
        <w:spacing w:after="0" w:line="17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i w:val="1"/>
          <w:iCs w:val="1"/>
          <w:color w:val="auto"/>
        </w:rPr>
        <w:t>Accelerated approval</w:t>
      </w:r>
      <w:r>
        <w:rPr>
          <w:rFonts w:ascii="Arial" w:cs="Arial" w:eastAsia="Arial" w:hAnsi="Arial"/>
          <w:sz w:val="18"/>
          <w:szCs w:val="18"/>
          <w:color w:val="auto"/>
        </w:rPr>
        <w:t>—Under the law and the FDA's accelerated approval regulations, the FDA may approve a drug or biologic for a serious or life-threatening illness that provides meaningful therapeutic benefit to patients over existing treatments based on a surrogate endpoint that is reasonably likely to predict clinical benefit.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20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i w:val="1"/>
          <w:iCs w:val="1"/>
          <w:color w:val="auto"/>
        </w:rPr>
        <w:t>Breakthrough therapy designation</w:t>
      </w:r>
      <w:r>
        <w:rPr>
          <w:rFonts w:ascii="Arial" w:cs="Arial" w:eastAsia="Arial" w:hAnsi="Arial"/>
          <w:sz w:val="18"/>
          <w:szCs w:val="18"/>
          <w:color w:val="auto"/>
        </w:rPr>
        <w:t>—The FDA is also required to expedite the development and review of the application for approval of drugs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treat a serious or life-threatening disease or condition where preliminary clinical evidence indicates that the drug candidate may demonstrate substantial improvement over existing therapies on one or more clinically significant endpoints. Under the breakthrough therapy program, the sponsor of a new drug candidate may request that the FDA designate the drug candidate for a specific indication as a breakthrough therapy concurrent with, or after, the filing of the IND for the drug candidate.</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Orphan drug designation</w:t>
      </w:r>
      <w:r>
        <w:rPr>
          <w:rFonts w:ascii="Arial" w:cs="Arial" w:eastAsia="Arial" w:hAnsi="Arial"/>
          <w:sz w:val="16"/>
          <w:szCs w:val="16"/>
          <w:color w:val="auto"/>
        </w:rPr>
        <w:t>—Under the Orphan Drug Act, the FDA may grant orphan drug designation to a drug or biologic intended to treat a rare disease or</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which is generally defined as a disease or condition that affects fewer than 200,000 individuals in the United States. Orphan drug designation does not convey any advantage in, or shorten the duration of, the regulatory review and approval process. The first NDA or BLA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 for the same orphan indication, except in limited circumstances. Among the other benefits of orphan drug designation are tax credits for certain research and a waiver of the NDA or BLA application user fee.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information</w:t>
      </w:r>
    </w:p>
    <w:p>
      <w:pPr>
        <w:spacing w:after="0" w:line="225" w:lineRule="exact"/>
        <w:rPr>
          <w:sz w:val="20"/>
          <w:szCs w:val="20"/>
          <w:color w:val="auto"/>
        </w:rPr>
      </w:pPr>
    </w:p>
    <w:p>
      <w:pPr>
        <w:jc w:val="both"/>
        <w:ind w:right="160" w:firstLine="351"/>
        <w:spacing w:after="0" w:line="302" w:lineRule="auto"/>
        <w:rPr>
          <w:sz w:val="20"/>
          <w:szCs w:val="20"/>
          <w:color w:val="auto"/>
        </w:rPr>
      </w:pPr>
      <w:r>
        <w:rPr>
          <w:rFonts w:ascii="Arial" w:cs="Arial" w:eastAsia="Arial" w:hAnsi="Arial"/>
          <w:sz w:val="15"/>
          <w:szCs w:val="15"/>
          <w:color w:val="auto"/>
        </w:rPr>
        <w:t>Under the Pediatric Research Equity Act of 2003, an NDA, BLA or supplement to an NDA or BLA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3"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Under the Food and Drug Administration Safety and Innovation Act, or FDASIA, the FDA has additional authority to take action against manufacturers not adhering to pediatric study requirements. Unless otherwise required by regulation, the pediatric data requirements do not apply to products with orphan drug designation.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Approval</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drug or biological products manufactured or distributed by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or biologic.</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drug and biologic manufacturers and other entities involved in the manufacture and distribution of approved drugs and biological products are required to register their establishments with the FDA and state agencies and are subject to periodic unannounced inspections by the FDA and these state agencies for compliance with cGMP requirements. The FDA was also granted new inspection authorities under FDASIA.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program. Other potential consequences include, among other things:</w:t>
      </w:r>
    </w:p>
    <w:p>
      <w:pPr>
        <w:spacing w:after="0" w:line="18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 untitled and warning letters or holds on post-approval clinical trials;</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prosecution.</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the Office of the Inspector General of Health and Human Services and other agencies actively enforce the laws and regulations prohibiting the promotion of off label uses, and a company that is found to have improperly promoted off label uses may be subject to significant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Law</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Biologics Price Competition and Innovation Act of 2009, or BPCIA, amended the PHSA to provide for an abbreviated approval pathway for biological products that demonstrate biosimilarity to a previously-approved biological product. The BPCIA establishes criteria for determining that a product is biosimilar to an already-licensed biologic, or reference product, and establishes a process by which an abbreviated BLA for a biosimilar product is submitted, reviewed and approved. The BPCIA provides periods of exclusivity that protect a reference product from biosimilars competition. Under the BPCIA, the FDA may not accept a biosimilar application for review until four years after the date of first licensure of the reference product, and the biosimilar may not be licensed until 12 years after the reference product's approval. Additionally, the BPCIA establishes procedures by which the biosimilar applicant may provide information about its application and product to the reference product sponsor, and by which information about potentially relevant patents is shared and litigation over patents may proceed in advance of approval. The BPCIA also provides a period of exclusivity for the first biosimilar to be determined by the FDA to be interchangeable with the reference product. The BPCIA applies to our drug candidates and could be applied to allow approval of biosimilars to our products.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Because the BPCIA is a relatively new law, we anticipate that its contours will be defined as the statute is implemented over a period of years. This likely will be accomplished by a variety of means, including FDA issuance of guidance documents, proposed regulations, lawsuits and the FDA's decisions in the course of considering specific applications. Such evolution may significantly affect the impact of the BPCIA on both reference product and biosimilar sponsors.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21st Century Cures Act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December 13, 2016, Congress passed the 21st Century Cures Act, or the Cures Act. The Cures Act is designed to modernize and personalize health care, spur innovation and research, and streamline the discovery and development of new therapies through increased federal funding of particular programs. It authorizes increased funding for the FDA to spend on innovation projects, including for certain oncology-directed research. The new law also amends the Public Health Service Act to reauthorize and expand funding for the National Institutes of Health.</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Because the Cures Act has only recently been enacted, its potential effect on our business remains unclear with the exception of a provision requiring that we post our policies on the availability of expanded access programs for individuals. In addition, the Cures Act includes provisions that may be beneficial to us in the future, including a requirement that the FDA assess and publish guidance on the use of novel clinical trial designs, the use of real world evidence in applications, the availability of summary level review for supplemental applications for certain indications and the qualification of drug development tools. Because these provisions allow the FDA several years to develop these policies, their effects on us, if any, could be delayed.</w:t>
      </w:r>
    </w:p>
    <w:p>
      <w:pPr>
        <w:spacing w:after="0" w:line="170"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Cures Act also authorizes funding for the "Cancer Moonshot" initiative. The Cancer Moonshot initiative's strategic goals encourage inter-agency cooperation and fund research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innovation to catalyze new scientific breakthroughs, bring new therapies to patients and strengthen prevention and diagnosis. This initiative aims to stimulate drug development through the creation of a public-private partnership with 20 to 30 pharmaceutical and biotechnology companies to expedite cancer researchers' access to investigational agents and approved drugs. This partnership is designed to permit researchers to obtain drugs and other technologies from a preapproved "formulary" list without having to negotiate with each company for individual research projects. We will continue to monitor these developments to assess their potential impacts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Companion Diagnostic Review and Approval</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Our drug candidates may rely on the use of a companion diagnostic. Companion diagnostics are subject to regulation by the FDA and comparable foreign regulatory authorities as medical devices and require separate clearance or approval prior to their commercialization. Based on recent FDA guidance documents and the FDA's past treatment of companion diagnostics, we believe that the FDA will likely require one or more of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to obtain Premarket Approval Application, or PMA, in conjunction with approval of the related drug candidate. The receipt and timing of PMA approval may have a significant effect on the receipt and timing of commercial approval for such drug candidates. Currently we rely on third-party collaborators to develop companion diagnostics for our drug candidates.</w:t>
      </w:r>
    </w:p>
    <w:p>
      <w:pPr>
        <w:spacing w:after="0" w:line="198"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PMA process is similar to the NDA and BLA processes and is costly, lengthy and uncertain. 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while the trials are conducted and then the data submitted in an amendment to the PMA.</w:t>
      </w:r>
    </w:p>
    <w:p>
      <w:pPr>
        <w:spacing w:after="0" w:line="17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Furthermore, even after PMA approval is obtained, numerous regulatory requirements apply to the manufacturer of the companion diagnostic. The FDA enforces these requirements by inspection and market surveillance. These requirements include: the QSR, labeling regulations, the FDA's general prohibition against promoting products for unapproved or "off label" uses, the medical device reporting regulation, and the reports of corrections and removals regulation. If the FDA finds a violation, it can institute a wide variety of enforcement actions, ranging from a public warning letter to more severe sanctions such as: fines, injunctions and civil penalties; recall or seizure of products; operating restrictions, partial suspension or total shutdown of production; refusing requests for PMA of new products; and withdrawing PMAs already granted.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Fraud and Abuse, Data Privacy and Security and Transparency Laws</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addition to FDA restrictions on marketing and promotion of pharmaceutical products, several other types of federal and state laws have been applied to restrict certain marketing business practices in the biopharmaceutical and medical device industries in recent years. These laws include, without limitation, state and federal anti-kickback statutes and false claims statutes and false claims laws, data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privacy and security laws, as well as transparency laws regarding payments or other items of value provided to health care providers. Applicable state law may be broader in scope than federal law and may apply regardless of payor, in addition to items and services reimbursed under Medicaid and other state programs. If our operations are found to be in violation of any of the health regulatory laws described above or any other laws that apply to us, we may be subject to penalties, including potentially significant criminal and civil and/or administrative penalties, damages, fines, disgorgement, imprisonment, exclusion from participation in government health care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 care professionals.</w:t>
      </w:r>
    </w:p>
    <w:p>
      <w:pPr>
        <w:spacing w:after="0" w:line="17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addition, the United States Foreign Corrupt Practices Act, or FCPA, prohibits corporations and individuals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 In many countries, the health care professionals we may interact with may meet the FCPA's definition of a foreign government official.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order to market any therapeutic or diagnostic product outside of the United States, we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EU regulatory system, we will submit most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 member states. As in the United States, we may apply for designation of a drug candidate as an orphan drug for the treatment of a specific indication in the EU before the application for marketing authorization is made. The EMA grants orphan medicinal product designation to promote the development of products that may offer therapeutic benefits for life-threatening or chronically debilitating conditions affecting not more than five in 10,000 people in the EU.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Processes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change or what the effect of such changes, if any, may be.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Payor Coverage and Reimbursement</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any drug products for which we obtain regulatory approval. Sales of any of our drug candidates, if approved, will depend, in part, on the extent to which the costs of the drugs will be covered by third-party payors, including government health programs such as Medicare and Medicaid, as well as commercial health insurers, such as managed care organizations. The process for determining reimbursement rates is separate from the payor coverage decision. Therefore, despite obtaining coverage, reimbursement rates may be lower than expected, which can result in larger out-of-pocket payments for the patient.</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order to secure coverage and reimbursement for any drug that might be approved for sale, we need to conduct analyses and pharmaco-economic studies in order to demonstrate the incremental medical benefit over and above the generally-accepted standard of care and cost-effectiveness of the drug. Our drug candidates may not be considered medically necessary, provide insufficient incremental medical benefit, or may not be deemed cost-effective. A payor's decision to provide coverage for a drug product does not imply that an adequate reimbursement rate will be approved.</w:t>
      </w:r>
    </w:p>
    <w:p>
      <w:pPr>
        <w:spacing w:after="0" w:line="16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containment of health 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drugs to be cost-effective compared to other available therapies, they may not cover our drugs after approval as a benefit under their plans or, if they do, the level of reimbursement and/or restrictions in formulary placement may be such that they would significantly limit projected sales volumes. In addition to third-party payors, we will also need to negotiate formulary placement with hospitals, health systems and certain independent delivery networks. Such negotiations may be more protracted than anticipated and may be compromised because of similar considerations, relating to insufficient incremental medical benefit and/or cost-effectiveness.</w:t>
      </w:r>
    </w:p>
    <w:p>
      <w:pPr>
        <w:spacing w:after="0" w:line="17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Pricing and reimbursement schemes vary widely from country to country. For example, certain EU member states may approve a specific price and volume for a drug product after which incremental revenues or profits need to be paid back by way of rebates. They may also institutionalize utilization restrictions, curb physicians' drug budgets, provide conditional reimbursement schemes that require additional evidence to be generated post-marketing authorization, etc. The downward pressure on health care costs in general, particularly prescription drugs, has been particularly evident in EU markets, for some time, with evidence pointing to increasing pressures on the horizon. As a result, increasingly high barriers are being erected to the pricing and reimbursement of new drugs, despite regulatory efforts to bring drugs to market sooner. In addition, cross-border trade has existed for some time in the EU, allowing pharmacies in one country to import, at a lower price, drug from another country, further exerting pricing pressures across the EU. There can be no assurance that any country that has price controls or reimbursement limitations for drug products will allow favorable reimbursement and pricing arrangements for any of our drugs.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marketability of any drugs for which we receive regulatory approval for commercial sale may suffer if third-party payors and/or hospital administrators fail to provide adequate coverage, reimbursement or formulary placement. Coverage policies, third-party reimbursement rates and drug pricing regulations may change in the future. In particular, uncertainty over the long term regarding the Patient Protection and Affordable Care Act, or its replacement in the U.S., may mean that coverage, reimbursement and pricing structures available today may be different in the future. In addition, the States may continue to consider legislation of their own which could further restrict the ability to freely price drugs and/or curb utilization in the U.S. Even if favorable coverage and reimbursement status is attained for one or more drugs for which we receive regulatory approval, less favorable coverage policies and reimbursement rates may be implemented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220" w:firstLine="341"/>
        <w:spacing w:after="0" w:line="306" w:lineRule="auto"/>
        <w:rPr>
          <w:sz w:val="20"/>
          <w:szCs w:val="20"/>
          <w:color w:val="auto"/>
        </w:rPr>
      </w:pPr>
      <w:r>
        <w:rPr>
          <w:rFonts w:ascii="Arial" w:cs="Arial" w:eastAsia="Arial" w:hAnsi="Arial"/>
          <w:sz w:val="16"/>
          <w:szCs w:val="16"/>
          <w:color w:val="auto"/>
        </w:rPr>
        <w:t>As of December 31, 2018, we employed 137 employees (133 full-time, 2 part-time and 2 interns), 17 of whom have Ph.D. and/or M.D. degrees. Of these employees, 116 were engaged in or directly support research and development activities. We believe that our employee relations are good. We believe that our future success will depend in large part on our ability to attract and retain experienced and skilled employees.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dedicated a significant portion of our resources to our efforts to develop our drug candidates. We incurred research and development expenses of $66.4 million, $96.2 million, and $102.7 million during the years ended December 31, 2018, 2017 and 2016, respectively. We anticipate that a significant portion of our operating expenses will continue to be related to research and development in 2019 as we continue to advance our drug candidates through clinical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 xml:space="preserve">We are incorporated in Delaware. Our website is located at </w:t>
      </w:r>
      <w:r>
        <w:rPr>
          <w:rFonts w:ascii="Arial" w:cs="Arial" w:eastAsia="Arial" w:hAnsi="Arial"/>
          <w:sz w:val="16"/>
          <w:szCs w:val="16"/>
          <w:i w:val="1"/>
          <w:iCs w:val="1"/>
          <w:color w:val="auto"/>
        </w:rPr>
        <w:t>http://www.celldex.com.</w:t>
      </w:r>
      <w:r>
        <w:rPr>
          <w:rFonts w:ascii="Arial" w:cs="Arial" w:eastAsia="Arial" w:hAnsi="Arial"/>
          <w:sz w:val="16"/>
          <w:szCs w:val="16"/>
          <w:color w:val="auto"/>
        </w:rPr>
        <w:t xml:space="preserve"> On our website, investors can obtain, free of charge, a copy of our Annual Report on Form 10-K, Quarterly Reports on Form 10-Q, Current Reports on Form 8-K, other reports and any amendments thereto filed or furnished pursuant to Section 13(a) or 15(d) of the Exchange Act of 1934, as amended, as soon as reasonably practicable after we file such material electronically with, or furnish it to, the Securities and Exchange Commission, or SEC. None of the information posted on our website is incorporated by reference into this Annual Report. The SEC also maintains a website at http://www.sec.gov that contains reports, proxy and information statements and other information regarding us and other companies that file materials with the SEC electronically.</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jc w:val="both"/>
        <w:ind w:right="80" w:firstLine="345"/>
        <w:spacing w:after="0" w:line="268" w:lineRule="auto"/>
        <w:rPr>
          <w:sz w:val="20"/>
          <w:szCs w:val="20"/>
          <w:color w:val="auto"/>
        </w:rPr>
      </w:pPr>
      <w:r>
        <w:rPr>
          <w:rFonts w:ascii="Arial" w:cs="Arial" w:eastAsia="Arial" w:hAnsi="Arial"/>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86"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product revenue and will need to raise capital to operate our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date, we have generated no product revenue and cannot predict when and if we will generate product revenue. We had an accumulated deficit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$962.4 million as of December 31, 2018. Until, and unless, we complete clinical trials and further development, and receive approval from the FDA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authorities, for our drug candidates, we cannot sell our drugs and will not have product revenue. We expect to spend substantial funds to continue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development and testing of our products that are in the preclinical and clinical testing stages of development and to prepare to commercialize products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anticipation of FDA approval. Therefore, for the foreseeable future, we will have to fund all of our operations and development expenditures from cash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hand, equity or debt financings, licensing fees and grants. Additional financing will be required to meet our liquidity needs. If we do not succeed in raising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funds on acceptable terms, we might not be able to complete planned preclinical and clinical trials or obtain approval of any drug candidates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and other regulatory authorities. In addition, we could be forced to discontinue product development, reduce or forego sales and marketing efforts, forego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attractive business opportunities or curtail operations. Any additional sources of financing could involve the issuance of our equity securities, which would have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dilutive effect on our stockholders. No assurance can be given that additional financing will be available to us when needed on acceptable terms, or at all.</w:t>
      </w:r>
    </w:p>
    <w:p>
      <w:pPr>
        <w:spacing w:after="0" w:line="242"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future losses and we may never become profitable.</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have incurred operating losses of $156.4 million, $121.5 million and $132.9 million during 2018, 2017 and 2016, respectively, and expect to incur an operating loss in 2019 and beyond. We believe that operating losses will continue in 2019 and beyond because we are planning to incur significant costs associated with the development of our drug candidates. During the years ended December 31, 2018, 2017 and 2016, we incurred $12.4 million, $21.1 million and $24.9 million in clinical trial expense and $4.2 million, $11.4 million and $18.3 million in contract manufacturing expense.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174"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116"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to incur significant costs as we develop our drug candidates. The continuing development and commercialization of our drug candidates requires additional capital beyond our current resources. As of December 31, 2018, we had cash, cash equivalents and marketable securities of $94.0 million. During the next twelve months and beyond, we will take further steps to raise additional capital to fund our liquidity needs. Our capital raising activities may include, but may not be limited to, one or more of the following:</w:t>
      </w:r>
    </w:p>
    <w:p>
      <w:pPr>
        <w:spacing w:after="0" w:line="21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licensing of drug candidates with existing or new collaborative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business combinations;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debt;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 of common stock or other securities via private placements or public offerings.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drug candidates under development.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2"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b w:val="1"/>
          <w:bCs w:val="1"/>
          <w:i w:val="1"/>
          <w:iCs w:val="1"/>
          <w:color w:val="auto"/>
        </w:rPr>
        <w:t>Our stockholders may be subject to substantial dilution if we elect to pay future milestone consideration to the former Kolltan stockholders in shares of common stock. If we elect to pay future milestone consideration in cash we would likely need to raise additional capital.</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merger agreement between us and Kolltan provides that in the event that certain specified preclinical and clinical development milestones related to Kolltan's development programs and/or Celldex's development programs and certain commercial milestones related to Kolltan's drug candidates are achieved, we will be required to pay Kolltan's former stockholders milestone payments of up to $127.5 million as of December 31, 2018. These milestone payments may be made, at our sole election, in cash, in shares of our common stock or a combination of both, although we are required to maintain a certain percentage of the overall consideration paid in Celldex common stock to satisfy certain tax requirements under the merger agreement. We may require additional capital to fund any milestone payments in cash, depending on the facts and circumstances at the time such payments become due. If we elect to pay the milestones in shares of our common stock, our stockholders would experience substantial dilution.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On December 22, 2017, the Tax Cuts and Jobs Act ("TCJA") was enacted, leading to significant changes to U.S. tax law. Among other provisions, the TCJA lowered the U.S. federal corporate income tax rate from 35% to 21%, limited the deduction for net operating losses to 80% of taxable income while providing that net operating loss carryovers for years after 2017 will not expire, imposed a mandatory one-time transition tax on previously deferred foreign earnings and eliminated or reduced certain income tax deductions. The Company has completed its accounting for the tax effects of the TCJA. We have revalued our net deferred tax assets and liabilities at the newly enacted U.S. federal rate, and we recognized a tax benefit of $19.1 million during the year ended December 31, 2017 related to the TCJA. We continue to examine the impact this tax reform legislation, as well as any additional regulatory guidance that may be issued, may have on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Regulatory Approval of Drug Candidates</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long term success depends heavily on our ability to fund and complete the research and development activities and obtain regulatory approval for our program assets.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Clinical failure can occur at any stage of clinical development. For example, in April 2018, we announced that our randomized, Phase 2b METRIC Study of glembatumumab vedotin in patients with metastatic triple-negative breast cancers that overexpress gpNMB failed to meet its primary endpoint. Based on these results, we also made the decision to discontinue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glembatumumab vedotin program across all indications.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w:t>
      </w:r>
    </w:p>
    <w:p>
      <w:pPr>
        <w:spacing w:after="0" w:line="16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will need substantial additional financing to complete the development of our drug candidates. Further, even if we complete the development of our drug candidates and gain marketing approvals from the FDA and comparable foreign regulatory authorities in a timely manner, we cannot be sure that such drug candidate will be commercially successful in the pharmaceutical market. If the results of clinical trials, the anticipated or actual timing of marketing approvals, or the market acceptance of any of our drug candidates, if approved, do not meet the expectations of investors or public market analysts, the market price of our common stock would likely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are subject to extensive regulatory scrutiny.</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our drug candidates do not pass required tests for safety and effectiveness, we will not be able to obtain regulatory approval and derive commercial revenue from them.</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order to succeed, we will need to obtain regulatory approval for our drug candidates. The FDA has not approved any of our drug candidates for sale to date. Our drug candidates are in various stages of preclinical and clinical testing. Preclinical tests are performed at an early stage of a product's development and provide information about a drug candidate's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all cases we must show that a drug candidate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drug candidates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Success in early clinical trials does not ensure that later clinical trials will be successful, and we cannot assure you that any of the clinical trials that we may conduct will demonstrate consistent or adequate efficacy and safety to obtain regulatory approval.</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results of preclinical studies and early clinical trials may not be predictive of the results of later-stage clinical trials, and interim results of a clinical trial do not necessarily predict final results. Preclinical and clinical data are susceptible to various interpretations and analyses, and many companies that have believed their drug candidates performed satisfactorily in preclinical studies and early-stage clinical trials have nonetheless failed to replicate such results in later-stage clinical trials and subsequently failed to obtain marketing approval. Drug candidates in later-stage clinical trials may fail to show the desired safety and efficacy despite having progressed through preclinical and initial clinical trials, even if certain analyses of primary or secondary endpoints in those early trials showed trends towards efficacy. Later-stage clinical trials with larger numbers of patients or longer durations of therapy may also reveal safety concerns that were not identified in earlier smaller or shorter trials. Our failure to demonstrate efficacy and safety data sufficient to support marketing approval for any of our other drug candidates would substantially harm our business, prospectus,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testing is critical to the success of our drug candidates but subject to delay or cancellation if we have difficulty enrolling patients.</w:t>
      </w:r>
    </w:p>
    <w:p>
      <w:pPr>
        <w:spacing w:after="0" w:line="248"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211"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nature of the clinical test;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willingness to receive a placebo or less effective treatment on the control arm of a clinical study;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distance between patients and clinical test sites;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cannot enroll patients as needed, our costs may increase, or we may be forced to delay or terminate testing for a product.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delays in commencing, enrolling and completing our clinical trials, and we may not complete them at all.</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have not completed the clinical trials necessary to obtain FDA approval to market any of our drug candidates in development. Clinical trials for our products in development may be delayed or terminated as a result of many factors, including the following:</w:t>
      </w:r>
    </w:p>
    <w:p>
      <w:pPr>
        <w:spacing w:after="0" w:line="199" w:lineRule="exact"/>
        <w:rPr>
          <w:sz w:val="20"/>
          <w:szCs w:val="20"/>
          <w:color w:val="auto"/>
        </w:rPr>
      </w:pPr>
    </w:p>
    <w:p>
      <w:pPr>
        <w:ind w:left="1080" w:right="1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reach agreements on acceptable terms with prospective contract research organizations (CROs) and trial sites, the terms of which can be subject to extensive negotiation and may vary significantly among different CROs and trial sites;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enrolling patients in our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maintain necessary supplies of study drug and comparator to maintain predicted enrollment rates at clinical trial 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patients failing to complete clinical trials due to dissatisfaction with the treatment, side effects or other reasons;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by regulators to authorize us to commence a clinical trial;</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or termination by regulators of clinical research for many reasons, including concerns about patient safety or failure of our contract manufacturers to comply with cGMP requirements;</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failure to obtain clinical supply for our products necessary to conduct clinical trials from contract manufacturers, including commercial grade-clinical supply for our Phase 3 clinical trials;</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 many of which may already be engaged in other clinical trial programs, including some that may be for the same indication as our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drug candidates demonstrating a lack of efficacy during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continue to fund clinical trials or to find a partner to fund the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 ongoing clinical trials and scheduling conflicts with participating clinicians;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completing data collection and analysis for clinical trials.</w:t>
      </w:r>
    </w:p>
    <w:p>
      <w:pPr>
        <w:spacing w:after="0" w:line="225"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Any delay or failure to commence, enroll or complete clinical trials and obtain FDA approval for our drug candidates could have a material adverse effect on our cost to develop and commercialize, and our ability to generate revenue from, a particular drug candidate.</w:t>
      </w:r>
    </w:p>
    <w:p>
      <w:pPr>
        <w:spacing w:after="0" w:line="18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drug candidates, we may need to abandon or limit our development of some of our drug candidates.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our drug candidates are associated with serious adverse events or undesirable side effects in clinical trials or have characteristics that are unexpected,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drugs that initially show promise in early-stage testing are later found to cause side effects that prevent further development of the drug. Currently marketed therapies for the treatment of cancer are generally limited to some extent by their toxicity. In addition some of our drug candidates would be chronic therapies or be used in pediatric populations, for which safety concerns may be particularly important. Use of our drug candidates as monotherapies may also result in adverse events consistent in nature with other marketed therapies.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addition, when used in combination with other marketed therapies, our drug candidates may exacerbate adverse events associated with the marketed therapy.</w:t>
      </w:r>
    </w:p>
    <w:p>
      <w:pPr>
        <w:spacing w:after="0" w:line="2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expend our resources to pursue a particular drug candidate or indication and forgo the opportunity to capitalize on drug candidates or indications that may ultimately be more profitable or for which there is a greater likelihood of success.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we have limited financial and managerial resources, we intend to focus on developing drug candidates for specific indications that we identify as most likely to succeed, in terms of both their potential for regulatory approval and commercialization. As a result, we may forego or delay pursuit of opportunities with other drug candidates or for other indications that may prove to have greater commercial potential.</w:t>
      </w:r>
    </w:p>
    <w:p>
      <w:pPr>
        <w:spacing w:after="0" w:line="19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 candidates.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the drug candidate.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multiple late-stage clinical trials for a variety of drug candidates simultaneously.</w:t>
      </w:r>
    </w:p>
    <w:p>
      <w:pPr>
        <w:spacing w:after="0" w:line="225" w:lineRule="exact"/>
        <w:rPr>
          <w:sz w:val="20"/>
          <w:szCs w:val="20"/>
          <w:color w:val="auto"/>
        </w:rPr>
      </w:pPr>
    </w:p>
    <w:p>
      <w:pPr>
        <w:ind w:right="80" w:firstLine="341"/>
        <w:spacing w:after="0" w:line="288" w:lineRule="auto"/>
        <w:rPr>
          <w:sz w:val="20"/>
          <w:szCs w:val="20"/>
          <w:color w:val="auto"/>
        </w:rPr>
      </w:pPr>
      <w:r>
        <w:rPr>
          <w:rFonts w:ascii="Arial" w:cs="Arial" w:eastAsia="Arial" w:hAnsi="Arial"/>
          <w:sz w:val="16"/>
          <w:szCs w:val="16"/>
          <w:color w:val="auto"/>
        </w:rPr>
        <w:t>As our current clinical trials progress, we may need to manage multiple late-stage clinical trials simultaneously in order to continue developing all of our current products. The management of late-stage clinical trials is more complex and time consuming than early-stage trials. Typically, early-stage trials involve several hundred patients in no more than 10 to 30 clinical sites. Late-stage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Failure to successfully validate, develop and obtain regulatory approval for companion diagnostics for certain of our drug candidates could harm our drug development strategy and operational results.</w:t>
      </w:r>
    </w:p>
    <w:p>
      <w:pPr>
        <w:spacing w:after="0" w:line="186" w:lineRule="exact"/>
        <w:rPr>
          <w:sz w:val="20"/>
          <w:szCs w:val="20"/>
          <w:color w:val="auto"/>
        </w:rPr>
      </w:pPr>
    </w:p>
    <w:p>
      <w:pPr>
        <w:ind w:right="100" w:firstLine="341"/>
        <w:spacing w:after="0" w:line="289" w:lineRule="auto"/>
        <w:rPr>
          <w:sz w:val="20"/>
          <w:szCs w:val="20"/>
          <w:color w:val="auto"/>
        </w:rPr>
      </w:pPr>
      <w:r>
        <w:rPr>
          <w:rFonts w:ascii="Arial" w:cs="Arial" w:eastAsia="Arial" w:hAnsi="Arial"/>
          <w:sz w:val="16"/>
          <w:szCs w:val="16"/>
          <w:color w:val="auto"/>
        </w:rPr>
        <w:t>As an element of our clinical development approach, we may seek to screen and identify subsets of patients that express a certain biomarker or that have a certain genetic alteration who may derive meaningful benefit from our development drug candidates. To achieve this, one or more of our drug development programs may be dependent on the development and commercialization of a companion diagnostic by us or by third-party collaborators. Companion diagnostics are developed in conjunction with clinical programs for the associated drug candidate. Companion diagnostics are subject to regulation as medical devices and must themselves be approved for marketing by the FDA or certain other foreign regulatory agencies before the related drug candidate may be commercialized. The approval of a companion diagnostic as part of the product label will limit the use of the drug candidate to only those patients who express the specific biomarker it was developed to detect. We or our third-party collaborators may also experience delays in developing a sustainable, reproducible and scalable manufacturing process or transferring that process to commercial partners or negotiating insurance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reimbursement for such companion diagnostic, all of which may prevent us from completing our clinical trials or commercializing our drugs on a timely or profitable basis, if at all.</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 date, the FDA has required premarket approval of all companion diagnostics for cancer therapies. 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 our related drug candidates or, if regulatory approval is obtained, delay or limit our ability to commercialize our related drug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obtaining regulatory approval would have an adverse impact on our ability to earn future revenues.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It is possible that none of the drug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72"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7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enter into co-development and commercialization partnerships for our drug candidates where appropriate.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many competitors in our field, and they may develop technologies that make ours obsolete.</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Biotechnology, pharmaceuticals and therapeutics are rapidly evolving fields in which scientific and technological developments are expected to continue at a rapid pace. We have many competitors in the U.S. and abroad.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80"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technologies and products that are more effective than ours, making ours obsolete or otherwise noncompetitive;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regulatory approval for products more rapidly or effectively than 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patent protection or other intellectual property rights that would block our ability to develop competitive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Drug Candidates</w:t>
      </w:r>
    </w:p>
    <w:p>
      <w:pPr>
        <w:spacing w:after="0" w:line="23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may face delays, difficulties or unanticipated costs in establishing sales, marketing and distribution capabilities or seeking a partnership for the commercialization of our drug candidates, even if regulatory approval is obtained.</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may choose to build a commercial organization which we believe could provide us with the strategic options to either retain full economic rights to our drug candidates or seek favorable economic terms through advantageous commercial partnerships. As a result, we may have full responsibility for commercialization of one or more of our drug candidates if and when they are approved for sale. We currently lack sufficient marketing, sales and distribution capabilities to carry out this strategy. If any of our drug candidates are approved by the FDA, we will need a drug sales force with technical expertise prior to the commercialization of any of our drug candidates. We may not succeed in developing such sales and distribution capabilities, the cost of establishing such sales and distribution capabilities may exceed any product revenue, or our direct marketing and sales efforts may be unsuccessful. We may find it necessary to enter into strategic partnerships, co-promotion or other licensing arrangements. To the extent we enter into such strategic partnerships, co-promotion or other licensing arrangements, our product revenues are likely to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any drug candidates, for which we obtain regulatory approval, either on our own or through collaborations with one or more third parties, our future product revenue will suffer, and we may never achieve profitability or become unable to continue the operation of our business.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our drug candidates for which we obtain regulatory approval do not achieve broad acceptance from physicians, patients and third-party payors, we may be unable to generate significant revenues, if any.</w:t>
      </w:r>
    </w:p>
    <w:p>
      <w:pPr>
        <w:spacing w:after="0" w:line="186"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Even if we obtain regulatory approval for our drug candidates, our approved drugs may not gain market acceptance among physicians and patients. We believe that effectively marketing our drug candidates, if any of them are approved, will require substantial efforts, both prior to commercial launch and after approval. Physicians may elect not to prescribe our drugs, and patients may elect not to request or take them, for a variety of reasons, including:</w:t>
      </w:r>
    </w:p>
    <w:p>
      <w:pPr>
        <w:spacing w:after="0" w:line="174"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or warnings contained in a drug's FDA-approved labeling;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standard of care or the availability of alternative drugs for the targeted indications for any of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in the approved indications for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availability, market acceptance and reimbursement for the companion diagnostic, where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adverse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education, sales, marketing and distribution support;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publicity about our drug candidates or favorable publicity about competitive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convenience and ease of administration of our drug candidates;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willingness of third-party payors to reimburse for the cost of our drug candidates.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our future drugs fail to achieve market acceptance, we will not be able to generate significant revenues and may never achieve profitability.</w:t>
      </w:r>
    </w:p>
    <w:p>
      <w:pPr>
        <w:spacing w:after="0" w:line="24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Even if any of our drug candidates receive FDA approval, the terms of the approval may limit such drug's commercial potential. Additionally, even after receipt of FDA approval, such drug would be subject to substantial, ongoing regulatory requirements.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FDA has complete discretion over the approval of our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Additionally, even after granting approval, the manufacturing processes, labeling, packaging, distribution, adverse event reporting, storage, advertising, promotion and recordkeeping for such drug will be subject to extensive and ongoing regulatory requirements. In addition, manufacturers of our drug candidates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candidates, and these facilities are subject to continual review and periodic inspections by the FDA and other regulatory authorities for compliance 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of any of our drug candidates. If there is not sufficient reimbursement for our future drugs, it is less likely that such drugs will be widely used.</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Market acceptance and sales of any of our drug candidates for which we obtain regulatory approval will depend on reimbursement policies and may be affected by future health 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spacing w:after="0" w:line="20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legislation, or similar regulatory changes or relaxation of laws that restrict imports of drugs from other countries, could reduce the net price we receive for any future marketed drugs. As a result, our future drugs might not ultimately be considered cost-effective.</w:t>
      </w:r>
    </w:p>
    <w:p>
      <w:pPr>
        <w:spacing w:after="0" w:line="170"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cannot be certain that reimbursement will be available for any drug candidates that we develop. Also, we cannot be certain that reimbursement policies will not reduce the demand for, or the price paid for, any future drugs. If reimbursement is not available or is available on a limited basis, we may not be able to successfully commercialize any drug candidates that we develop.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factors could affect the demand for and sales and profitability of any drug candidates that we may commercialize in the future.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other factors that could affect the demand for and sales and profitability of our future drugs include, but are not limited to:</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regulatory approval, if any, of competitive drugs;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or any other of our partners' pricing decisions, as applicable, including a decision to increase or decrease the price of a drug, and the pricing decisions of our competitors;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government and third-party payor reimbursement and coverage decisions that affect the utilization of our future drugs and competing drugs;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safety or efficacy data from new clinical studies conducted either in the U.S. or internationally by any party, which could cause the sales of our future drugs to decrease or a future drug to be recalled;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degree of patent protection afforded our future drugs by patents granted to or licensed by us and by the outcome of litigation involving our or any of our licensor's patents;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outcome of litigation involving patents of other companies concerning our future drugs or processes related to production and formulation of those drugs or uses of those drugs;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increasing use and development of alternate therapies;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market penetration by competing drugs;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termination of, or change in, existing arrangements with our partners.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could have a material adverse effect on the sales of any drug candidates that we may commercialize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will prevent us from marketing our products internationally.</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may seek approval for our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spacing w:after="0" w:line="16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Before granting the MA, the European Medicines Agency or the competent authorities of the member states of the EEA make an assessment of the risk-benefit balance of the product on the basis of scientific criteria concerning its quality, safety and efficacy.</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If our drug candidates are approved for commercialization outside of the United States, we expect that we will be subject to additional risks related to international operations and entering into international business relationships, including:</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 secret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workforce uncertainty in countries where employment regulations are different than, and labor unrest is more common than, in the United States;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hurricanes, floods and fires;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31"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b w:val="1"/>
          <w:bCs w:val="1"/>
          <w:i w:val="1"/>
          <w:iCs w:val="1"/>
          <w:color w:val="auto"/>
        </w:rPr>
        <w:t>We rely on third parties to plan, conduct and monitor our clinical tests, and their failure to perform as required would interfere with our product development.</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spacing w:after="0" w:line="17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We rely on contract manufacturers over whom we have limited control. Should the cost, delivery and quality of clinical materials manufactured by us in our Fall River facility or supplied by contract manufacturers vary to our disadvantage, our business operations could suffer significant harm.</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limited experience in commercial manufacturing. We rely on CMOs to manufacture drug substance and drug product for any late-stage clinical studies of our drug candidates as well as for future commercial supplies. Our ability to conduct late-stage clinical trials, manufacture and commercialize our drug candidates, if regulatory approval is obtained, depends on the ability of such third parties to manufacture our drug candidates on a large scale at a competitive cost and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accordance with cGMP and foreign regulatory requirements, if applicable. We also rely on CMOs for filling, packaging, storage and shipping of drug product. In order for us to establish our own commercial manufacturing facility, we would require substantial additional funds and would need to hire and retain significant additional personnel and comply with extensive cGMP regulations applicable to such a facility. The commercial manufacturing facility would also need to be licensed for the production of our drug candidates by the FDA.</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Prior to approval of any drug candidate, the FDA must review and approve validation studies for drug product. 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scale-up of manufacturing may result in unanticipated technical challenges and may require additional validation studies that the FDA must review and approve. CMOs may encounter difficulties in scaling up production, including problems involving raw material suppliers, production yields, technical difficulties, scaled-up product characteristics, quality control and assurance, shortage of qualified personnel, capacity constraints, changing priorities within the CMOs, compliance with FDA and foreign regulations, environmental compliance, production costs and development of advanced manufacturing 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a reliable source of drug product becomes critical to commercial success. The commercial viability of any of our drug candidates, if approved, will depend on the ability of our contract manufacturers to produce drug product on a large scale. Failure to achieve this level of supply can jeopardize and prevent the successful commercialization of the drug.</w:t>
      </w:r>
    </w:p>
    <w:p>
      <w:pPr>
        <w:spacing w:after="0" w:line="17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regulations, allowing us to distribute potential products to clinical sites in the U.S. for early-stage clinical trials. We currently manufacture CDX-1140, CDX-301 and CDX-0159 drug substance in our Fall River facility for our current and planned Phase 1 and Phase 2 clinical trials. We expect that our existing clinical supplies of CDX-3379 and varlilumab will be sufficient to carry out our current planned clinical development. Additional manufacturing options are under review and may involve utilization of the Fall River facility and/or a CMO. All products are then filled and packaged at contract manufacturers. Any manufacturing failures or compliance issues at contract manufacturers could cause delays in our Phase 1 and Phase 2 clinical studies for these drug candidates.</w:t>
      </w:r>
    </w:p>
    <w:p>
      <w:pPr>
        <w:spacing w:after="0" w:line="172"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Our leading drug candidates require specialized manufacturing capabilities and processes. 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7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There can be no assurances that contract manufacturers will be able to meet our timetable and requirements. Further, contract manufacturers must operate in compliance with cGMP and failure to do so could result in, among other things, the disruption of product supplies. As noted above, non-U.S. contract manufacturers may face special challenges in complying with cGMP requirements, and although we are not currently dependent on non-U.S. collaborators or contract manufacturers, we may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manufacture, sell and deliver products on a timely and competitive basis.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third-party collaborators to develop and commercialize companion diagnostic tests for certain of our drug candidates.</w:t>
      </w:r>
    </w:p>
    <w:p>
      <w:pPr>
        <w:spacing w:after="0" w:line="248"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do not have experience or capabilities in developing, administering, obtaining regulatory approval for, or commercializing companion diagnostic tests and will need to rely in large part on third-party collaborators to perform these functions. Companion diagnostic tests are subject to regulation by the FDA and similar regulatory authorities outside of the United States as medical devices and require separate regulatory approval prior to commercialization. We are dependent on such third-party collaborators to obtain regulatory approval and commercialize such companion diagnostic tests. Such third-party collaborators:</w:t>
      </w:r>
    </w:p>
    <w:p>
      <w:pPr>
        <w:spacing w:after="0" w:line="180"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perform its obligations as expected or as required under our collaboration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encounter production difficulties that could constrain the supply of the companion diagnostic test;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have difficulties gaining acceptance of the use of the companion diagnostic test in the clinical community;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pursue commercialization of the companion diagnostic test even if they receive any required regulatory approvals;</w:t>
      </w:r>
    </w:p>
    <w:p>
      <w:pPr>
        <w:spacing w:after="0" w:line="252"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may elect not to continue the development or commercialization of the companion diagnostic test based on changes in the third parties' strategic focus or available funding, or external factors such as an acquisition, that divert resources or create competing priorities;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the companion diagnostic test;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such third-party collaborators fail to develop, obtain regulatory approval or commercialize the companion diagnostic test,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third parties requires us to share our trade secrets, which increases the possibility that a competitor will discover them.</w:t>
      </w:r>
    </w:p>
    <w:p>
      <w:pPr>
        <w:spacing w:after="0" w:line="24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Because we rely on third parties to develop our drug candidates,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Business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6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From time to time we may consider strategic transactions, including acquisitions of companies, such as our acquisition of Kolltan in the fourth quarter of 2016, asset purchases and out-licensing or in-licensing of products, drug candidates or technologies. Additional potential transactions that we may consider include a variety of different business arrangements, including spin-offs, strategic partnerships, joint ventures, restructurings, divestitures, business combinations, acquisitions of assets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88"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5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drug candidates or technologies;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ind w:right="580" w:firstLine="341"/>
        <w:spacing w:after="0" w:line="332" w:lineRule="auto"/>
        <w:rPr>
          <w:sz w:val="20"/>
          <w:szCs w:val="20"/>
          <w:color w:val="auto"/>
        </w:rPr>
      </w:pPr>
      <w:r>
        <w:rPr>
          <w:rFonts w:ascii="Arial" w:cs="Arial" w:eastAsia="Arial" w:hAnsi="Arial"/>
          <w:sz w:val="16"/>
          <w:szCs w:val="16"/>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3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depend greatly on the intellectual capabilities and experience of our key executives and scientists, and the loss of any of them could affect our ability to develop our products.</w:t>
      </w:r>
    </w:p>
    <w:p>
      <w:pPr>
        <w:spacing w:after="0" w:line="186"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The loss of any of our executive officers could harm us. We entered into employment agreements with each of our executive officers,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may expand our clinical development, regulatory and sales and marketing capabilities, and as a result, we may encounter difficulties in managing our growth, which could disrupt our operations.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expect that if our drug candidates continue to progress in development, we may require significant additional investment in personnel, management systems and resources, particularly in the build out of our commercial capabilities. To date we have hired a core commercial team to plan for potential commercial launches if any of our drug candidates are approved. Over the next several years, we may experience significant growth in the number of our employees and the scope of our operations, particularly in the areas of drug development, regulatory affairs and sales and marketing. To manage this potential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of our acquisition of Kolltan.</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success of the Kolltan merger will depend on, among other things, the successful development of the preclinical and clinical programs acquired from Kolltan. Following the acquisition, we decided to modify the Fc portion of CDX-0158 because approximately two-thirds of the patients in the Phase 1 dose-escalation study of CDX-0158 in patients with advanced refractory gastrointestinal stromal tumors, or GIST, and other KIT positive tumors had infusion reactions. This second-generation version, called CDX-0159, also includes modifications to increase the half-life of the antibody, giving it an additional advantage over CDX-0158. We are developing CDX-0159 in-house with the intention of replacing CDX-0158 in clinical development. As a result in the third quarter of 2017, we recorded a non-cash partial impairment charge of $13.0 million related to this clinical program due to changes in projected development and regulatory timelines. The time periods to receive approvals from the FDA and other regulatory agencies are subject to uncertainty and therefore we will continue to evaluate the development progress for the anti-KIT program and monitor the remaining $27.0 million intangible asset for further impairment. If we experience further delays or do not successfully develop the preclinical and clinical programs acquired from Kolltan, we may incur further impairment charges and may not realize the anticipated benefits of the Kolltan acquisition, which would have an adverse effect on our business prospects and results of operations.</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 care fraud and abuse laws and regulations, report financial information or data accurately or disclose unauthorized activities to us. In particular, sales, marketing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and launched a Health Care Compliance program,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successfully integrate our existing technology or to modify our technologies to create new immunotherapeutic drugs.</w:t>
      </w:r>
    </w:p>
    <w:p>
      <w:pPr>
        <w:spacing w:after="0" w:line="24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If we are able to integrate our acquired assets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we may face the loss of our investment of financial resources and time in the integration process.</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believe that our immunotherapy technology portfolio may offer opportunities to develop immunotherapeutic drugs that treat a variety of cancers and inflammatory and infectious diseases by stimulating a patient's immune system against those diseases. If our immunotherapy technology portfolio cannot be used to create effective immunotherapeutic drugs against a variety of diseases, we may lose all or portions of our investment in development efforts for new drug candidates.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CROs, CMOs, or other contractors or consultants, may fail or suffer security breaches, which could result in a material disruption of our drug development programs.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CMOs, and other contractors and consultants are vulnerable to damage from cyberattacks, malicious intrusion, computer viruses, unauthorized access, loss of data privacy, natural disasters, terrorism, war and telecommunication, electrical failures or other significant disruption. If such an event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or commercialization of our drug candidates could be delayed.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us to use hazardous materials, which increases our exposure to dangerous and costly accidents.</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the risk of product liability claims, which could exceed our insurance coverage, and product recalls, each of which could deplete our cash resources.</w:t>
      </w:r>
    </w:p>
    <w:p>
      <w:pPr>
        <w:spacing w:after="0" w:line="260"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 care providers or by individuals, organizations or companies selling our products. Product liability claims can be expensive to defend, even if the drug or drug candidate did not actually cause the alleged injury or harm.</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Insurance covering product liability claims becomes increasingly expensive as a drug candidate moves through the development pipeline to commercialization. Under our license agreements, we are required to maintain clinical trial liability insurance coverage up to $15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development of our drug candidates and, if approval is obtained, commercialization of our future drugs.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spacing w:after="0" w:line="19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spacing w:after="0" w:line="139"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w:t>
      </w:r>
    </w:p>
    <w:p>
      <w:pPr>
        <w:spacing w:after="0" w:line="174" w:lineRule="exact"/>
        <w:rPr>
          <w:sz w:val="20"/>
          <w:szCs w:val="20"/>
          <w:color w:val="auto"/>
        </w:rPr>
      </w:pPr>
    </w:p>
    <w:p>
      <w:pPr>
        <w:ind w:right="20" w:firstLine="351"/>
        <w:spacing w:after="0" w:line="307" w:lineRule="auto"/>
        <w:rPr>
          <w:sz w:val="20"/>
          <w:szCs w:val="20"/>
          <w:color w:val="auto"/>
        </w:rPr>
      </w:pPr>
      <w:r>
        <w:rPr>
          <w:rFonts w:ascii="Arial" w:cs="Arial" w:eastAsia="Arial" w:hAnsi="Arial"/>
          <w:sz w:val="15"/>
          <w:szCs w:val="15"/>
          <w:color w:val="auto"/>
        </w:rPr>
        <w:t>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 For example, in September 2014, two European patent oppositions were filed against the University of Southampton European patent, and at a hearing on November 23, 2016 the European Patent Office (EPO) revoked the European patent on the ground of lack of inventive step. The University of Southampton has filed an appeal against this decision, and we intend to defend the European patent vigorously in cooperation with the University of Southampton. This EPO decision does not affect the later filed Celldex patents and applications for varlilumab. We also have an issued U.S. patent which covers varlilumab as a composition of matter.</w:t>
      </w:r>
    </w:p>
    <w:p>
      <w:pPr>
        <w:spacing w:after="0" w:line="16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86"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6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are aware of a third-party European patent that relates to use of ErbB3 antibodies for treatment of hyperproliferative disorders, including cancer. A counterpart of this patent has also issued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Japan and Australia. As a result of an opposition proceeding, the European patent was revoked in its entirety. The owner of the European patent has appealed the decision in the opposition proceeding but the appeal has been rejected so that the decision to revoke the European patent stands. We continue to monitor counterparts in other jurisdictions. While we cannot predict whether claims will issue in these other jurisdictions or whether the scope of such claims would be relevant to our activities, these applications entail comparable risks to us in these other jurisdictions.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the confidentiality of our trade secrets, thus harming our business and competitive position.</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patents, which could be expensive, time-consuming and unsuccessful.</w:t>
      </w:r>
    </w:p>
    <w:p>
      <w:pPr>
        <w:spacing w:after="0" w:line="24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developing the infringing technology or product. In addition, we could be found liable for monetary damages. Claims that we have misappropriated the confidential information or trade secrets of third parties can have a similar negative impact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 secrets.</w:t>
      </w:r>
    </w:p>
    <w:p>
      <w:pPr>
        <w:spacing w:after="0" w:line="260" w:lineRule="exact"/>
        <w:rPr>
          <w:sz w:val="20"/>
          <w:szCs w:val="20"/>
          <w:color w:val="auto"/>
        </w:rPr>
      </w:pPr>
    </w:p>
    <w:p>
      <w:pPr>
        <w:ind w:right="160" w:firstLine="348"/>
        <w:spacing w:after="0" w:line="253" w:lineRule="auto"/>
        <w:rPr>
          <w:sz w:val="20"/>
          <w:szCs w:val="20"/>
          <w:color w:val="auto"/>
        </w:rPr>
      </w:pPr>
      <w:r>
        <w:rPr>
          <w:rFonts w:ascii="Arial" w:cs="Arial" w:eastAsia="Arial" w:hAnsi="Arial"/>
          <w:sz w:val="18"/>
          <w:szCs w:val="18"/>
          <w:color w:val="auto"/>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may seek orphan drug designation for some of our product candidates in the United States.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9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indication for that drug during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cannot assure you that any future application for orphan drug designation with respect to any product candidate, will be granted. If we are unable to obtain orphan drug designation in the United States, we will not be eligible to obtain the period of market exclusivity that could result from orphan drug designation or be afforded the financial incentives associated with orphan drug designation. 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Any fast track designation or grant of priority review status by the FDA may not actually lead to a faster development or regulatory review or approval process, nor will it assure FDA approval of our product candidates. Additionally, our product candidates may treat indications that do not qualify for priority review vouchers.</w:t>
      </w:r>
    </w:p>
    <w:p>
      <w:pPr>
        <w:spacing w:after="0" w:line="19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seek fast track designation for some of our product candidates or priority review of applications for approval of our product candidates. If a drug is intended for the treatment of a serious or life-threatening condition and the drug demonstrates the potential to address unmet medical needs for this condition, the drug sponsor may apply for FDA fast track designation. If a product candidate offers major advances in treatment, the FDA may designate it eligible for priority review. The FDA has broad discretion whether or not to grant these designations, so even if we believe a particular product candidate is eligible for these designations, we cannot assure you that the FDA would decide to grant them. Even if we do receive fast track designation or priority review,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7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Any breakthrough therapy designation granted by the FDA for our product candidates may not lead to a faster development or regulatory review or approval process, and it does not increase the likelihood that our product candidates will receive marketing approval.</w:t>
      </w:r>
    </w:p>
    <w:p>
      <w:pPr>
        <w:spacing w:after="0" w:line="13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 if the relevant criteria are met.</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19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our processes and systems are not compliant with regulatory requirements, we could be subject to delays in submitting BLAs, NDAs or restrictions on marketing of drugs after they have been approved.</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17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9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252" w:lineRule="exact"/>
        <w:rPr>
          <w:rFonts w:ascii="Arial" w:cs="Arial" w:eastAsia="Arial" w:hAnsi="Arial"/>
          <w:sz w:val="18"/>
          <w:szCs w:val="18"/>
          <w:color w:val="auto"/>
        </w:rPr>
      </w:pPr>
    </w:p>
    <w:p>
      <w:pPr>
        <w:ind w:left="5620" w:right="4800" w:hanging="5072"/>
        <w:spacing w:after="0" w:line="613" w:lineRule="auto"/>
        <w:tabs>
          <w:tab w:leader="none" w:pos="1082"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refusal to accept or approve applications for marketing approval of new drugs;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9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We may be subject, directly or indirectly, to federal and state health care fraud and abuse laws, false claims laws and health information privacy and security laws. If we are unable to comply, or have not fully complied, with such laws, we could face substantial penalties.</w:t>
      </w:r>
    </w:p>
    <w:p>
      <w:pPr>
        <w:spacing w:after="0" w:line="139"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If we obtain FDA approval for any of our drug candidates and begin commercializing those products in the United States, our operations will be directly, or indirectly through our customers, subject to various federal and state fraud and abuse laws, including, without limitation, the federal Anti-Kickback Statute and the federal False Claims Act. These laws may affect,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10" w:lineRule="exact"/>
        <w:rPr>
          <w:sz w:val="20"/>
          <w:szCs w:val="20"/>
          <w:color w:val="auto"/>
        </w:rPr>
      </w:pPr>
    </w:p>
    <w:p>
      <w:pPr>
        <w:ind w:left="1080" w:right="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 care program, such as the Medicare and Medicaid programs;</w:t>
      </w:r>
    </w:p>
    <w:p>
      <w:pPr>
        <w:spacing w:after="0" w:line="207"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221" w:lineRule="exact"/>
        <w:rPr>
          <w:rFonts w:ascii="Arial" w:cs="Arial" w:eastAsia="Arial" w:hAnsi="Arial"/>
          <w:sz w:val="18"/>
          <w:szCs w:val="18"/>
          <w:color w:val="auto"/>
        </w:rPr>
      </w:pPr>
    </w:p>
    <w:p>
      <w:pPr>
        <w:ind w:left="1080" w:right="40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as amended by the Health Information Technology for Economic and Clinical Health Act of 2009, or HITECH, and its implementing regulations, which impose certain requirements relating to the privacy, security and transmission of individually identifiable health information;</w:t>
      </w:r>
    </w:p>
    <w:p>
      <w:pPr>
        <w:spacing w:after="0" w:line="207"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207" w:lineRule="exact"/>
        <w:rPr>
          <w:rFonts w:ascii="Arial" w:cs="Arial" w:eastAsia="Arial" w:hAnsi="Arial"/>
          <w:sz w:val="18"/>
          <w:szCs w:val="18"/>
          <w:color w:val="auto"/>
        </w:rPr>
      </w:pPr>
    </w:p>
    <w:p>
      <w:pPr>
        <w:ind w:left="1080" w:right="140" w:hanging="532"/>
        <w:spacing w:after="0" w:line="256"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97"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exclusion from payment by federal health care programs,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spacing w:after="0" w:line="186"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We are subject to various domestic and international privacy and security regulations. The confidentiality, collection, use and disclosure of personal data, including clinical trial patient-specific information, are subject to governmental regulation generally in the country that the personal data were collected or used. In the United States we are subject to various state and federal privacy and data security regulations, including but not limited to HIPAA and as amended in 2014 by the HITECH Act. HIPAA mandates, among other things, the adoption of uniform standards for the electronic exchange of information in common health care transactions, as well as standards relating to the privacy and security of individually identifiable health information, which require the adoption of administrative, physical and technical safeguards to protect such information.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regulation with respect to protection of and cross-border transfers of such data out of the EU, and this regulation will become more stringent in May 2018 when the EU's General Data Protection Regulation (GDPR) comes into effect. Furthermore, the legislative and regulatory landscape for privacy and data protection continues to evolve, and there has been an increasing amount of focus on privacy and data protection issues. The United States and the EU and its member states continue to issue new privacy and data protection rules and regulations that relate to personal data and health information.</w:t>
      </w:r>
    </w:p>
    <w:p>
      <w:pPr>
        <w:spacing w:after="0" w:line="178"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Compliance with these laws may be time 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Changes in health care law and implementing regulations, including government restrictions on pricing and reimbursement, as well as health care policy and other health care payor cost-containment initiatives, may have a material adverse effect on us.</w:t>
      </w:r>
    </w:p>
    <w:p>
      <w:pPr>
        <w:spacing w:after="0" w:line="186" w:lineRule="exact"/>
        <w:rPr>
          <w:sz w:val="20"/>
          <w:szCs w:val="20"/>
          <w:color w:val="auto"/>
        </w:rPr>
      </w:pPr>
    </w:p>
    <w:p>
      <w:pPr>
        <w:ind w:right="360" w:firstLine="351"/>
        <w:spacing w:after="0" w:line="335" w:lineRule="auto"/>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 care system and efforts to control health care costs, including drug prices, that could have a significant negative impact on our business, including preventing, limiting or delay regulatory approval of our drug candidates and reducing the sales and profits derived from our products once they are approved.</w:t>
      </w:r>
    </w:p>
    <w:p>
      <w:pPr>
        <w:spacing w:after="0" w:line="142" w:lineRule="exact"/>
        <w:rPr>
          <w:sz w:val="20"/>
          <w:szCs w:val="20"/>
          <w:color w:val="auto"/>
        </w:rPr>
      </w:pPr>
    </w:p>
    <w:p>
      <w:pPr>
        <w:ind w:right="80" w:firstLine="351"/>
        <w:spacing w:after="0" w:line="314" w:lineRule="auto"/>
        <w:rPr>
          <w:sz w:val="20"/>
          <w:szCs w:val="20"/>
          <w:color w:val="auto"/>
        </w:rPr>
      </w:pPr>
      <w:r>
        <w:rPr>
          <w:rFonts w:ascii="Arial" w:cs="Arial" w:eastAsia="Arial" w:hAnsi="Arial"/>
          <w:sz w:val="15"/>
          <w:szCs w:val="15"/>
          <w:color w:val="auto"/>
        </w:rPr>
        <w:t>For example, in the United States, the Patient Protection and Affordable Care Act of 2010 ("ACA") substantially changed the way health care is financed by both governmental and private insurers and significantly affects the pharmaceutical industry. Many provisions of ACA impact the biopharmaceutical industry, including that in order for a biopharmaceutical product to receive federal reimbursement under the Medicare Part B and Medicaid programs or to be sold directly to U.S. government agencies, the manufacturer must extend discounts to entities eligible to participate in the drug pricing program under the Public Health Services Act, or PHS. Since its enactment, there have been judicial and Congressional challenges and amendments to certain aspects of ACA. There is continued uncertainty about the implementation of ACA, including the potential for further amendments to the ACA and legal challenges to or efforts to repeal the ACA.</w:t>
      </w:r>
    </w:p>
    <w:p>
      <w:pPr>
        <w:spacing w:after="0" w:line="159"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cannot be sure whether additional legislative changes will be enacted, or whether government regulations, guidance or interpretations will be changed, or what the impact of such changes would be on the marketing approvals, sales, pricing, or reimbursement of our drug candidates or products, if any, may be.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history of losses and uncertainty of future profitability make our common stock a highly speculative investment.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had no commercial revenue to date from sales of our drug candidates. We had an accumulated deficit of $962.4 million as of December 31, 2018.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expect to spend substantial funds to continue the research and development testing of our drug candidates.</w:t>
      </w:r>
    </w:p>
    <w:p>
      <w:pPr>
        <w:spacing w:after="0" w:line="219"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drug candidates receive FDA approval. We cannot predict how quickly our lead drug candidates will progress through the regulatory approval process. As a result, we may continue to lose money for several years.</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3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completed the reverse stock split in order to regain compliance with the listing requirements of NASDAQ. However, the reverse stock split may not result in our stock price remaining compliant with the minimum price requirements of NASDAQ.</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common stock is listed on the NASDAQ Capital Market. In order to maintain that listing, we must satisfy minimum financial and other requirements including, without limitation, a requirement that our closing bid price be at least $1.00 per share. On May 29, 2018, we received a written notice from NASDAQ indicating that we are not in compliance with the minimum bid price requirement for continued listing on the NASDAQ Global Market and, effective November 28, 2018, our common stock commenced trading on the NASDAQ Capital Market. In connection with the transfer to the NASDAQ Capital Market, we were granted an additional 180 days in which to regain compliance with the minimum bid price requirement, or, until May 28, 2019.</w:t>
      </w:r>
    </w:p>
    <w:p>
      <w:pPr>
        <w:spacing w:after="0" w:line="170" w:lineRule="exact"/>
        <w:rPr>
          <w:sz w:val="20"/>
          <w:szCs w:val="20"/>
          <w:color w:val="auto"/>
        </w:rPr>
      </w:pPr>
    </w:p>
    <w:p>
      <w:pPr>
        <w:ind w:right="140" w:firstLine="341"/>
        <w:spacing w:after="0" w:line="253" w:lineRule="auto"/>
        <w:rPr>
          <w:sz w:val="20"/>
          <w:szCs w:val="20"/>
          <w:color w:val="auto"/>
        </w:rPr>
      </w:pPr>
      <w:r>
        <w:rPr>
          <w:rFonts w:ascii="Arial" w:cs="Arial" w:eastAsia="Arial" w:hAnsi="Arial"/>
          <w:sz w:val="18"/>
          <w:szCs w:val="18"/>
          <w:color w:val="auto"/>
        </w:rPr>
        <w:t>At our annual meeting of stockholders in June 2018, our stockholders approved a proposal to grant discretionary authority to our Board of Directors to amend our certificate of incorporation to effect a reverse stock split of our outstanding shares of common stock within a range of one share of common stock for every ten shares of common stock to one share of common stock for every fifteen shares of common stock, with the exact reverse stock split ratio to be decided by the Board of Directors. On February 8, 2019 we announced that our Board of Directors had approved a one for fifteen reverse stock split of our issued and outstanding shares of common stock. On February 11, 2019, our common stock began trading on a split-adjusted basis on the NASDAQ Capital Market. On February 26, 2019, we received formal notice from NASDAQ that we had regained compliance with the minimum $1.00 bid price requirement and the matter is now closed.</w:t>
      </w:r>
    </w:p>
    <w:p>
      <w:pPr>
        <w:spacing w:after="0" w:line="201"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There can be no assurance that in the future we will be able to maintain compliance with the minimum bid price requirement or we will otherwise be in compliance with other NASDAQ listing criteria. If we fail to maintain compliance with the minimum bid requirement or to meet the other applicable continued listing requirements for the NASDAQ Capital Market in the future and NASDAQ determines to delist our common stock, the delisting could adversely affect the market price and liquidity of our common stock and reduce our ability to raise additional capital. In addition, if our common stock is delisted from NASDAQ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national securities exchange or quoted on NASDAQ that has a market price of less than $5.00 per share, subject to certain exceptions).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could remain volatile.</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market price of our common stock has historically experienced and may continue to experience significant volatility. From January 2018 through December 2018, the market price of our common stock has fluctuated from a high of $46.20 per share in the first quarter of 2018, to a low of $2.75 per share in the fourth quarter of 2018 (giving retroactive effect to our recently completed one for fifteen reverse stock split).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Adverse changes to the price of our common stock could result in an impairment to the amount recorded to goodwill on our balance sheet.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7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completed the reverse stock split of our shares of common stock, which may reduce and may limit the market trading liquidity of the shares due to the reduced number of shares outstanding, and may potentially have an anti-takeover effect.</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completed the reverse stock split of our common stock by a ratio of one for fifteen effective February 8, 2019.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 Further, since the reverse stock split was not accompanied by a corresponding decrease in the number of shares authorized for issuance under our Third Restated Certificate of Incorporation, the relative increase in the number of shares authorized for issuance could, under certain circumstances, have an anti-takeover effect by enabling our Board of Directors to issue additional shares of common stock in a transaction making it more difficult for a party to obtain control of us by tender offer or other means.</w:t>
      </w:r>
    </w:p>
    <w:p>
      <w:pPr>
        <w:spacing w:after="0" w:line="18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certain preclinical and clinical milestones are achieved, our stockholders may experience significant dilution as a result of milestone payments to former Kolltan stockholders.</w:t>
      </w:r>
    </w:p>
    <w:p>
      <w:pPr>
        <w:spacing w:after="0" w:line="186"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merger agreement pursuant to which we acquired Kolltan provides that, in the event that certain specified preclinical and clinical development milestones related to Kolltan's development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programs and/or Celldex's development programs and certain commercial milestones related to Kolltan's drug candidates are achieved, we will be required to pay Kolltan's stockholders milestone payments of up to $127.5 million as of December 31, 2018. These milestone payments may be made, at our sole election, in cash, in shares of our common stock or a combination of both, subject to the provisions of the merger agreement. The number of shares of our common stock issuable in connection with a milestone payment, if any, will be determined based on the average closing price per share of our common stock for the five trading day period ending three calendar days prior to the achievement of such milestone. If we elect to issue additional shares of our common stock, in lieu of paying cash, for such milestone payments, our stockholders may experience significant dilution.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will be subject to limitation and, under certain circumstances, may be eliminated.</w:t>
      </w:r>
    </w:p>
    <w:p>
      <w:pPr>
        <w:spacing w:after="0" w:line="24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October 2007, June 2009, December 2009 and December 2013, we experienced a change in ownership as defined by Section 382 of the Internal Revenue Code. Historically, we have raised capital through the issuance of capital stock on several occasions which, combined with shareholders' subsequent disposition of those shares, has resulted in three changes of control, as defined by Section 382. As a result of these ownership changes, utilization of our Federal net operating loss carryforwards is subject to an annual limitation. Any unused annual limitation may be carried over to later years, and the amount of the limitation may, under certain circumstances, be subject to adjustment if the fair value of our net assets is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pacing w:after="0" w:line="172"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We have not undertaken a study to assess whether an ownership change or multiple ownership changes has occurred for (i) acquired businesses prior to the acquisition, (ii) the Company on the state level, (iii) the Company since March 2015 or (iv) research and development credits. If, based on such a study, we were to determine that there has been an ownership change at any time since its formation, utilization of net operating loss or tax credit carryforwards would be subject to an annual limitation under Section 382.</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14, "Income Taxes," in the accompanying notes to the financial statements for additional discussion on income taxes.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our significant leased properties are described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3"/>
              </w:rPr>
              <w:t>Approximate</w:t>
            </w:r>
          </w:p>
        </w:tc>
        <w:tc>
          <w:tcPr>
            <w:tcW w:w="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60" w:type="dxa"/>
            <w:vAlign w:val="bottom"/>
            <w:gridSpan w:val="4"/>
          </w:tcPr>
          <w:p>
            <w:pPr>
              <w:spacing w:after="0"/>
              <w:rPr>
                <w:sz w:val="20"/>
                <w:szCs w:val="20"/>
                <w:color w:val="auto"/>
              </w:rPr>
            </w:pPr>
            <w:r>
              <w:rPr>
                <w:rFonts w:ascii="Arial" w:cs="Arial" w:eastAsia="Arial" w:hAnsi="Arial"/>
                <w:sz w:val="14"/>
                <w:szCs w:val="14"/>
                <w:b w:val="1"/>
                <w:bCs w:val="1"/>
                <w:color w:val="auto"/>
              </w:rPr>
              <w:t>Property Location</w:t>
            </w:r>
          </w:p>
        </w:tc>
        <w:tc>
          <w:tcPr>
            <w:tcW w:w="900" w:type="dxa"/>
            <w:vAlign w:val="bottom"/>
          </w:tcPr>
          <w:p>
            <w:pPr>
              <w:jc w:val="right"/>
              <w:ind w:right="39"/>
              <w:spacing w:after="0"/>
              <w:rPr>
                <w:sz w:val="20"/>
                <w:szCs w:val="20"/>
                <w:color w:val="auto"/>
              </w:rPr>
            </w:pPr>
            <w:r>
              <w:rPr>
                <w:rFonts w:ascii="Arial" w:cs="Arial" w:eastAsia="Arial" w:hAnsi="Arial"/>
                <w:sz w:val="14"/>
                <w:szCs w:val="14"/>
                <w:b w:val="1"/>
                <w:bCs w:val="1"/>
                <w:color w:val="auto"/>
                <w:w w:val="94"/>
              </w:rPr>
              <w:t>Square Feet</w:t>
            </w:r>
          </w:p>
        </w:tc>
        <w:tc>
          <w:tcPr>
            <w:tcW w:w="160" w:type="dxa"/>
            <w:vAlign w:val="bottom"/>
          </w:tcPr>
          <w:p>
            <w:pPr>
              <w:spacing w:after="0"/>
              <w:rPr>
                <w:sz w:val="14"/>
                <w:szCs w:val="14"/>
                <w:color w:val="auto"/>
              </w:rPr>
            </w:pPr>
          </w:p>
        </w:tc>
        <w:tc>
          <w:tcPr>
            <w:tcW w:w="2840" w:type="dxa"/>
            <w:vAlign w:val="bottom"/>
          </w:tcPr>
          <w:p>
            <w:pPr>
              <w:ind w:left="1320"/>
              <w:spacing w:after="0"/>
              <w:rPr>
                <w:sz w:val="20"/>
                <w:szCs w:val="20"/>
                <w:color w:val="auto"/>
              </w:rPr>
            </w:pPr>
            <w:r>
              <w:rPr>
                <w:rFonts w:ascii="Arial" w:cs="Arial" w:eastAsia="Arial" w:hAnsi="Arial"/>
                <w:sz w:val="14"/>
                <w:szCs w:val="14"/>
                <w:b w:val="1"/>
                <w:bCs w:val="1"/>
                <w:color w:val="auto"/>
              </w:rPr>
              <w:t>Use</w:t>
            </w:r>
          </w:p>
        </w:tc>
        <w:tc>
          <w:tcPr>
            <w:tcW w:w="1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Arial" w:cs="Arial" w:eastAsia="Arial" w:hAnsi="Arial"/>
                <w:sz w:val="14"/>
                <w:szCs w:val="14"/>
                <w:b w:val="1"/>
                <w:bCs w:val="1"/>
                <w:color w:val="auto"/>
                <w:w w:val="91"/>
              </w:rPr>
              <w:t>Lease 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Hampton, New Jersey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49,600</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Headquarters, Office and Laboratory</w:t>
            </w: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July 2020(1)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Needham, Massachusetts</w:t>
            </w:r>
          </w:p>
        </w:tc>
        <w:tc>
          <w:tcPr>
            <w:tcW w:w="900" w:type="dxa"/>
            <w:vAlign w:val="bottom"/>
          </w:tcPr>
          <w:p>
            <w:pPr>
              <w:jc w:val="right"/>
              <w:spacing w:after="0"/>
              <w:rPr>
                <w:sz w:val="20"/>
                <w:szCs w:val="20"/>
                <w:color w:val="auto"/>
              </w:rPr>
            </w:pPr>
            <w:r>
              <w:rPr>
                <w:rFonts w:ascii="Arial" w:cs="Arial" w:eastAsia="Arial" w:hAnsi="Arial"/>
                <w:sz w:val="18"/>
                <w:szCs w:val="18"/>
                <w:color w:val="auto"/>
              </w:rPr>
              <w:t>46,700</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Office and Laboratory</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July 2020(2)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Fall River, Massachusetts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Manufacturing Facility</w:t>
            </w: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July 2020(3)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New Haven, Connecticut</w:t>
            </w:r>
          </w:p>
        </w:tc>
        <w:tc>
          <w:tcPr>
            <w:tcW w:w="900" w:type="dxa"/>
            <w:vAlign w:val="bottom"/>
          </w:tcPr>
          <w:p>
            <w:pPr>
              <w:jc w:val="right"/>
              <w:spacing w:after="0"/>
              <w:rPr>
                <w:sz w:val="20"/>
                <w:szCs w:val="20"/>
                <w:color w:val="auto"/>
              </w:rPr>
            </w:pPr>
            <w:r>
              <w:rPr>
                <w:rFonts w:ascii="Arial" w:cs="Arial" w:eastAsia="Arial" w:hAnsi="Arial"/>
                <w:sz w:val="18"/>
                <w:szCs w:val="18"/>
                <w:color w:val="auto"/>
              </w:rPr>
              <w:t>17,700</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Office and Laboratory</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October 2020(4)</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Lease includes one renewal option of 18 months.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240" w:top="131" w:right="1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common stock currently trades on the Nasdaq Capital Market (NASDAQ) under the symbol "CLDX." On February 8, 2019, we effected a one for fifteen reverse stock split of our common stock. As of February 28, 2019, there were approximately 209 shareholders of record of our common stock. On February 28, 2019 the closing price of our common stock, as reported by NASDAQ, was $5.32 per share. We have not paid any dividends on our common stock since our inception and do not intend to pay any dividends in the foreseeable future.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 NASDAQ MARKET INDEX—U.S.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PEER GROUP INDICES</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graph below compares the cumulative total stockholder return on the common stock for the period from December 31, 2013 through December 31, 2018, with the cumulative return on (i) NASDAQ U.S. Benchmark TR Index and (ii) NASDAQ Pharmaceutical (Subsector) Index. The comparison assumes investment of $100 on December 31, 2013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130810</wp:posOffset>
            </wp:positionV>
            <wp:extent cx="4244975" cy="2830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4497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Celldex Therapeutics, Inc.</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NASDAQ U.S. Benchmark TR Index</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(Subsector) Index</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60" w:type="dxa"/>
            <w:vAlign w:val="bottom"/>
          </w:tcPr>
          <w:p>
            <w:pPr>
              <w:jc w:val="right"/>
              <w:ind w:right="432"/>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following selected financial data are derived from our audited financial statements. The statement of operations data for the years ended December 31, 2018, 2017 and 2016 and the balance sheet data as of December 31, 2018 and 2017 have been derived from our audited financial statements included in Item 8 of this Annual Report on Form 10-K. This data should be read in conjunction with our audited financial statements and related notes which are included elsewhere in this Annual Report on Form 10-K, and "Management's Discussion and Analysis of Financial Condition and Results of Operations" included in Item 7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2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102,726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100,171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104,381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Total Operating Expense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135,021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(156,436)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(121,527)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(132,916)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88"/>
              </w:rPr>
              <w:t>(129,541)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5"/>
              </w:rPr>
              <w:t>(122,430)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Before Income Tax Benefit</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(151,949)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(117,313)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(128,530)</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88"/>
              </w:rPr>
              <w:t>(127,197)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5"/>
              </w:rPr>
              <w:t>(118,080)</w:t>
            </w: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(151,184)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(93,031)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(128,530)</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88"/>
              </w:rPr>
              <w:t>(127,197)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5"/>
              </w:rPr>
              <w:t>(118,080)</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(10.86</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(19.66</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(19.81</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Shares Used in Calculating Basic and Diluted Net Loss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Common Share</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(Reflects one for fifteen reverse stock split effective February 8,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160,346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264,696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180,494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155,809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315,624</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383,358</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337,584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248,014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(962,438)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(812,517)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(719,486)</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(590,956)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(463,759)</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265,431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290,105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211,660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437"/>
        </w:trPr>
        <w:tc>
          <w:tcPr>
            <w:tcW w:w="14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w w:val="92"/>
              </w:rPr>
              <w:t>Total current assets less total current liabilities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215"/>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February 8, 2019 we announced that our Board of Directors had approved a one for fifteen reverse stock split of our issued and outstanding shares of common stock, effective February 8, 2019. On February 11, 2019, our common stock began trading on a split-adjusted basis on the NASDAQ Capital Market. The number of authorized shares of the Company remain unchanged. Stockholders who would have otherwise been entitled to fractional shares as a result of the reverse stock split received a cash payment in lieu of receiving fractional shares. All share and per share amounts in this Annual Report are shown on a post-split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a biopharmaceutical company focused on the development and commercialization of immunotherapies and other targeted biologics. Our drug candidates are derived from a broad set of complementary technologies which have the ability to engage the human immune system and/or directly inhibit tumors to treat specific types of cancer or other diseases. They are aimed at addressing market opportunities for which we believe current therapies are inadequate or non-existent.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39" w:lineRule="exact"/>
        <w:rPr>
          <w:sz w:val="20"/>
          <w:szCs w:val="20"/>
          <w:color w:val="auto"/>
        </w:rPr>
      </w:pPr>
    </w:p>
    <w:p>
      <w:pPr>
        <w:ind w:left="1080" w:right="32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CDX-1140, an agonist human monoclonal antibody targeted to CD40, a key activator of immune response, currently being studied as a single-agent and in combination with CDX-301 in a Phase 1 dose-escalation study in multiple types of solid tumors and B cell lymphomas;</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CDX-3379, a human monoclonal antibody designed to block the activity of ErbB3 (HER3), currently in an early Phase 2 study in advanced head and neck squamous cell cancer in combination with Erbitux®;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CDX-301, a dendritic cell growth factor, currently being evaluated in a combination study with CDX-1140; and</w:t>
      </w:r>
    </w:p>
    <w:p>
      <w:pPr>
        <w:spacing w:after="0" w:line="238" w:lineRule="exact"/>
        <w:rPr>
          <w:rFonts w:ascii="Arial" w:cs="Arial" w:eastAsia="Arial" w:hAnsi="Arial"/>
          <w:sz w:val="18"/>
          <w:szCs w:val="18"/>
          <w:color w:val="auto"/>
        </w:rPr>
      </w:pPr>
    </w:p>
    <w:p>
      <w:pPr>
        <w:ind w:left="1080" w:right="44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Varlilumab, an immune modulating antibody targeting CD27 designed to enhance a patient's immune response, currently being evaluated for potential combination with CDX-1140, especially in lymphomas which co-express CD40 and CD27 receptors.</w:t>
      </w:r>
    </w:p>
    <w:p>
      <w:pPr>
        <w:spacing w:after="0" w:line="139"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seven studies ongoing with our prioritized drug candidates.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April 2018, we announced that our Phase 2b METRIC Study of glembatumumab vedotin in metastatic triple-negative breast cancer did not meet its primary endpoint. Based on this result, in the second quarter of 2018, we prioritized our pipeline and evaluated our operational and workforce needs to extend our financial resources and direct them to continued pipeline advancement. As previously disclosed, in line with this initiative and to conserve resources, we discontinued development of glembatumumab vedotin, CDX-014 and CDX-1401.</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6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Completion</w:t>
            </w:r>
          </w:p>
        </w:tc>
      </w:tr>
      <w:tr>
        <w:trPr>
          <w:trHeight w:val="161"/>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Clinical Phase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10"/>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6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1 - 5 Years</w:t>
            </w: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1 - 5 Years</w:t>
            </w: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94"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97"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8"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61" w:lineRule="exact"/>
        <w:rPr>
          <w:sz w:val="20"/>
          <w:szCs w:val="20"/>
          <w:color w:val="auto"/>
        </w:rPr>
      </w:pPr>
    </w:p>
    <w:p>
      <w:pPr>
        <w:jc w:val="both"/>
        <w:ind w:right="220" w:firstLine="351"/>
        <w:spacing w:after="0" w:line="298" w:lineRule="auto"/>
        <w:rPr>
          <w:sz w:val="20"/>
          <w:szCs w:val="20"/>
          <w:color w:val="auto"/>
        </w:rPr>
      </w:pPr>
      <w:r>
        <w:rPr>
          <w:rFonts w:ascii="Arial" w:cs="Arial" w:eastAsia="Arial" w:hAnsi="Arial"/>
          <w:sz w:val="16"/>
          <w:szCs w:val="16"/>
          <w:color w:val="auto"/>
        </w:rPr>
        <w:t>During the past five years through December 31, 2018, we incurred an aggregate of $469.9 million in research and development expenses. The following table indicates the amount incurred for each of our significant research programs and for other identified research and development activities during the years ended December 31, 2018, 2017 and 2016. The amounts disclosed in the following table reflect direct research and development costs, license fees associated with the underlying technology and an allocation of indirect research and development costs to each program.</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2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December 31, 2018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 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2016</w:t>
            </w:r>
          </w:p>
        </w:tc>
      </w:tr>
      <w:tr>
        <w:trPr>
          <w:trHeight w:val="142"/>
        </w:trPr>
        <w:tc>
          <w:tcPr>
            <w:tcW w:w="2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3,802</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CDX-3379</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4,053</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Varlilumab</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28,554</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Anti-KIT Program</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TAM</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30,156</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CDX-014</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3,623</w:t>
            </w: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4,323</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27,082</w:t>
            </w: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102,726</w:t>
            </w:r>
          </w:p>
        </w:tc>
      </w:tr>
      <w:tr>
        <w:trPr>
          <w:trHeight w:val="20"/>
        </w:trPr>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rapidly identify the dose for characterizing single-agent and combination activity.</w:t>
      </w:r>
    </w:p>
    <w:p>
      <w:pPr>
        <w:spacing w:after="0" w:line="172"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initiated a Phase 1 study of CDX-1140 in November 2017. This study is expected to enroll up to approximately 180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3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To this end, in the second quarter of 2018, we amended the Phase 1 study protocol to also explore CDX-1140 in combination with CDX-301. Dendritic cells, which express CD40, are often rare or missing from the tumor microenvironment and are critical for initiating anti-tumor immunity. CDX-301 is being utilized to increase the number of dendritic cells in blood and tissue available for CDX-1140 activation. CDX-1140 should, in turn, activate and mature the dendritic cells, an important step for enhancing anti-tumor immune responses. Several B cell lymphomas, including diffuse large B-cell lymphoma and follicular lymphoma, also express both CD40 and CD27. Celldex's varlilumab is a potent CD27 agonist and has been shown to synergize with CDX-1140 in NHL models and may be evaluated in combination with CDX-1140 in the future.</w:t>
      </w:r>
    </w:p>
    <w:p>
      <w:pPr>
        <w:spacing w:after="0" w:line="174" w:lineRule="exact"/>
        <w:rPr>
          <w:sz w:val="20"/>
          <w:szCs w:val="20"/>
          <w:color w:val="auto"/>
        </w:rPr>
      </w:pPr>
    </w:p>
    <w:p>
      <w:pPr>
        <w:ind w:right="380" w:firstLine="351"/>
        <w:spacing w:after="0" w:line="305" w:lineRule="auto"/>
        <w:rPr>
          <w:sz w:val="20"/>
          <w:szCs w:val="20"/>
          <w:color w:val="auto"/>
        </w:rPr>
      </w:pPr>
      <w:r>
        <w:rPr>
          <w:rFonts w:ascii="Arial" w:cs="Arial" w:eastAsia="Arial" w:hAnsi="Arial"/>
          <w:sz w:val="15"/>
          <w:szCs w:val="15"/>
          <w:color w:val="auto"/>
        </w:rPr>
        <w:t>Interim data from the Phase 1 study were presented in November 2018 at the Society for Immunotherapy of Cancer (SITC) Annual Meeting. Seventeen patients with solid tumors were enrolled at the time of data analysis (n=13 monotherapy; n=4 combination). Four single-agent dosing cohorts were complete</w:t>
      </w:r>
    </w:p>
    <w:p>
      <w:pPr>
        <w:spacing w:after="0" w:line="287" w:lineRule="auto"/>
        <w:rPr>
          <w:sz w:val="20"/>
          <w:szCs w:val="20"/>
          <w:color w:val="auto"/>
        </w:rPr>
      </w:pPr>
      <w:r>
        <w:rPr>
          <w:rFonts w:ascii="Arial" w:cs="Arial" w:eastAsia="Arial" w:hAnsi="Arial"/>
          <w:sz w:val="16"/>
          <w:szCs w:val="16"/>
          <w:color w:val="auto"/>
        </w:rPr>
        <w:t>(0.01; 0.03, 0.09 and 0.18 mg/kg) and enrollment to the 0.36 mg/kg monotherapy cohort was ongoing. Enrollment to the first CDX-1140/CDX-301 combination cohort was also ongoing (0.09 mg/kg and 75 ug/kg, respectively). Dose dependent biological effects consistent with CD40-mediated immune activation were reported. CDX-1140 was well tolerated and no MTD had been reached. One patient experienced a grade 3 dose-limiting toxicity (DLT) (pneumonitis and hypoxia) at the single-agent 0.18 mg/kg dose. Per protocol, three additional patients were enrolled in the cohort and no additional DLTs have been observed in this or subsequent cohorts. While the CDX-1140 and CDX-301 combination cohort had just recently opened to enrollment at the time of presentation, preliminary evidence of enhanced immune activation was reported with no observed DLT. Across both arms of the study, there were no significant drug-related changes observed in liver function tests or platelets, which have been observed with other CD40 agonists. Continued enrollment is ongoing to define the MTD and select a dose for disease-specific expansion cohorts that will be monitored for clinical activity. We plan to present updated data from the study at a future medical meeting in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in a Phase 2 study in combination with Erbitux in Erbitux-resistant, advanced head and neck squamous cell carcinoma.</w:t>
      </w:r>
    </w:p>
    <w:p>
      <w:pPr>
        <w:spacing w:after="0" w:line="174"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 Phase 1a/1b study of CDX-3379 was conducted in solid tumors. The study included a single-agent, dose-escalation portion and combination expansion cohorts. The single-agent, dose-escalation portion of the study did not identify an MTD, and there were no dose limiting toxicities. Four combination arms across multiple tumor types were added to evaluate CDX-3379 with several drugs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that target EGFR, HER2 or BRAF. They include combinations with Erbitux® (n=16), Tarceva® (n=8), Zelboraf® (n=9) and Herceptin®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durable complete response in a patient with head and neck cancer, who had been previously treated with Erbitux and was refractory. In the Zelboraf arm, there were two partial responses in patients who had lung cancer, one of whom had been previously treated with Tafinlar® and was considered refractory, as well as an unconfirmed partial response in a patient with thyroid cancer. Initial data were presented at the 2016 American Society of Clinical Oncology (ASCO) Annual Meeting.</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April 2018, results from a window-of-opportunity study evaluating the effect of CDX-3379 on potential biomarkers in patients with head and neck squamous cell carcinoma (HNSCC) were presented at the American Association for Cancer Research (AACR) Annual Meeting. The study enrolled 12 patients with newly diagnosed HNSCC who received two doses of CDX-3379, at a two-week interval prior to tumor resection. CDX-3379 reduced phosphorylated ErbB3 (pErbB3) levels in 83% (10/12) of patient samples, with greater than or equal to 50% decreases in 58% of patients (7/12), which met the primary study objective. Stable disease was observed in 92% (11/12) of patients prior to surgery, and a patient with HPV-negative disease experienced significant tumor shrinkage (92% in primary tumor; 26% in metastatic lesion). CDX-3379 was well-tolerated, and no treatment-related adverse events were observed.</w:t>
      </w:r>
    </w:p>
    <w:p>
      <w:pPr>
        <w:spacing w:after="0" w:line="17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Preclinical data from the combination of CDX-3379 and Erbitux in xenograft models of head and neck squamous cell carcinoma were also presented at the AACR Annual Meeting in April 2018. Combining CDX-3379 and Erbitux inhibited tumor growth more potently than Erbitux alone. Mechanistic studies demonstrated a reduction of PD-L1 expression from the combination.</w:t>
      </w:r>
    </w:p>
    <w:p>
      <w:pPr>
        <w:spacing w:after="0" w:line="194" w:lineRule="exact"/>
        <w:rPr>
          <w:sz w:val="20"/>
          <w:szCs w:val="20"/>
          <w:color w:val="auto"/>
        </w:rPr>
      </w:pPr>
    </w:p>
    <w:p>
      <w:pPr>
        <w:ind w:right="140" w:firstLine="348"/>
        <w:spacing w:after="0" w:line="287" w:lineRule="auto"/>
        <w:rPr>
          <w:sz w:val="20"/>
          <w:szCs w:val="20"/>
          <w:color w:val="auto"/>
        </w:rPr>
      </w:pPr>
      <w:r>
        <w:rPr>
          <w:rFonts w:ascii="Arial" w:cs="Arial" w:eastAsia="Arial" w:hAnsi="Arial"/>
          <w:sz w:val="16"/>
          <w:szCs w:val="16"/>
          <w:color w:val="auto"/>
        </w:rPr>
        <w:t>We have initiated an open-label Phase 2 study in combination with Erbitux in approximately 30 patients with human papillomavirus (HPV) negative, Erbitux-resistant, advanced head and neck squamous cell carcinoma who have previously been treated with an anti-PD1 checkpoint inhibitor, a population with limited options and a particularly poor prognosis. We opened the study to enrollment in November 2017. The study employs a Simon two-stage design with an interim futility analysis following enrollment of the first 13 patients. According to the study's two-stage design, if at least one patient achieves an objective response in the first stage, enrollment may progress to the second stage. Enrollment to the first stage of the Phase 2 study (n=13) is complete. While a confirmed complete response has been documented, Celldex will conduct a comprehensive review, including the full data set, before making decisions on future development, as patients are still undergoing treatment and are eligible for evaluation. The primary objective of the study is objective response rate. Secondary objectives include assessments of clinical benefit response (CBR), duration of response (DOR), progression-free survival (PFS) and overall survival (OS), and safety and pharmacokinetics associated with the combination. We plan to present updated data from the study at a future medical meeting in 2019. CDX-3379 is also being studied in an investigator-sponsored study.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Varlilumab is a fully human agonist monoclonal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models. Varlilumab was initially studied as a single-agent to establish a safety profile and assess immunologic and clinical activity in patients with cancer,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but we believe the greatest opportunity for varlilumab is as an immune activator in combination with other agents.</w:t>
      </w:r>
    </w:p>
    <w:p>
      <w:pPr>
        <w:spacing w:after="0" w:line="21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color w:val="auto"/>
        </w:rPr>
        <w:t xml:space="preserve">Single-Agent Phase 1 Study: </w:t>
      </w:r>
      <w:r>
        <w:rPr>
          <w:rFonts w:ascii="Arial" w:cs="Arial" w:eastAsia="Arial" w:hAnsi="Arial"/>
          <w:sz w:val="16"/>
          <w:szCs w:val="16"/>
          <w:color w:val="auto"/>
        </w:rPr>
        <w:t>In an open-label Phase 1 study of varlilumab in patients with selected malignant solid tumors or hematologic cancers,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varlilumab demonstrated an acceptable safety profile and induced immunologic activity in patients that is consistent with both its proposed mechanism of action and data in preclinical models. A total of 90 patients received varlilumab in the study at multiple clinical sites in the U.S. In both the solid tumor and hematologic dose escalations, the pre-specified maximum dose level (10 mg/kg) was reached without identification of an MTD. The majority of adverse events, or AEs, related to treatment were mild to moderate (Grade 1/2) in severity, and no significant immune-mediated adverse events typically associated with checkpoint blockade were observed. Durable, multi-year clinical benefit was demonstrated in select patients without additional anti-cancer therapy. Final results from the study in patients with solid tumors were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April 2017.</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Phase 1/2 Varlilumab/Opdivo Combination Study: </w:t>
      </w:r>
      <w:r>
        <w:rPr>
          <w:rFonts w:ascii="Arial" w:cs="Arial" w:eastAsia="Arial" w:hAnsi="Arial"/>
          <w:sz w:val="16"/>
          <w:szCs w:val="16"/>
          <w:color w:val="auto"/>
        </w:rPr>
        <w:t>In 2014, we entered into a clinical trial collaboration with Bristol-Myers Squibb, or BMS, to</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 the safety, tolerability and preliminary efficacy of varlilumab and Opdivo, BMS' PD-1 immune checkpoint inhibitor, in a Phase 1/2 study. The Phase 1 portion of the study was initiated in January 2015 and conducted in adult patients with multiple solid tumors to assess the safety and tolerability of varlilumab at varying doses when administered with Opdivo. It was followed by a Phase 2 expansion to evaluate the activity of the combination in disease specific cohorts. Enrollment to the Phase 2 portion of the study was completed in January 2018 with cohorts in colorectal cancer (n=21), ovarian cancer (n=58), head and neck squamous cell carcinoma (n=24), renal cell carcinoma (n=14) and glioblastoma (n=22). The primary objective of the Phase 2 cohorts is objective response rate, or ORR, except glioblastoma, where the primary objective is the rate of 12-month OS.</w:t>
      </w:r>
    </w:p>
    <w:p>
      <w:pPr>
        <w:spacing w:after="0" w:line="173"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Data from the ovarian and colorectal cancer cohorts were presented in an oral presentation at the 2018 ASCO Annual Meeting. Sixty-six patients with ovarian cancer were treated in the study (8 patients in Phase 1; 58 patients in Phase 2). Patients had a median of three prior lines of therapy, 91% had Stage IV disease and 66% had PD-L1 negative tumors. The overall response rate was 14% (n=9; 7 confirmed, 2 unconfirmed) across 64 response-evaluable patients. For patients with paired tumor samples (n=24) from before and during treatment, increases in tumor expression of PD-L1 and CD8+ TIL levels were observed. These increases were associated with improved clinical outcome, including improved PFS and response rate.</w:t>
      </w:r>
    </w:p>
    <w:p>
      <w:pPr>
        <w:spacing w:after="0" w:line="170"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Forty-two patients with colorectal cancer were treated in the study (21 patients in Phase 1; 21 patients in Phase 2). Patients had a median of four prior lines of therapy, 100% had Stage IV disease and 87% had PD-L1 negative tumors. One patient had disease that was MSI-high and 21 patients had disease that was MSI-low/mismatch repair (MMR) proficient; MSI status for the remaining 20 patients was unknown. One patient with PD-L1 negative, MSI-high disease experienced a confirmed partial response in the Phase 2 study portion. Of note, a patient with PD-L1 negative disease, initially considered MMR proficient as determined by standard screening laboratory analysis, achieved a near complete response in the Phase 1 portion of the study, which continued at last follow-up at 39 months. This patient's tumor had a high mutational burden and mutations in genes regulating DNA repair, which together likely contributed to the response. Disease control rate for the response-evaluable population was 20% (8/41).</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the second quarter of 2018, we reported preliminary data from the head and neck squamous cell carcinoma (HNSCC) and renal cell carcinoma (RCC) cohorts. Twenty-seven patients with HNSCC were treated in the study (3 patients in Phase 1; 24 patients in Phase 2). Patients had a median of two prior lines of therapy, 96% had Stage IV disease, 63% had PD-L1 negative tumors and 52% had HPV positive tumors. The overall response rate was 15% (n=4 confirmed) across 27 response-evaluable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patients. In this small sample size, no correlation between PDL-1 status and clinical outcome was observed. Given the changing treatment paradigm in renal cell carcinoma, only fourteen patients with RCC were treated in the study, all in Phase 2. All patients had experienced prior angiogenic therapy, with a range of 1 to 4 prior treatments, 100% had Stage IV disease and 50% had PD-L1 negative tumors. 39% of patients experienced stable disease.</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Data from the GBM cohort were presented in November 2018 at the Society for Neuro-oncology (SNO) Annual Meeting. 22 patients with recurrent GBM were treated in the study. The median duration of disease prior to study entry was 13 months. Methylation status was determined in 21 patients (n=5 methylated; n=16 unmethylated). The combination was generally well-tolerated and the safety profile was consistent with that of each agent alone. Without taking into account MGMT status or other prognostic factors, overall results were similar to nivolumab monotherapy in recurrent GBM (OS12 = 42%). In the subset of patients with unmethylated MGMT promoter, a durable therapeutic benefit was achieved (OS at 12 months =50%).</w:t>
      </w:r>
    </w:p>
    <w:p>
      <w:pPr>
        <w:spacing w:after="0" w:line="170"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Future development of varlilumab is focused on inclusion in internal combination studies, including potentially in the ongoing Phase 1 trial of CDX-1140, and several external investigator-initiated studies.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CDX-301, a recombinant FMS-like tyrosine kinase 3 ligand, or Flt3L, is a hematopoietic cytokine that uniquely expands dendritic cells and hematopoietic stem cells, and in combination with other agents may potentiate anti-tumor responses. Depending on the setting, cells expanded by CDX-301 promote either enhanced or permissive immunity. We believe CDX-301 may hold significant opportunity for synergistic development in combination with other proprietary molecules in our portfolio, as well as with approved or investigational therapies for the treatment of cancer.</w:t>
      </w:r>
    </w:p>
    <w:p>
      <w:pPr>
        <w:spacing w:after="0" w:line="167"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dendritic cell and hematopoietic stem cell populations in healthy volunteers. The study was published in the journal Bone Marrow Transplantation in 2015.</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CDX-301 is being used as a priming agent to potentially increase the number of cells available to respond to CDX-1140 in the ongoing Phase 1 trial of CDX-1140. CDX-301 is also in clinical development for multiple cancers in ongoing investigator-sponsored and collaborative studies, including in combination with treatments that release tumor antigens, such as radiation therapy.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significant accounting policies are described in Note 2 to the financial statements included in Item 8 of this Form 10-K. We believe our most critical accounting policies include accounting for business combinations, revenue recognition, intangible and long-lived assets, research and development expenses and stock-based compensation expense.</w:t>
      </w:r>
    </w:p>
    <w:p>
      <w:pPr>
        <w:spacing w:after="0" w:line="194"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methods, estimates and judgments we use in applying our most critical accounting policies have a significant impact on the results we report in our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statements and they require our most difficult, subjective or complex judgments in the preparation of our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account for business combinations under the acquisition method of accounting. We record the fair value of the consideration transferred to acquire a business to the tangible assets and identifiable intangible assets acquired and liabilities assumed on the basis of their fair values at the date of acquisition. We assess the fair value of assets, including intangible assets such as IPR&amp;D, using a variety of methods including present-value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difference between the purchase price and the fair value of assets acquired and liabilities assumed in a business combination is recorded to goodwill. Goodwill is evaluated for impairment on an annual basis during the third quarter, or earlier if impairment indicators are present. As a result of the discontinuation of the Glemba program, the Company evaluated goodwill for potential impairment in the first quarter of 2018. It was determined that the goodwill asset was fully impaired and an impairment charge of $91.0 million was recorded.</w:t>
      </w:r>
    </w:p>
    <w:p>
      <w:pPr>
        <w:spacing w:after="0" w:line="197"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We determine the fair value of the contingent consideration based primarily on the following factors:</w:t>
      </w:r>
    </w:p>
    <w:p>
      <w:pPr>
        <w:spacing w:after="0" w:line="19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and probability of success of clinical events or regulatory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and probability of success of meeting clinical and commercial milestones;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Our contingent consideration liabilities arose in connection with our acquisition of Kolltan. On a quarterly basis, we revalue these obligations and record increases or decreases in their fair value as an adjustment to operating earnings. Changes to contingent consideration obligations can result from adjustments to discount rates, accretion of the discount rates due to the passage of time, changes in our estimates of the likelihood or timing of achieving development or commercial milestones, changes in the probability of certain clinical events or changes in the assumed probability associated with regulatory approval.</w:t>
      </w:r>
    </w:p>
    <w:p>
      <w:pPr>
        <w:spacing w:after="0" w:line="167"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assumptions related to determining the value of contingent consideration include a significant amount of judgment, and any changes in the underlying estimates could have a material impact on the amount of contingent consideration expense recorded in any given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jc w:val="both"/>
        <w:ind w:right="500" w:firstLine="351"/>
        <w:spacing w:after="0" w:line="294" w:lineRule="auto"/>
        <w:rPr>
          <w:sz w:val="20"/>
          <w:szCs w:val="20"/>
          <w:color w:val="auto"/>
        </w:rPr>
      </w:pPr>
      <w:r>
        <w:rPr>
          <w:rFonts w:ascii="Arial" w:cs="Arial" w:eastAsia="Arial" w:hAnsi="Arial"/>
          <w:sz w:val="16"/>
          <w:szCs w:val="16"/>
          <w:color w:val="auto"/>
        </w:rPr>
        <w:t>Revenue for the Company has historically been derived from biopharmaceutical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w:t>
      </w:r>
    </w:p>
    <w:p>
      <w:pPr>
        <w:spacing w:after="0" w:line="17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and Long-Lived Assets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evaluate the recoverability of our long-lived assets, including property and equipment, and finite-lived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IPR&amp;D assets acquired in a business combination initially are recorded at fair value and accounted for as indefinite-lived intangible assets. These assets are capitalized on our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Discounted cash flow models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are typically used in these tests, and the models require the use of significant estimates and assumptions including but not limited to:</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and costs to complete the in-process projects;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and probability of success of clinical events or regulatory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estimated future cash flows from product sales resulting from completed products and in-process projects;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25"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Each IPR&amp;D asset is assessed for impairment at least annually or when impairment indicators are present. As a result of the discontinuation of the Glemba program, the Company concluded that the Glemba IPR&amp;D asset was fully impaired, and a non-cash impairment charge of $11.8 million was recorded in the first quarter of 2018. The remaining IPR&amp;D assets were assessed for impairment during 2018 and were determined not to be impaired.</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Intangible assets acquired in a business combination with a finite life are recorded at fair value and amortized over the greater of economic consumption or on a straight-line basis over their estimated useful life. As a result of the discontinuation of the Glemba program, it was concluded that the Company's finite-lived intangible asset was fully impaired and a non-cash impairment charge of $6.9 million was recorded in the first quarter of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We accrue the cost of services rendered in connection with CRO and CMO activities based on our estimate of costs incurred. We maintain regular communication with our CROs and CMOs to assess the reasonableness of our estimates. Differences between actual expenses and estimated expenses recorded have not been material and are adjusted for in the period in which they become known.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record stock-based compensation expense for all stock-based awards made to employees, directors and non-employees based on the estimated fair values of the stock-based awards expected to vest at the grant date and adjust, if necessary, to reflect actual forfeitures. Our estimates of employee stock option values rely on estimates of future uncertain events. Significant assumptions include the use of historical volatility to estimate the expected stock price volatility. We also estimate expected term based on historical exercise patterns. For non-employee grants, we may elect to use the contractual term as the expected term in the option-pricing model. Actual volatility and lives of options may be significantly different from our estimates. Compensation expense for all stock-based awards to employees and directors is recognized using the straight-line method over the term of vesting or performance.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with Year Ended December 31, 2017</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85"/>
              </w:rPr>
              <w:t>Increase/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Increase/</w:t>
            </w:r>
          </w:p>
        </w:tc>
      </w:tr>
      <w:tr>
        <w:trPr>
          <w:trHeight w:val="161"/>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58"/>
              <w:spacing w:after="0"/>
              <w:rPr>
                <w:sz w:val="20"/>
                <w:szCs w:val="20"/>
                <w:color w:val="auto"/>
              </w:rPr>
            </w:pPr>
            <w:r>
              <w:rPr>
                <w:rFonts w:ascii="Arial" w:cs="Arial" w:eastAsia="Arial" w:hAnsi="Arial"/>
                <w:sz w:val="14"/>
                <w:szCs w:val="14"/>
                <w:b w:val="1"/>
                <w:bCs w:val="1"/>
                <w:color w:val="auto"/>
                <w:w w:val="86"/>
              </w:rPr>
              <w:t>(Decrease)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(Decrease)</w:t>
            </w:r>
          </w:p>
        </w:tc>
      </w:tr>
      <w:tr>
        <w:trPr>
          <w:trHeight w:val="142"/>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right"/>
              <w:ind w:right="598"/>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w w:val="93"/>
              </w:rPr>
              <w:t>Product Development and Licensing Agreements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3,341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3,153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188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(3,393)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96,171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8"/>
                <w:szCs w:val="18"/>
                <w:color w:val="auto"/>
              </w:rPr>
              <w:t>(29,722)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(5,734)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90,976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90,976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5,677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208"/>
        </w:trPr>
        <w:tc>
          <w:tcPr>
            <w:tcW w:w="3860" w:type="dxa"/>
            <w:vAlign w:val="bottom"/>
          </w:tcPr>
          <w:p>
            <w:pPr>
              <w:ind w:left="180"/>
              <w:spacing w:after="0"/>
              <w:rPr>
                <w:sz w:val="20"/>
                <w:szCs w:val="20"/>
                <w:color w:val="auto"/>
              </w:rPr>
            </w:pPr>
            <w:r>
              <w:rPr>
                <w:rFonts w:ascii="Arial" w:cs="Arial" w:eastAsia="Arial" w:hAnsi="Arial"/>
                <w:sz w:val="18"/>
                <w:szCs w:val="18"/>
                <w:color w:val="auto"/>
                <w:w w:val="91"/>
              </w:rPr>
              <w:t>Gain on Fair Value Remeasurement of Contingent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3860" w:type="dxa"/>
            <w:vAlign w:val="bottom"/>
          </w:tcPr>
          <w:p>
            <w:pPr>
              <w:ind w:left="360"/>
              <w:spacing w:after="0"/>
              <w:rPr>
                <w:sz w:val="20"/>
                <w:szCs w:val="20"/>
                <w:color w:val="auto"/>
              </w:rPr>
            </w:pPr>
            <w:r>
              <w:rPr>
                <w:rFonts w:ascii="Arial" w:cs="Arial" w:eastAsia="Arial" w:hAnsi="Arial"/>
                <w:sz w:val="18"/>
                <w:szCs w:val="18"/>
                <w:color w:val="auto"/>
              </w:rPr>
              <w:t>Consideration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(29,621)</w:t>
            </w: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28,821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3,603%</w:t>
            </w:r>
          </w:p>
        </w:tc>
      </w:tr>
      <w:tr>
        <w:trPr>
          <w:trHeight w:val="218"/>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Total Operating Expense</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165,974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31,704</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(156,436)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(121,527)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34,909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273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(151,949)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(117,313)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34,636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8"/>
                <w:szCs w:val="18"/>
                <w:color w:val="auto"/>
              </w:rPr>
              <w:t>(23,517)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(151,184)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58,153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$58.2 million increase in net loss for the year ended December 31, 2018, as compared to the year ended December 31, 2017, was primarily the result of the increase in the non-cash goodwill impairment and the decrease in the non-cash income tax benefit. This effect was partially offset by the increase in the non-cash gain on fair value remeasurement of contingent consideration and the decrease in research and development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$0.2 million increase in product development and licensing agreements revenue for the year ended December 31, 2018, as compared to the year ended December 31, 2017, was primarily due to an increase in reimbursable clinical trial expenses related to our BMS agreement. The $3.4 million decrease in contracts and grants revenue for the year ended December 31, 2018, as compared to the year ended December 31, 2017, was primarily related to a decrease in services performed under our contract manufacturing and research and development agreements with International AIDS Vaccine Initiative and Frontier Biotechnologies, Inc.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840" w:type="dxa"/>
            <w:vAlign w:val="bottom"/>
            <w:gridSpan w:val="3"/>
          </w:tcPr>
          <w:p>
            <w:pPr>
              <w:ind w:left="240"/>
              <w:spacing w:after="0"/>
              <w:rPr>
                <w:sz w:val="20"/>
                <w:szCs w:val="20"/>
                <w:color w:val="auto"/>
              </w:rPr>
            </w:pPr>
            <w:r>
              <w:rPr>
                <w:rFonts w:ascii="Arial" w:cs="Arial" w:eastAsia="Arial" w:hAnsi="Arial"/>
                <w:sz w:val="14"/>
                <w:szCs w:val="14"/>
                <w:b w:val="1"/>
                <w:bCs w:val="1"/>
                <w:color w:val="auto"/>
                <w:w w:val="95"/>
              </w:rPr>
              <w:t>Increase/</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1"/>
        </w:trPr>
        <w:tc>
          <w:tcPr>
            <w:tcW w:w="2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840" w:type="dxa"/>
            <w:vAlign w:val="bottom"/>
            <w:gridSpan w:val="3"/>
          </w:tcPr>
          <w:p>
            <w:pPr>
              <w:ind w:left="200"/>
              <w:spacing w:after="0"/>
              <w:rPr>
                <w:sz w:val="20"/>
                <w:szCs w:val="20"/>
                <w:color w:val="auto"/>
              </w:rPr>
            </w:pPr>
            <w:r>
              <w:rPr>
                <w:rFonts w:ascii="Arial" w:cs="Arial" w:eastAsia="Arial" w:hAnsi="Arial"/>
                <w:sz w:val="14"/>
                <w:szCs w:val="14"/>
                <w:b w:val="1"/>
                <w:bCs w:val="1"/>
                <w:color w:val="auto"/>
                <w:w w:val="86"/>
              </w:rPr>
              <w:t>(Decrease)</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2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r>
      <w:tr>
        <w:trPr>
          <w:trHeight w:val="142"/>
        </w:trPr>
        <w:tc>
          <w:tcPr>
            <w:tcW w:w="2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92"/>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2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  28,045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36,470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(8,425)</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Laboratory Supplies</w:t>
            </w:r>
          </w:p>
        </w:tc>
        <w:tc>
          <w:tcPr>
            <w:tcW w:w="2200" w:type="dxa"/>
            <w:vAlign w:val="bottom"/>
            <w:gridSpan w:val="3"/>
          </w:tcPr>
          <w:p>
            <w:pPr>
              <w:jc w:val="right"/>
              <w:ind w:right="18"/>
              <w:spacing w:after="0"/>
              <w:rPr>
                <w:sz w:val="20"/>
                <w:szCs w:val="20"/>
                <w:color w:val="auto"/>
              </w:rPr>
            </w:pPr>
            <w:r>
              <w:rPr>
                <w:rFonts w:ascii="Arial" w:cs="Arial" w:eastAsia="Arial" w:hAnsi="Arial"/>
                <w:sz w:val="18"/>
                <w:szCs w:val="18"/>
                <w:color w:val="auto"/>
              </w:rPr>
              <w:t>4,176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2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7,531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(1,086)</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License Fees</w:t>
            </w:r>
          </w:p>
        </w:tc>
        <w:tc>
          <w:tcPr>
            <w:tcW w:w="2200" w:type="dxa"/>
            <w:vAlign w:val="bottom"/>
            <w:gridSpan w:val="3"/>
          </w:tcPr>
          <w:p>
            <w:pPr>
              <w:jc w:val="right"/>
              <w:ind w:right="18"/>
              <w:spacing w:after="0"/>
              <w:rPr>
                <w:sz w:val="20"/>
                <w:szCs w:val="20"/>
                <w:color w:val="auto"/>
              </w:rPr>
            </w:pPr>
            <w:r>
              <w:rPr>
                <w:rFonts w:ascii="Arial" w:cs="Arial" w:eastAsia="Arial" w:hAnsi="Arial"/>
                <w:sz w:val="18"/>
                <w:szCs w:val="18"/>
                <w:color w:val="auto"/>
              </w:rPr>
              <w:t>692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2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18,540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36,711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(18,171)</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r>
    </w:tbl>
    <w:p>
      <w:pPr>
        <w:spacing w:after="0" w:line="20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$8.4 million decrease in personnel expenses for the year ended December 31, 2018, as compared to the year ended December 31, 2017, was primarily due to a decrease in headcount and lower stock-based compensation expense partially offset by severance expense of $1.0 million. We expect personnel expenses to decrease over the next twelve months due to our restructuring in April 2018.</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$0.3 million decrease in laboratory supply expenses for the year ended December 31, 2018, as compared to the year ended December 31, 2017, was primarily due to lower laboratory materials and supplies purchases. We expect laboratory supplies expenses to remain relatively consistent over the next twelve months, although there may be fluctuations on a quarterly basis.</w:t>
      </w:r>
    </w:p>
    <w:p>
      <w:pPr>
        <w:spacing w:after="0" w:line="197"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Facility expenses include depreciation, amortization, utilities, rent, maintenance and other related expenses incurred at our facilities. The $1.1 million decrease in facility expenses for the year ended December 31, 2018, as compared to the year ended December 31, 2017, was primarily due to lower depreciation expense. We expect facility expenses to remain relatively consistent over the next twelve months, although there may be fluctuations on a quarterly basis.</w:t>
      </w:r>
    </w:p>
    <w:p>
      <w:pPr>
        <w:spacing w:after="0" w:line="14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License fee expenses include annual license maintenance fees and milestone payments due upon the achievement of certain development, regulatory and/or commercial milestones. License fee expense for the year ended December 31, 2018 was consistent with the year ended December 31, 2017. We expect license fee expense to remain relatively consistent over the next twelve months, although there may be fluctuations on a quarterly basis.</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$18.2 million decrease in product development expenses for the year ended December 31, 2018, as compared to the year ended December 31, 2017, was primarily due to a decrease in clinical trial expenses of $8.7 million and a decrease in contract manufacturing expenses of $7.2 million. The amount of product development expenses incurred over the next twelve months is expected to decrease due to the discontinuation of the Glemba and CDX-014 programs and our pipeline prioritization.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$5.7 million decrease in general and administrative expenses for the year ended December 31, 2018, as compared to the year ended December 31, 2017, was primarily due to a decrease in headcount and lower commercial planning costs. We expect general and administrative expenses to remain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relatively consistent over the next twelve months, although there may be fluctuations on a quarterly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recorded a non-cash goodwill impairment charge of $91.0 million during the year ended December 31, 2018 as a result of the discontinuation of the Glemba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recorded a non-cash intangible asset impairment charge of $18.7 million on the Glemba program intangible assets during the year ended December 31, 2018 as a result of the discontinuation of the Glemba program.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$29.6 million gain on fair value remeasurement of contingent consideration for the year ended December 31, 2018 was due to discontinuation of the Glemba and CDX-014 programs, updated assumptions for the varlilumab program, and lower probability that milestones related to our anti-KIT program would be triggered by our current anti-KIT program development.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240" w:firstLine="348"/>
        <w:spacing w:after="0" w:line="370" w:lineRule="auto"/>
        <w:rPr>
          <w:sz w:val="20"/>
          <w:szCs w:val="20"/>
          <w:color w:val="auto"/>
        </w:rPr>
      </w:pPr>
      <w:r>
        <w:rPr>
          <w:rFonts w:ascii="Arial" w:cs="Arial" w:eastAsia="Arial" w:hAnsi="Arial"/>
          <w:sz w:val="15"/>
          <w:szCs w:val="15"/>
          <w:color w:val="auto"/>
        </w:rPr>
        <w:t>The $0.7 million decrease in amortization expenses for the year ended December 31, 2018, as compared to the year ended December 31, 2017, was due to the full impairment of intangible assets subject to amortization recorded in the first quarter of 2018 as a result of the discontinuation of the Glemba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$0.3 million increase in investment and other income, net for the year ended December 31, 2018, as compared to the year ended December 31, 2017, was primarily due to higher interest rates on fixed income investments. We anticipate investment income to decrease over the next twelve months due to lower levels of cash and investment balances.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5"/>
          <w:szCs w:val="15"/>
          <w:color w:val="auto"/>
        </w:rPr>
        <w:t>We recorded a non-cash income tax benefit of $0.8 million related to the impairment of the Glemba IPR&amp;D assets during the year ended December 31, 2018.</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with Year Ended December 31, 2016</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178"/>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85"/>
              </w:rPr>
              <w:t>Increase/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Increase/</w:t>
            </w:r>
          </w:p>
        </w:tc>
      </w:t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158"/>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58"/>
              <w:spacing w:after="0"/>
              <w:rPr>
                <w:sz w:val="20"/>
                <w:szCs w:val="20"/>
                <w:color w:val="auto"/>
              </w:rPr>
            </w:pPr>
            <w:r>
              <w:rPr>
                <w:rFonts w:ascii="Arial" w:cs="Arial" w:eastAsia="Arial" w:hAnsi="Arial"/>
                <w:sz w:val="14"/>
                <w:szCs w:val="14"/>
                <w:b w:val="1"/>
                <w:bCs w:val="1"/>
                <w:color w:val="auto"/>
                <w:w w:val="86"/>
              </w:rPr>
              <w:t>(Decrease)</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(Decrease)</w:t>
            </w:r>
          </w:p>
        </w:tc>
      </w:tr>
      <w:tr>
        <w:trPr>
          <w:trHeight w:val="142"/>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right="298"/>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w w:val="97"/>
              </w:rPr>
              <w:t>Product Development and Licensing Agreements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2,174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979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4,612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4,978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5,957</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96,171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102,726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8"/>
                <w:szCs w:val="18"/>
                <w:color w:val="auto"/>
              </w:rPr>
              <w:t>(6,555)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35,979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(10,976)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Intangible Asset 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8"/>
                <w:szCs w:val="18"/>
                <w:color w:val="auto"/>
              </w:rPr>
              <w:t>13,000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08"/>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Gain on Fair Value Remeasurement of Contingent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Consideration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800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(5,432)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(121,527)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(132,916)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4,386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(172)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(117,313)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(128,530)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(11,217)</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24,282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(93,031</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(128,530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(35,499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4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$35.5 million decrease in net loss for the year ended December 31, 2017, as compared to the year ended December 31, 2016, was primarily the result of a decrease in research and development expenses and general and administrative expenses and increases in contract revenues. The non-cash income tax benefit impacting net loss was partially offset by the non-cash in-process research and development impairment charge.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$1.0 million increase in product development and licensing agreements revenue for the year ended December 31, 2017, as compared to the year ended December 31, 2016, was primarily due to an increase in reimbursable clinical trial expenses related to our BMS agreement. The $5.0 million increase in contracts and grants revenue for the year ended December 31, 2017, as compared to the year ended December 31, 2016, was primarily related to our International AIDS Vaccine Initiative and Frontier Biotechnologies, Inc. agreements executed in 2017.</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ind w:left="240"/>
              <w:spacing w:after="0"/>
              <w:rPr>
                <w:sz w:val="20"/>
                <w:szCs w:val="20"/>
                <w:color w:val="auto"/>
              </w:rPr>
            </w:pPr>
            <w:r>
              <w:rPr>
                <w:rFonts w:ascii="Arial" w:cs="Arial" w:eastAsia="Arial" w:hAnsi="Arial"/>
                <w:sz w:val="14"/>
                <w:szCs w:val="14"/>
                <w:b w:val="1"/>
                <w:bCs w:val="1"/>
                <w:color w:val="auto"/>
                <w:w w:val="95"/>
              </w:rPr>
              <w:t>Increase/</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1"/>
        </w:trPr>
        <w:tc>
          <w:tcPr>
            <w:tcW w:w="2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86"/>
              </w:rPr>
              <w:t>(Decrease)</w:t>
            </w:r>
          </w:p>
        </w:tc>
        <w:tc>
          <w:tcPr>
            <w:tcW w:w="3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2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r>
      <w:tr>
        <w:trPr>
          <w:trHeight w:val="142"/>
        </w:trPr>
        <w:tc>
          <w:tcPr>
            <w:tcW w:w="2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92"/>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2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  36,470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36,070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Laboratory Supplies</w:t>
            </w:r>
          </w:p>
        </w:tc>
        <w:tc>
          <w:tcPr>
            <w:tcW w:w="2200" w:type="dxa"/>
            <w:vAlign w:val="bottom"/>
            <w:gridSpan w:val="3"/>
          </w:tcPr>
          <w:p>
            <w:pPr>
              <w:jc w:val="right"/>
              <w:ind w:right="18"/>
              <w:spacing w:after="0"/>
              <w:rPr>
                <w:sz w:val="20"/>
                <w:szCs w:val="20"/>
                <w:color w:val="auto"/>
              </w:rPr>
            </w:pPr>
            <w:r>
              <w:rPr>
                <w:rFonts w:ascii="Arial" w:cs="Arial" w:eastAsia="Arial" w:hAnsi="Arial"/>
                <w:sz w:val="18"/>
                <w:szCs w:val="18"/>
                <w:color w:val="auto"/>
              </w:rPr>
              <w:t>4,514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817</w:t>
            </w:r>
          </w:p>
        </w:tc>
        <w:tc>
          <w:tcPr>
            <w:tcW w:w="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22%</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2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8,617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2,303</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License Fees</w:t>
            </w:r>
          </w:p>
        </w:tc>
        <w:tc>
          <w:tcPr>
            <w:tcW w:w="2200" w:type="dxa"/>
            <w:vAlign w:val="bottom"/>
            <w:gridSpan w:val="3"/>
          </w:tcPr>
          <w:p>
            <w:pPr>
              <w:jc w:val="right"/>
              <w:ind w:right="18"/>
              <w:spacing w:after="0"/>
              <w:rPr>
                <w:sz w:val="20"/>
                <w:szCs w:val="20"/>
                <w:color w:val="auto"/>
              </w:rPr>
            </w:pPr>
            <w:r>
              <w:rPr>
                <w:rFonts w:ascii="Arial" w:cs="Arial" w:eastAsia="Arial" w:hAnsi="Arial"/>
                <w:sz w:val="18"/>
                <w:szCs w:val="18"/>
                <w:color w:val="auto"/>
              </w:rPr>
              <w:t>677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(937)</w:t>
            </w:r>
          </w:p>
        </w:tc>
        <w:tc>
          <w:tcPr>
            <w:tcW w:w="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20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36,711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(10,141)</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r>
    </w:tbl>
    <w:p>
      <w:pPr>
        <w:spacing w:after="0" w:line="208" w:lineRule="exact"/>
        <w:rPr>
          <w:sz w:val="20"/>
          <w:szCs w:val="20"/>
          <w:color w:val="auto"/>
        </w:rPr>
      </w:pPr>
    </w:p>
    <w:p>
      <w:pPr>
        <w:ind w:right="220" w:firstLine="348"/>
        <w:spacing w:after="0" w:line="370" w:lineRule="auto"/>
        <w:rPr>
          <w:sz w:val="20"/>
          <w:szCs w:val="20"/>
          <w:color w:val="auto"/>
        </w:rPr>
      </w:pPr>
      <w:r>
        <w:rPr>
          <w:rFonts w:ascii="Arial" w:cs="Arial" w:eastAsia="Arial" w:hAnsi="Arial"/>
          <w:sz w:val="15"/>
          <w:szCs w:val="15"/>
          <w:color w:val="auto"/>
        </w:rPr>
        <w:t>The $0.4 million increase in personnel expenses for the year ended December 31, 2017, as compared to the year ended December 31, 2016, was primarily due to an increase in salaries expense and headcount related to the Kolltan acquisition partially offset by lower stock-based compensation expenses.</w:t>
      </w:r>
    </w:p>
    <w:p>
      <w:pPr>
        <w:spacing w:after="0" w:line="11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$0.8 million increase in laboratory supply expenses for the year ended December 31, 2017, as compared to the year ended December 31, 2016, was primarily due to higher laboratory materials and supplies purchases.</w:t>
      </w:r>
    </w:p>
    <w:p>
      <w:pPr>
        <w:spacing w:after="0" w:line="186"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$2.3 million increase in facility expenses for the year ended December 31, 2017, as compared to the year ended December 31, 2016, was primarily due to the addition of our New Haven, CT facility that we acquired with the Kolltan acquisition and higher depreciation expense of $1.3 million. In March 2017, we terminated our lease in Branford, CT and consolidated our Connecticut operations in our New Haven facility.</w:t>
      </w:r>
    </w:p>
    <w:p>
      <w:pPr>
        <w:spacing w:after="0" w:line="161" w:lineRule="exact"/>
        <w:rPr>
          <w:sz w:val="20"/>
          <w:szCs w:val="20"/>
          <w:color w:val="auto"/>
        </w:rPr>
      </w:pPr>
    </w:p>
    <w:p>
      <w:pPr>
        <w:jc w:val="both"/>
        <w:ind w:right="100" w:firstLine="348"/>
        <w:spacing w:after="0" w:line="268" w:lineRule="auto"/>
        <w:rPr>
          <w:sz w:val="20"/>
          <w:szCs w:val="20"/>
          <w:color w:val="auto"/>
        </w:rPr>
      </w:pPr>
      <w:r>
        <w:rPr>
          <w:rFonts w:ascii="Arial" w:cs="Arial" w:eastAsia="Arial" w:hAnsi="Arial"/>
          <w:sz w:val="18"/>
          <w:szCs w:val="18"/>
          <w:color w:val="auto"/>
        </w:rPr>
        <w:t>The $0.9 million decrease in license fee expenses for the year ended December 31, 2017, as compared to the year ended December 31, 2016, was due to the timing of certain development and/or regulatory milestones achieved by our drug candidates.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$10.1 million decrease in product development expenses for the year ended December 31, 2017, as compared to the year ended December 31, 2016, was primarily due to lower contract manufacturing and clinical trial costs of $9.9 and $7.6 million, respectively, related to varlilumab and Rintega. These decreases were partially offset by increases in (i) glembatumumab vedotin contract manufacturing expenses of $2.7 million and (ii) glembatumumab vedotin, anti-KIT and CDX-3379 clinical trial costs of $3.6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$11.0 million decrease in general and administrative expenses for the year ended December 31, 2017, as compared to the year ended December 31, 2016, was primarily due to lower commercial planning costs of $4.5 million, lower stock-based compensation of $1.9 million and lower severance expense related to the Kolltan acquisition of $2.6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recorded a non-cash intangible asset impairment charge of $13.0 million on the anti-KIT program intangible assets acquired from Kolltan during the year ended December 31, 2017. This impairment charge was related to changes in projected development and regulatory timelines regarding the anti-KIT program.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$0.8 million gain on fair value remeasurement of contingent consideration for the year ended December 31, 2017 was due to a reduction in fair value attributed to milestones related to our anti-KIT and TAM programs, partially offset by losses related to changes in discount rates, passage of time and probabilities affecting remaining milestones. See Note 4 to the financial statements included herein for a discussion of the contingent consideration that may be payable related to the Kolltan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for the year ended December 31, 2017 was relatively consistent with the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$0.2 million decrease in investment and other income, net for the year ended December 31, 2017, as compared to the year ended December 31, 2016, was primarily due to lower levels of cash and investment balances, partially offset by higher interest rates on fixed income investments.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right="300" w:firstLine="348"/>
        <w:spacing w:after="0" w:line="370" w:lineRule="auto"/>
        <w:rPr>
          <w:sz w:val="20"/>
          <w:szCs w:val="20"/>
          <w:color w:val="auto"/>
        </w:rPr>
      </w:pPr>
      <w:r>
        <w:rPr>
          <w:rFonts w:ascii="Arial" w:cs="Arial" w:eastAsia="Arial" w:hAnsi="Arial"/>
          <w:sz w:val="15"/>
          <w:szCs w:val="15"/>
          <w:color w:val="auto"/>
        </w:rPr>
        <w:t>We recorded a non-cash income tax benefit of $19.1 million related to decreases in net deferred tax liabilities resulting from the Tax Cuts and Jobs Act of 2017 (TCJA). In addition, we recorded a non-cash income tax benefit of $5.2 million related to the partial impairment of the anti-KIT program IPR&amp;D assets.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0" w:lineRule="exact"/>
        <w:rPr>
          <w:sz w:val="20"/>
          <w:szCs w:val="20"/>
          <w:color w:val="auto"/>
        </w:rPr>
      </w:pPr>
    </w:p>
    <w:p>
      <w:pPr>
        <w:ind w:right="120" w:firstLine="341"/>
        <w:spacing w:after="0" w:line="318" w:lineRule="auto"/>
        <w:rPr>
          <w:sz w:val="20"/>
          <w:szCs w:val="20"/>
          <w:color w:val="auto"/>
        </w:rPr>
      </w:pPr>
      <w:r>
        <w:rPr>
          <w:rFonts w:ascii="Arial" w:cs="Arial" w:eastAsia="Arial" w:hAnsi="Arial"/>
          <w:sz w:val="15"/>
          <w:szCs w:val="15"/>
          <w:color w:val="auto"/>
        </w:rPr>
        <w:t>At December 31, 2018, our principal sources of liquidity consisted of cash, cash equivalents and marketable securities of $94.0 million. We have had recurring losses and incurred a loss of $151.2 million for the year ended December 31, 2018. Net cash used in operations for the year ended December 31, 2018 was $75.2 million. We believe that the cash, cash equivalents and marketable securities at December 31, 2018 combined with the (i) $2.3 million in net proceeds from sales of our common stock under the Cantor agreement from January 1, 2019 through February 28, 2019 and (ii) anticipated proceeds from future sales of our common stock under the Cantor agreement, are sufficient to meet estimated working capital requirements and fund planned operations through 2020,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although there is no assurance that future sales will occur. This could be impacted if we elected to pay Kolltan contingent milestones, if any, in cash.</w:t>
      </w:r>
    </w:p>
    <w:p>
      <w:pPr>
        <w:spacing w:after="0" w:line="24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During the next twelve months, we will take further steps to raise additional capital to meet our liquidity needs. Our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Net cash used in operating activities was $75.2 million for the year ended December 31, 2018 compared to $99.9 million for the year ended December 31, 2017. The decrease in net cash used in operating activities was primarily due to decreases in both general and administrative and research and development expenses. We expect that cash used in operating activities will decrease over the next twelve months primarily due to our restructuring in April 2018, the discontinuation of the Glemba and CDX-014 programs, and our pipeline prioritization, although there may be fluctuations on a quarterly basis.</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Net cash used in operating activities was $99.9 million for the year ended December 31, 2017 compared to $113.0 million for the year ended December 31, 2016. The decrease in net cash used in operating activities was primarily due to an increase in revenue and decreases in both general and administrative and research and development expenses.</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processes as well as to develop additional drug candidates. As our drug candidates progress through the clinical trial process, we may be obligated to make significant milestone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Net cash provided by investing activities was $29.8 million for the year ended December 31, 2018 compared to net cash provided by investing activities of $46.5 million for the year ended December 31, 2017. The decrease in net cash provided by investing activities was primarily due to net sales and maturities of marketable securities for the year ended December 31, 2018 of $30.3 million as compared to net sales and maturities of marketable securities of $48.3 million for the year ended December 31,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2017. We expect that cash provided by investing activities will remain relatively consistent over the next twelve months as we decrease cash used in operations which is funded mainly through the combination of net proceeds from the sales and maturities of marketable securities, cash provided by financing activities and/or new partnerships, although there may be significant fluctuations on a quarterly basis.</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Net cash provided by investing activities was $46.5 million for the year ended December 31, 2017 compared to net cash provided by investing activities of $68.9 million for the year ended December 31, 2016. The decrease in net cash provided by investing activities was primarily due to net sales and maturities of marketable securities for the year ended December 31, 2017 of $48.3 million as compared to net sales and maturities of marketable securities of $68.9 million for the year ended December 31,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was $29.4 million for the year ended December 31, 2018 compared to $51.3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Net proceeds from stock issuances, including stock issued pursuant to employee benefit plans, were $29.4 million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compared to $51.3 million for the year ended December 31, 2017.</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was $51.3 million for the year ended December 31, 2017 compared to $14.5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Net proceeds from stock issuances, including stock issued pursuant to employee benefit plans, were $51.3 million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compared to $14.5 million for the year ended December 31,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December 2016, we filed a shelf registration statement with the Securities and Exchange Commission to register for sale any combination of the types of securities described in the shelf registration statement up to a maximum aggregate offering price of $250.0 million. Such registration statement was declared effective on February 13, 2017.</w:t>
      </w:r>
    </w:p>
    <w:p>
      <w:pPr>
        <w:spacing w:after="0" w:line="19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May 2016, we entered into an agreement with Cantor Fitzgerald &amp; Co. ("Cantor") to allow us to issue and sell shares of our common stock having an aggregate offering price of up to $60.0 million from time to time through Cantor, acting as agent. In November 2017, we filed a prospectus supplement registering the offer and sale of shares of common stock of up to an additional $75.0 million under the agreement with Cantor. During the years ended December 31, 2018, 2017 and 2016, we issued 2,702,660, 1,181,524 and 220,253 shares of common stock, respectively, under this controlled equity offering sales agreement with Cantor resulting in net proceeds of $29.0 million, $51.0 million and $13.9 million, respectively, after deducting commission and offering expenses. At December 31, 2018, we had $37.6 million remaining in aggregate gross offering price available under the Cantor agreement. From January 1, 2019 through February 28, 2019, we issued 478,785 shares of our common stock resulting in net proceeds of $2.3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Because the achievement of these milestones had not occurred as of December 31, 2018 such contingencies have not been recorded in our financial statements. We expect to incur approximately $0.3 million of license and milestone payments in 2019.</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following table summarizes our contractual obligations (not including contingent royalty and milestone payments as described above) at December 31, 2018 and the effect such obligations and commercial commitments are expected to have on our liquidity and cash flow in future years. These obligations, commitments and supporting arrangements represent expected payments based on current operating forecasts, which are subject to change:</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5"/>
              </w:rPr>
              <w:t>2020 - 2021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5"/>
              </w:rPr>
              <w:t>2022 - 2023</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Thereafter</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3"/>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Operating lease obligations(1)</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contractual obligations(2)(3)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0"/>
        </w:trPr>
        <w:tc>
          <w:tcPr>
            <w:tcW w:w="4640" w:type="dxa"/>
            <w:vAlign w:val="bottom"/>
            <w:gridSpan w:val="3"/>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5,808</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180" w:hanging="531"/>
        <w:spacing w:after="0" w:line="268"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amounts primarily consist of payments for our facility leases and do not assume the exercise of renewal terms or early termination provisions.</w:t>
      </w:r>
    </w:p>
    <w:p>
      <w:pPr>
        <w:spacing w:after="0" w:line="212" w:lineRule="exact"/>
        <w:rPr>
          <w:rFonts w:ascii="Arial" w:cs="Arial" w:eastAsia="Arial" w:hAnsi="Arial"/>
          <w:sz w:val="18"/>
          <w:szCs w:val="18"/>
          <w:color w:val="auto"/>
        </w:rPr>
      </w:pPr>
    </w:p>
    <w:p>
      <w:pPr>
        <w:ind w:left="1680" w:right="120" w:hanging="531"/>
        <w:spacing w:after="0" w:line="256"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enter into agreements in the normal course of business with contract research organizations for clinical trials, contract manufacturing organizations, vendors for preclinical research studies and other services and products for operating purposes. We have included obligations in the table above if the contracts are not cancelable at any time by us, generally upon 30 days prior written notice to the vendor.</w:t>
      </w:r>
    </w:p>
    <w:p>
      <w:pPr>
        <w:spacing w:after="0" w:line="210" w:lineRule="exact"/>
        <w:rPr>
          <w:rFonts w:ascii="Arial" w:cs="Arial" w:eastAsia="Arial" w:hAnsi="Arial"/>
          <w:sz w:val="18"/>
          <w:szCs w:val="18"/>
          <w:color w:val="auto"/>
        </w:rPr>
      </w:pPr>
    </w:p>
    <w:p>
      <w:pPr>
        <w:ind w:left="1680" w:right="100" w:hanging="531"/>
        <w:spacing w:after="0" w:line="291" w:lineRule="auto"/>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that certain specified preclinical and clinical development milestones related to Kolltan's development programs and/or our development programs and certain commercial milestones related to Kolltan's drug candidates are achieved, we will be required to pay Kolltan's stockholders milestone payments of up to $127.5 million as of December 31, 2018, which milestone payments may be made, at our sole election, in cash, in shares of our common stock or a combination of both, subject to NASDAQ listing requirements and provisions of the merger agreement. Because the timing and certainty of these milestones being achieved is unknown, these potential future obligations are not included within the table.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Refer to Note 2, "Summary of Significant Accounting Policies," in the accompanying notes to the financial statements for a discussion of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changes in interest rates is not material.</w:t>
      </w:r>
    </w:p>
    <w:p>
      <w:pPr>
        <w:spacing w:after="0" w:line="172"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do not utilize derivative financial instruments. The carrying amounts reflected in the balance sheet of cash and cash equivalents, accounts receivables and accounts payable approximates fair value at December 31, 2018 due to the short-term maturities of these instruments.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Celldex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 xml:space="preserve">We have audited the accompanying consolidated balance sheets of Celldex Therapeutics, Inc. and its subsidiaries (the "Company") as of December 31, 2018 and 2017, and the related consolidated statements of operations and comprehensive loss, stockholders' equity, and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7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COSO.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2017</w:t>
            </w: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69,712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99,139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and Other Receivables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144,756</w:t>
            </w:r>
          </w:p>
        </w:tc>
        <w:tc>
          <w:tcPr>
            <w:tcW w:w="160" w:type="dxa"/>
            <w:vAlign w:val="bottom"/>
            <w:shd w:val="clear" w:color="auto" w:fill="CCEEFF"/>
          </w:tcPr>
          <w:p>
            <w:pPr>
              <w:spacing w:after="0"/>
              <w:rPr>
                <w:sz w:val="18"/>
                <w:szCs w:val="18"/>
                <w:color w:val="auto"/>
              </w:rPr>
            </w:pPr>
          </w:p>
        </w:tc>
      </w:tr>
      <w:tr>
        <w:trPr>
          <w:trHeight w:val="210"/>
        </w:trPr>
        <w:tc>
          <w:tcPr>
            <w:tcW w:w="61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10,372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315,624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Liabilities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(Notes 13 and 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Convertible Preferred Stock, $.01 Par Value; 3,000,000 Shares Authorized; No</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at December 31, 2018 and 2017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w w:val="89"/>
              </w:rPr>
              <w:t>Common Stock, $.001 Par Value; 297,000,000 Shares Authorized; 11,957,635 and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w w:val="94"/>
              </w:rPr>
              <w:t>9,234,693 Shares Issued and Outstanding at December 31, 2018 and 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1,083,903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1,046,313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(962,438)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(812,517)</w:t>
            </w:r>
          </w:p>
        </w:tc>
      </w:tr>
      <w:tr>
        <w:trPr>
          <w:trHeight w:val="210"/>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236,369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315,624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(Reflects one for fifteen reverse stock split effective February 8, 2019)</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December 31, 2018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66,449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102,726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90,976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0"/>
              </w:rPr>
              <w:t>Gain on Fair Value Remeasurement of Contingent Consideration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(29,621)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(156,436)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(151,949)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(117,313)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(151,184)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(128,530)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89"/>
              </w:rPr>
              <w:t>Shares Used in Calculating Basic and Diluted Net Loss per Share</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10,442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8,570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6,769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(151,184)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Unrealized Gain (Loss) on Marketable Securities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(151,165)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(93,008)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(Reflects one for fifteen reverse stock split effective February 8, 2019)</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STATEMENTS OF STOCKHOLDERS' EQUITY</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14" w:lineRule="exact"/>
        <w:rPr>
          <w:sz w:val="20"/>
          <w:szCs w:val="20"/>
          <w:color w:val="auto"/>
        </w:rPr>
      </w:pPr>
    </w:p>
    <w:tbl>
      <w:tblPr>
        <w:tblLayout w:type="fixed"/>
        <w:tblInd w:w="42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72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Common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080" w:type="dxa"/>
            <w:vAlign w:val="bottom"/>
          </w:tcPr>
          <w:p>
            <w:pPr>
              <w:spacing w:after="0"/>
              <w:rPr>
                <w:sz w:val="12"/>
                <w:szCs w:val="12"/>
                <w:color w:val="auto"/>
              </w:rPr>
            </w:pPr>
          </w:p>
        </w:tc>
        <w:tc>
          <w:tcPr>
            <w:tcW w:w="94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72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Par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Paid-In</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4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4"/>
              </w:rPr>
              <w:t>Stockholders'</w:t>
            </w:r>
          </w:p>
        </w:tc>
      </w:tr>
      <w:tr>
        <w:trPr>
          <w:trHeight w:val="161"/>
        </w:trPr>
        <w:tc>
          <w:tcPr>
            <w:tcW w:w="720" w:type="dxa"/>
            <w:vAlign w:val="bottom"/>
          </w:tcPr>
          <w:p>
            <w:pPr>
              <w:jc w:val="center"/>
              <w:ind w:right="132"/>
              <w:spacing w:after="0"/>
              <w:rPr>
                <w:sz w:val="20"/>
                <w:szCs w:val="20"/>
                <w:color w:val="auto"/>
              </w:rPr>
            </w:pPr>
            <w:r>
              <w:rPr>
                <w:rFonts w:ascii="Arial" w:cs="Arial" w:eastAsia="Arial" w:hAnsi="Arial"/>
                <w:sz w:val="14"/>
                <w:szCs w:val="14"/>
                <w:b w:val="1"/>
                <w:bCs w:val="1"/>
                <w:color w:val="auto"/>
                <w:w w:val="85"/>
              </w:rPr>
              <w:t>Shares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940" w:type="dxa"/>
            <w:vAlign w:val="bottom"/>
          </w:tcPr>
          <w:p>
            <w:pPr>
              <w:jc w:val="center"/>
              <w:ind w:left="92"/>
              <w:spacing w:after="0"/>
              <w:rPr>
                <w:sz w:val="20"/>
                <w:szCs w:val="20"/>
                <w:color w:val="auto"/>
              </w:rPr>
            </w:pPr>
            <w:r>
              <w:rPr>
                <w:rFonts w:ascii="Arial" w:cs="Arial" w:eastAsia="Arial" w:hAnsi="Arial"/>
                <w:sz w:val="14"/>
                <w:szCs w:val="14"/>
                <w:b w:val="1"/>
                <w:bCs w:val="1"/>
                <w:color w:val="auto"/>
                <w:w w:val="88"/>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8890</wp:posOffset>
            </wp:positionV>
            <wp:extent cx="586613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66130" cy="13716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tbl>
      <w:tblPr>
        <w:tblLayout w:type="fixed"/>
        <w:tblInd w:w="1140" w:type="dxa"/>
        <w:tblCellMar>
          <w:top w:w="0" w:type="dxa"/>
          <w:left w:w="0" w:type="dxa"/>
          <w:bottom w:w="0" w:type="dxa"/>
          <w:right w:w="0" w:type="dxa"/>
        </w:tblCellMar>
      </w:tblPr>
      <w:tr>
        <w:trPr>
          <w:trHeight w:val="201"/>
        </w:trPr>
        <w:tc>
          <w:tcPr>
            <w:tcW w:w="2940" w:type="dxa"/>
            <w:vAlign w:val="bottom"/>
          </w:tcPr>
          <w:p>
            <w:pPr>
              <w:spacing w:after="0" w:line="201" w:lineRule="exact"/>
              <w:rPr>
                <w:sz w:val="20"/>
                <w:szCs w:val="20"/>
                <w:color w:val="auto"/>
              </w:rPr>
            </w:pPr>
            <w:r>
              <w:rPr>
                <w:rFonts w:ascii="Arial" w:cs="Arial" w:eastAsia="Arial" w:hAnsi="Arial"/>
                <w:sz w:val="18"/>
                <w:szCs w:val="18"/>
                <w:b w:val="1"/>
                <w:bCs w:val="1"/>
                <w:color w:val="auto"/>
              </w:rPr>
              <w:t>Balance at December 31, 2015</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6,579,040</w:t>
            </w: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7</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w w:val="94"/>
              </w:rPr>
              <w:t>Shares Issued under Stock Option and</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Employee Stock Purchase Plans</w:t>
            </w:r>
          </w:p>
        </w:tc>
        <w:tc>
          <w:tcPr>
            <w:tcW w:w="860" w:type="dxa"/>
            <w:vAlign w:val="bottom"/>
          </w:tcPr>
          <w:p>
            <w:pPr>
              <w:jc w:val="right"/>
              <w:spacing w:after="0"/>
              <w:rPr>
                <w:sz w:val="20"/>
                <w:szCs w:val="20"/>
                <w:color w:val="auto"/>
              </w:rPr>
            </w:pPr>
            <w:r>
              <w:rPr>
                <w:rFonts w:ascii="Arial" w:cs="Arial" w:eastAsia="Arial" w:hAnsi="Arial"/>
                <w:sz w:val="18"/>
                <w:szCs w:val="18"/>
                <w:color w:val="auto"/>
              </w:rPr>
              <w:t>10,543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Shares Issued in Connection with</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Cantor Agreement</w:t>
            </w:r>
          </w:p>
        </w:tc>
        <w:tc>
          <w:tcPr>
            <w:tcW w:w="860" w:type="dxa"/>
            <w:vAlign w:val="bottom"/>
          </w:tcPr>
          <w:p>
            <w:pPr>
              <w:jc w:val="right"/>
              <w:spacing w:after="0"/>
              <w:rPr>
                <w:sz w:val="20"/>
                <w:szCs w:val="20"/>
                <w:color w:val="auto"/>
              </w:rPr>
            </w:pPr>
            <w:r>
              <w:rPr>
                <w:rFonts w:ascii="Arial" w:cs="Arial" w:eastAsia="Arial" w:hAnsi="Arial"/>
                <w:sz w:val="18"/>
                <w:szCs w:val="18"/>
                <w:color w:val="auto"/>
              </w:rPr>
              <w:t>220,253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w w:val="98"/>
              </w:rPr>
              <w:t>Shares Issued in Connection with the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Kolltan Acquisition</w:t>
            </w:r>
          </w:p>
        </w:tc>
        <w:tc>
          <w:tcPr>
            <w:tcW w:w="860" w:type="dxa"/>
            <w:vAlign w:val="bottom"/>
          </w:tcPr>
          <w:p>
            <w:pPr>
              <w:jc w:val="right"/>
              <w:spacing w:after="0"/>
              <w:rPr>
                <w:sz w:val="20"/>
                <w:szCs w:val="20"/>
                <w:color w:val="auto"/>
              </w:rPr>
            </w:pPr>
            <w:r>
              <w:rPr>
                <w:rFonts w:ascii="Arial" w:cs="Arial" w:eastAsia="Arial" w:hAnsi="Arial"/>
                <w:sz w:val="18"/>
                <w:szCs w:val="18"/>
                <w:color w:val="auto"/>
              </w:rPr>
              <w:t>1,217,200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Shares Issued in Connection with</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Kolltan Severance</w:t>
            </w:r>
          </w:p>
        </w:tc>
        <w:tc>
          <w:tcPr>
            <w:tcW w:w="860" w:type="dxa"/>
            <w:vAlign w:val="bottom"/>
          </w:tcPr>
          <w:p>
            <w:pPr>
              <w:jc w:val="right"/>
              <w:spacing w:after="0"/>
              <w:rPr>
                <w:sz w:val="20"/>
                <w:szCs w:val="20"/>
                <w:color w:val="auto"/>
              </w:rPr>
            </w:pPr>
            <w:r>
              <w:rPr>
                <w:rFonts w:ascii="Arial" w:cs="Arial" w:eastAsia="Arial" w:hAnsi="Arial"/>
                <w:sz w:val="18"/>
                <w:szCs w:val="18"/>
                <w:color w:val="auto"/>
              </w:rPr>
              <w:t>7,407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Unrealized Gains on Marketable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7"/>
        </w:trPr>
        <w:tc>
          <w:tcPr>
            <w:tcW w:w="2940" w:type="dxa"/>
            <w:vAlign w:val="bottom"/>
          </w:tcPr>
          <w:p>
            <w:pPr>
              <w:spacing w:after="0" w:line="197" w:lineRule="exact"/>
              <w:rPr>
                <w:sz w:val="20"/>
                <w:szCs w:val="20"/>
                <w:color w:val="auto"/>
              </w:rPr>
            </w:pPr>
            <w:r>
              <w:rPr>
                <w:rFonts w:ascii="Arial" w:cs="Arial" w:eastAsia="Arial" w:hAnsi="Arial"/>
                <w:sz w:val="18"/>
                <w:szCs w:val="18"/>
                <w:b w:val="1"/>
                <w:bCs w:val="1"/>
                <w:color w:val="auto"/>
              </w:rPr>
              <w:t>Consolidated Balance at</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22"/>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December 31, 2016</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8,034,443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w w:val="94"/>
              </w:rPr>
              <w:t>Shares Issued under Stock Option and</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Employee Stock Purchase Plans</w:t>
            </w:r>
          </w:p>
        </w:tc>
        <w:tc>
          <w:tcPr>
            <w:tcW w:w="860" w:type="dxa"/>
            <w:vAlign w:val="bottom"/>
          </w:tcPr>
          <w:p>
            <w:pPr>
              <w:jc w:val="right"/>
              <w:spacing w:after="0"/>
              <w:rPr>
                <w:sz w:val="20"/>
                <w:szCs w:val="20"/>
                <w:color w:val="auto"/>
              </w:rPr>
            </w:pPr>
            <w:r>
              <w:rPr>
                <w:rFonts w:ascii="Arial" w:cs="Arial" w:eastAsia="Arial" w:hAnsi="Arial"/>
                <w:sz w:val="18"/>
                <w:szCs w:val="18"/>
                <w:color w:val="auto"/>
              </w:rPr>
              <w:t>11,581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Shares Issued in Connection with</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Cantor Agreement</w:t>
            </w:r>
          </w:p>
        </w:tc>
        <w:tc>
          <w:tcPr>
            <w:tcW w:w="860" w:type="dxa"/>
            <w:vAlign w:val="bottom"/>
          </w:tcPr>
          <w:p>
            <w:pPr>
              <w:jc w:val="right"/>
              <w:spacing w:after="0"/>
              <w:rPr>
                <w:sz w:val="20"/>
                <w:szCs w:val="20"/>
                <w:color w:val="auto"/>
              </w:rPr>
            </w:pPr>
            <w:r>
              <w:rPr>
                <w:rFonts w:ascii="Arial" w:cs="Arial" w:eastAsia="Arial" w:hAnsi="Arial"/>
                <w:sz w:val="18"/>
                <w:szCs w:val="18"/>
                <w:color w:val="auto"/>
              </w:rPr>
              <w:t>1,181,524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Shares Issued in Connection with</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Kolltan Severance</w:t>
            </w:r>
          </w:p>
        </w:tc>
        <w:tc>
          <w:tcPr>
            <w:tcW w:w="860" w:type="dxa"/>
            <w:vAlign w:val="bottom"/>
          </w:tcPr>
          <w:p>
            <w:pPr>
              <w:jc w:val="right"/>
              <w:spacing w:after="0"/>
              <w:rPr>
                <w:sz w:val="20"/>
                <w:szCs w:val="20"/>
                <w:color w:val="auto"/>
              </w:rPr>
            </w:pPr>
            <w:r>
              <w:rPr>
                <w:rFonts w:ascii="Arial" w:cs="Arial" w:eastAsia="Arial" w:hAnsi="Arial"/>
                <w:sz w:val="18"/>
                <w:szCs w:val="18"/>
                <w:color w:val="auto"/>
              </w:rPr>
              <w:t>7,145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Unrealized Gains on Marketable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7"/>
        </w:trPr>
        <w:tc>
          <w:tcPr>
            <w:tcW w:w="2940" w:type="dxa"/>
            <w:vAlign w:val="bottom"/>
          </w:tcPr>
          <w:p>
            <w:pPr>
              <w:spacing w:after="0" w:line="197" w:lineRule="exact"/>
              <w:rPr>
                <w:sz w:val="20"/>
                <w:szCs w:val="20"/>
                <w:color w:val="auto"/>
              </w:rPr>
            </w:pPr>
            <w:r>
              <w:rPr>
                <w:rFonts w:ascii="Arial" w:cs="Arial" w:eastAsia="Arial" w:hAnsi="Arial"/>
                <w:sz w:val="18"/>
                <w:szCs w:val="18"/>
                <w:b w:val="1"/>
                <w:bCs w:val="1"/>
                <w:color w:val="auto"/>
              </w:rPr>
              <w:t>Consolidated Balance at</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22"/>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December 31, 2017</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9,234,693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w w:val="94"/>
              </w:rPr>
              <w:t>Shares Issued under Stock Option and</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Employee Stock Purchase Plans</w:t>
            </w:r>
          </w:p>
        </w:tc>
        <w:tc>
          <w:tcPr>
            <w:tcW w:w="860" w:type="dxa"/>
            <w:vAlign w:val="bottom"/>
          </w:tcPr>
          <w:p>
            <w:pPr>
              <w:jc w:val="right"/>
              <w:spacing w:after="0"/>
              <w:rPr>
                <w:sz w:val="20"/>
                <w:szCs w:val="20"/>
                <w:color w:val="auto"/>
              </w:rPr>
            </w:pPr>
            <w:r>
              <w:rPr>
                <w:rFonts w:ascii="Arial" w:cs="Arial" w:eastAsia="Arial" w:hAnsi="Arial"/>
                <w:sz w:val="18"/>
                <w:szCs w:val="18"/>
                <w:color w:val="auto"/>
              </w:rPr>
              <w:t>16,047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Shares Issued in Connection with</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Cantor Agreement</w:t>
            </w:r>
          </w:p>
        </w:tc>
        <w:tc>
          <w:tcPr>
            <w:tcW w:w="860" w:type="dxa"/>
            <w:vAlign w:val="bottom"/>
          </w:tcPr>
          <w:p>
            <w:pPr>
              <w:jc w:val="right"/>
              <w:spacing w:after="0"/>
              <w:rPr>
                <w:sz w:val="20"/>
                <w:szCs w:val="20"/>
                <w:color w:val="auto"/>
              </w:rPr>
            </w:pPr>
            <w:r>
              <w:rPr>
                <w:rFonts w:ascii="Arial" w:cs="Arial" w:eastAsia="Arial" w:hAnsi="Arial"/>
                <w:sz w:val="18"/>
                <w:szCs w:val="18"/>
                <w:color w:val="auto"/>
              </w:rPr>
              <w:t>2,702,660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Shares Issued in Connection with</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Kolltan Severance</w:t>
            </w:r>
          </w:p>
        </w:tc>
        <w:tc>
          <w:tcPr>
            <w:tcW w:w="860" w:type="dxa"/>
            <w:vAlign w:val="bottom"/>
          </w:tcPr>
          <w:p>
            <w:pPr>
              <w:jc w:val="right"/>
              <w:spacing w:after="0"/>
              <w:rPr>
                <w:sz w:val="20"/>
                <w:szCs w:val="20"/>
                <w:color w:val="auto"/>
              </w:rPr>
            </w:pPr>
            <w:r>
              <w:rPr>
                <w:rFonts w:ascii="Arial" w:cs="Arial" w:eastAsia="Arial" w:hAnsi="Arial"/>
                <w:sz w:val="18"/>
                <w:szCs w:val="18"/>
                <w:color w:val="auto"/>
              </w:rPr>
              <w:t>4,235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Unrealized Gains on Marketable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Adoption of ASC 606</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7"/>
        </w:trPr>
        <w:tc>
          <w:tcPr>
            <w:tcW w:w="2940" w:type="dxa"/>
            <w:vAlign w:val="bottom"/>
          </w:tcPr>
          <w:p>
            <w:pPr>
              <w:spacing w:after="0" w:line="197" w:lineRule="exact"/>
              <w:rPr>
                <w:sz w:val="20"/>
                <w:szCs w:val="20"/>
                <w:color w:val="auto"/>
              </w:rPr>
            </w:pPr>
            <w:r>
              <w:rPr>
                <w:rFonts w:ascii="Arial" w:cs="Arial" w:eastAsia="Arial" w:hAnsi="Arial"/>
                <w:sz w:val="18"/>
                <w:szCs w:val="18"/>
                <w:b w:val="1"/>
                <w:bCs w:val="1"/>
                <w:color w:val="auto"/>
              </w:rPr>
              <w:t>Consolidated Balance at</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29"/>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December 31, 2018</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11,957,635</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0"/>
        </w:trPr>
        <w:tc>
          <w:tcPr>
            <w:tcW w:w="2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-5127625</wp:posOffset>
            </wp:positionV>
            <wp:extent cx="586613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-4578985</wp:posOffset>
            </wp:positionV>
            <wp:extent cx="586613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-4167505</wp:posOffset>
            </wp:positionV>
            <wp:extent cx="586613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-3747135</wp:posOffset>
            </wp:positionV>
            <wp:extent cx="586613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-3197860</wp:posOffset>
            </wp:positionV>
            <wp:extent cx="586613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-2649220</wp:posOffset>
            </wp:positionV>
            <wp:extent cx="586613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6613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-2237740</wp:posOffset>
            </wp:positionV>
            <wp:extent cx="586613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6613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-1817370</wp:posOffset>
            </wp:positionV>
            <wp:extent cx="586613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-1268730</wp:posOffset>
            </wp:positionV>
            <wp:extent cx="586613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-857250</wp:posOffset>
            </wp:positionV>
            <wp:extent cx="586613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-445135</wp:posOffset>
            </wp:positionV>
            <wp:extent cx="586613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6613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0"/>
        </w:trPr>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878,747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2,307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(590,956)</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290,105</w:t>
            </w:r>
          </w:p>
        </w:tc>
        <w:tc>
          <w:tcPr>
            <w:tcW w:w="40" w:type="dxa"/>
            <w:vAlign w:val="bottom"/>
          </w:tcPr>
          <w:p>
            <w:pPr>
              <w:spacing w:after="0"/>
              <w:rPr>
                <w:sz w:val="18"/>
                <w:szCs w:val="18"/>
                <w:color w:val="auto"/>
              </w:rPr>
            </w:pPr>
          </w:p>
        </w:tc>
      </w:tr>
      <w:tr>
        <w:trPr>
          <w:trHeight w:val="411"/>
        </w:trPr>
        <w:tc>
          <w:tcPr>
            <w:tcW w:w="82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24"/>
                <w:szCs w:val="24"/>
                <w:color w:val="auto"/>
              </w:rPr>
            </w:pPr>
          </w:p>
        </w:tc>
      </w:tr>
      <w:tr>
        <w:trPr>
          <w:trHeight w:val="432"/>
        </w:trPr>
        <w:tc>
          <w:tcPr>
            <w:tcW w:w="820" w:type="dxa"/>
            <w:vAlign w:val="bottom"/>
          </w:tcPr>
          <w:p>
            <w:pPr>
              <w:jc w:val="right"/>
              <w:spacing w:after="0"/>
              <w:rPr>
                <w:sz w:val="20"/>
                <w:szCs w:val="20"/>
                <w:color w:val="auto"/>
              </w:rPr>
            </w:pPr>
            <w:r>
              <w:rPr>
                <w:rFonts w:ascii="Arial" w:cs="Arial" w:eastAsia="Arial" w:hAnsi="Arial"/>
                <w:sz w:val="18"/>
                <w:szCs w:val="18"/>
                <w:color w:val="auto"/>
              </w:rPr>
              <w:t>13,946</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13,946</w:t>
            </w:r>
          </w:p>
        </w:tc>
        <w:tc>
          <w:tcPr>
            <w:tcW w:w="40" w:type="dxa"/>
            <w:vAlign w:val="bottom"/>
          </w:tcPr>
          <w:p>
            <w:pPr>
              <w:spacing w:after="0"/>
              <w:rPr>
                <w:sz w:val="24"/>
                <w:szCs w:val="24"/>
                <w:color w:val="auto"/>
              </w:rPr>
            </w:pPr>
          </w:p>
        </w:tc>
      </w:tr>
      <w:tr>
        <w:trPr>
          <w:trHeight w:val="432"/>
        </w:trPr>
        <w:tc>
          <w:tcPr>
            <w:tcW w:w="820" w:type="dxa"/>
            <w:vAlign w:val="bottom"/>
          </w:tcPr>
          <w:p>
            <w:pPr>
              <w:jc w:val="right"/>
              <w:spacing w:after="0"/>
              <w:rPr>
                <w:sz w:val="20"/>
                <w:szCs w:val="20"/>
                <w:color w:val="auto"/>
              </w:rPr>
            </w:pPr>
            <w:r>
              <w:rPr>
                <w:rFonts w:ascii="Arial" w:cs="Arial" w:eastAsia="Arial" w:hAnsi="Arial"/>
                <w:sz w:val="18"/>
                <w:szCs w:val="18"/>
                <w:color w:val="auto"/>
              </w:rPr>
              <w:t>73,396</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73,397</w:t>
            </w:r>
          </w:p>
        </w:tc>
        <w:tc>
          <w:tcPr>
            <w:tcW w:w="40" w:type="dxa"/>
            <w:vAlign w:val="bottom"/>
          </w:tcPr>
          <w:p>
            <w:pPr>
              <w:spacing w:after="0"/>
              <w:rPr>
                <w:sz w:val="24"/>
                <w:szCs w:val="24"/>
                <w:color w:val="auto"/>
              </w:rPr>
            </w:pPr>
          </w:p>
        </w:tc>
      </w:tr>
      <w:tr>
        <w:trPr>
          <w:trHeight w:val="426"/>
        </w:trPr>
        <w:tc>
          <w:tcPr>
            <w:tcW w:w="82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24"/>
                <w:szCs w:val="24"/>
                <w:color w:val="auto"/>
              </w:rPr>
            </w:pP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15,317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15,317</w:t>
            </w:r>
          </w:p>
        </w:tc>
        <w:tc>
          <w:tcPr>
            <w:tcW w:w="40" w:type="dxa"/>
            <w:vAlign w:val="bottom"/>
          </w:tcPr>
          <w:p>
            <w:pPr>
              <w:spacing w:after="0"/>
              <w:rPr>
                <w:sz w:val="19"/>
                <w:szCs w:val="19"/>
                <w:color w:val="auto"/>
              </w:rPr>
            </w:pPr>
          </w:p>
        </w:tc>
      </w:tr>
      <w:tr>
        <w:trPr>
          <w:trHeight w:val="426"/>
        </w:trPr>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24"/>
                <w:szCs w:val="24"/>
                <w:color w:val="auto"/>
              </w:rPr>
            </w:pPr>
          </w:p>
        </w:tc>
      </w:tr>
      <w:tr>
        <w:trPr>
          <w:trHeight w:val="223"/>
        </w:trPr>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(128,530)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(128,530)</w:t>
            </w:r>
          </w:p>
        </w:tc>
      </w:tr>
      <w:tr>
        <w:trPr>
          <w:trHeight w:val="20"/>
        </w:trPr>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982,368</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2,541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(719,486)</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265,431</w:t>
            </w:r>
          </w:p>
        </w:tc>
        <w:tc>
          <w:tcPr>
            <w:tcW w:w="40" w:type="dxa"/>
            <w:vAlign w:val="bottom"/>
          </w:tcPr>
          <w:p>
            <w:pPr>
              <w:spacing w:after="0"/>
              <w:rPr>
                <w:sz w:val="19"/>
                <w:szCs w:val="19"/>
                <w:color w:val="auto"/>
              </w:rPr>
            </w:pPr>
          </w:p>
        </w:tc>
      </w:tr>
      <w:tr>
        <w:trPr>
          <w:trHeight w:val="432"/>
        </w:trPr>
        <w:tc>
          <w:tcPr>
            <w:tcW w:w="82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24"/>
                <w:szCs w:val="24"/>
                <w:color w:val="auto"/>
              </w:rPr>
            </w:pPr>
          </w:p>
        </w:tc>
      </w:tr>
      <w:tr>
        <w:trPr>
          <w:trHeight w:val="432"/>
        </w:trPr>
        <w:tc>
          <w:tcPr>
            <w:tcW w:w="820" w:type="dxa"/>
            <w:vAlign w:val="bottom"/>
          </w:tcPr>
          <w:p>
            <w:pPr>
              <w:jc w:val="right"/>
              <w:spacing w:after="0"/>
              <w:rPr>
                <w:sz w:val="20"/>
                <w:szCs w:val="20"/>
                <w:color w:val="auto"/>
              </w:rPr>
            </w:pPr>
            <w:r>
              <w:rPr>
                <w:rFonts w:ascii="Arial" w:cs="Arial" w:eastAsia="Arial" w:hAnsi="Arial"/>
                <w:sz w:val="18"/>
                <w:szCs w:val="18"/>
                <w:color w:val="auto"/>
              </w:rPr>
              <w:t>51,024</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51,025</w:t>
            </w:r>
          </w:p>
        </w:tc>
        <w:tc>
          <w:tcPr>
            <w:tcW w:w="40" w:type="dxa"/>
            <w:vAlign w:val="bottom"/>
          </w:tcPr>
          <w:p>
            <w:pPr>
              <w:spacing w:after="0"/>
              <w:rPr>
                <w:sz w:val="24"/>
                <w:szCs w:val="24"/>
                <w:color w:val="auto"/>
              </w:rPr>
            </w:pPr>
          </w:p>
        </w:tc>
      </w:tr>
      <w:tr>
        <w:trPr>
          <w:trHeight w:val="426"/>
        </w:trPr>
        <w:tc>
          <w:tcPr>
            <w:tcW w:w="82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24"/>
                <w:szCs w:val="24"/>
                <w:color w:val="auto"/>
              </w:rPr>
            </w:pP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12,312</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12,312</w:t>
            </w:r>
          </w:p>
        </w:tc>
        <w:tc>
          <w:tcPr>
            <w:tcW w:w="40" w:type="dxa"/>
            <w:vAlign w:val="bottom"/>
          </w:tcPr>
          <w:p>
            <w:pPr>
              <w:spacing w:after="0"/>
              <w:rPr>
                <w:sz w:val="19"/>
                <w:szCs w:val="19"/>
                <w:color w:val="auto"/>
              </w:rPr>
            </w:pPr>
          </w:p>
        </w:tc>
      </w:tr>
      <w:tr>
        <w:trPr>
          <w:trHeight w:val="426"/>
        </w:trPr>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4"/>
                <w:szCs w:val="24"/>
                <w:color w:val="auto"/>
              </w:rPr>
            </w:pPr>
          </w:p>
        </w:tc>
      </w:tr>
      <w:tr>
        <w:trPr>
          <w:trHeight w:val="223"/>
        </w:trPr>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(93,031)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(93,031)</w:t>
            </w:r>
          </w:p>
        </w:tc>
      </w:tr>
      <w:tr>
        <w:trPr>
          <w:trHeight w:val="20"/>
        </w:trPr>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1,046,313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2,564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(812,517)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236,369</w:t>
            </w:r>
          </w:p>
        </w:tc>
        <w:tc>
          <w:tcPr>
            <w:tcW w:w="40" w:type="dxa"/>
            <w:vAlign w:val="bottom"/>
          </w:tcPr>
          <w:p>
            <w:pPr>
              <w:spacing w:after="0"/>
              <w:rPr>
                <w:sz w:val="19"/>
                <w:szCs w:val="19"/>
                <w:color w:val="auto"/>
              </w:rPr>
            </w:pPr>
          </w:p>
        </w:tc>
      </w:tr>
      <w:tr>
        <w:trPr>
          <w:trHeight w:val="432"/>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c>
          <w:tcPr>
            <w:tcW w:w="40" w:type="dxa"/>
            <w:vAlign w:val="bottom"/>
          </w:tcPr>
          <w:p>
            <w:pPr>
              <w:spacing w:after="0"/>
              <w:rPr>
                <w:sz w:val="24"/>
                <w:szCs w:val="24"/>
                <w:color w:val="auto"/>
              </w:rPr>
            </w:pPr>
          </w:p>
        </w:tc>
      </w:tr>
      <w:tr>
        <w:trPr>
          <w:trHeight w:val="432"/>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29,019</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29,022</w:t>
            </w:r>
          </w:p>
        </w:tc>
        <w:tc>
          <w:tcPr>
            <w:tcW w:w="40" w:type="dxa"/>
            <w:vAlign w:val="bottom"/>
          </w:tcPr>
          <w:p>
            <w:pPr>
              <w:spacing w:after="0"/>
              <w:rPr>
                <w:sz w:val="24"/>
                <w:szCs w:val="24"/>
                <w:color w:val="auto"/>
              </w:rPr>
            </w:pPr>
          </w:p>
        </w:tc>
      </w:tr>
      <w:tr>
        <w:trPr>
          <w:trHeight w:val="426"/>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4"/>
                <w:szCs w:val="24"/>
                <w:color w:val="auto"/>
              </w:rPr>
            </w:pPr>
          </w:p>
        </w:tc>
      </w:tr>
      <w:tr>
        <w:trPr>
          <w:trHeight w:val="222"/>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8,081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8,081</w:t>
            </w:r>
          </w:p>
        </w:tc>
        <w:tc>
          <w:tcPr>
            <w:tcW w:w="40" w:type="dxa"/>
            <w:vAlign w:val="bottom"/>
          </w:tcPr>
          <w:p>
            <w:pPr>
              <w:spacing w:after="0"/>
              <w:rPr>
                <w:sz w:val="19"/>
                <w:szCs w:val="19"/>
                <w:color w:val="auto"/>
              </w:rPr>
            </w:pPr>
          </w:p>
        </w:tc>
      </w:tr>
      <w:tr>
        <w:trPr>
          <w:trHeight w:val="426"/>
        </w:trPr>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1,263</w:t>
            </w:r>
          </w:p>
        </w:tc>
        <w:tc>
          <w:tcPr>
            <w:tcW w:w="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(151,184)</w:t>
            </w: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(151,184)</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$ 1,083,903</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2,583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(962,438) $</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124,060</w:t>
            </w:r>
          </w:p>
        </w:tc>
        <w:tc>
          <w:tcPr>
            <w:tcW w:w="40" w:type="dxa"/>
            <w:vAlign w:val="bottom"/>
          </w:tcPr>
          <w:p>
            <w:pPr>
              <w:spacing w:after="0"/>
              <w:rPr>
                <w:sz w:val="24"/>
                <w:szCs w:val="24"/>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160"/>
            <w:col w:w="4300"/>
          </w:cols>
          <w:pgMar w:left="240" w:top="131" w:right="1379" w:bottom="1440" w:gutter="0" w:footer="0" w:header="0"/>
          <w:type w:val="continuous"/>
        </w:sectPr>
      </w:pPr>
    </w:p>
    <w:p>
      <w:pPr>
        <w:spacing w:after="0" w:line="8" w:lineRule="exact"/>
        <w:rPr>
          <w:sz w:val="20"/>
          <w:szCs w:val="20"/>
          <w:color w:val="auto"/>
        </w:rPr>
      </w:pPr>
    </w:p>
    <w:p>
      <w:pPr>
        <w:ind w:left="3180"/>
        <w:spacing w:after="0"/>
        <w:rPr>
          <w:sz w:val="20"/>
          <w:szCs w:val="20"/>
          <w:color w:val="auto"/>
        </w:rPr>
      </w:pPr>
      <w:r>
        <w:rPr>
          <w:rFonts w:ascii="Arial" w:cs="Arial" w:eastAsia="Arial" w:hAnsi="Arial"/>
          <w:sz w:val="15"/>
          <w:szCs w:val="15"/>
          <w:color w:val="auto"/>
        </w:rPr>
        <w:t>The accompanying notes are an integral part of the financial statements.</w:t>
      </w:r>
    </w:p>
    <w:p>
      <w:pPr>
        <w:spacing w:after="0" w:line="50"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(Reflects one for fifteen reverse stock split effective February 8, 2019)</w:t>
      </w:r>
    </w:p>
    <w:p>
      <w:pPr>
        <w:spacing w:after="0" w:line="2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December 31, 2018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(151,184)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(93,031)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(128,530)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w w:val="96"/>
              </w:rPr>
              <w:t>Amortization and Premium of Marketable Securities,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Sale or Disposal of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Goodwill Impairment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90,976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Intangible Asset Impairment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Gain on Fair Value Remeasurement of Contingent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Consideration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(29,621)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Income Tax Benefit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Expense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and Other Receivables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(13,110)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(8,744)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219,236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242,792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(171,182)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(170,980)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Investment in Other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Acquired in Kolltan Acquisition,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Proceeds from Issuance of Stock from Employee Benefit Plans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Non-cash Investing Activities</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construction in progress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i w:val="1"/>
                <w:iCs w:val="1"/>
                <w:color w:val="auto"/>
              </w:rPr>
              <w:t>Non-cash Supplemental Disclosure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Shares issued to former Kolltan executive for settlement of</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severance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Shares issued in connection with Kolltan Acquisition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73,397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Overview</w:t>
      </w:r>
    </w:p>
    <w:p>
      <w:pPr>
        <w:spacing w:after="0" w:line="231"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Celldex Therapeutics, Inc. (the "Company" or "Celldex") is a biopharmaceutical company focused on the development and commercialization of several immunotherapy technologies and other cancer-targeting biologics. The Company currently has four drug candidates in clinical development, including CDX-1140, CDX-3379, varlilumab (also referred to as CDX-1127), and CDX-301.</w:t>
      </w:r>
    </w:p>
    <w:p>
      <w:pPr>
        <w:spacing w:after="0" w:line="194"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At December 31, 2018, the Company had cash, cash equivalents and marketable securities of $94.0 million. The Company has had recurring losses and incurred a loss of $151.2 million for the year ended December 31, 2018. Net cash used in operations for the year ended December 31, 2018 was $75.2 million. The Company believes that the cash, cash equivalents and marketable securities at March 7, 2019 will be sufficient to meet estimated working capital requirements and fund planned operations for at least the next twelve months from the date of issuance of these financial statements.</w:t>
      </w:r>
    </w:p>
    <w:p>
      <w:pPr>
        <w:spacing w:after="0" w:line="167"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Board of Directors of the Company approved a one for fifteen reverse stock split of the Company's outstanding common stock, which was effected on February 8, 2019. All share and per share amounts in the financial statements have been retroactively adjusted for all periods presented to give effect to the reverse stock split, including reclassifying an amount equal to the reduction in par value to additional paid-in capital.</w:t>
      </w:r>
    </w:p>
    <w:p>
      <w:pPr>
        <w:spacing w:after="0" w:line="16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During the next twelve months and beyond, the Company will take further steps to raise additional capital to meet its liquidity needs. These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future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700" w:firstLine="348"/>
        <w:spacing w:after="0" w:line="370" w:lineRule="auto"/>
        <w:rPr>
          <w:sz w:val="20"/>
          <w:szCs w:val="20"/>
          <w:color w:val="auto"/>
        </w:rPr>
      </w:pPr>
      <w:r>
        <w:rPr>
          <w:rFonts w:ascii="Arial" w:cs="Arial" w:eastAsia="Arial" w:hAnsi="Arial"/>
          <w:sz w:val="15"/>
          <w:szCs w:val="15"/>
          <w:color w:val="auto"/>
        </w:rPr>
        <w:t>The balance sheets and statements of operations and comprehensive loss, stockholders' equity, and cash flows, are consolidated for the years ended December 31, 2018 and 2017. These consolidated financial statements reflect the operations of the Company and its wholly-owned subsidiaries. All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intercompany balances and transactions have been eliminated in consolidation. The Company operates in one segment, which is the business of development, manufacturing and commercialization of novel therapeutics for human health care.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preparation of the financial statements in conformity with accounting principles generally accepted in the United States of America (U.S. GAAP) requires management to make estimates and use assumptions that affect the reported amounts of assets and liabilities and the disclosure of contingent assets and liabilities at the dates of the financial statements and the reported amounts of revenues and expenses during the reporting period. Actual results could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Company invests its excess cash balances in marketable securities, including municipal bond securities, U.S. government agency securities, and highly rated corporate bonds. The Company classifies all of its marketable securities as current assets on the balance sheets because they are available-for-sale and available to fund current operations. Marketable securities are stated at fair value with unrealized gains and losses included as a component of accumulated other comprehensive income (loss), which is a separate component of stockholders' equity, until such gains and losses are realized. If a decline in the fair value is considered other-than-temporary, based on available evidence, the unrealized loss is reclassified from accumulated other comprehensive income (loss) to the statements of operations. Realized gains and losses are determined on the specific identification method and are included in investment and other income, net.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of Significant Customers and Suppliers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Combined revenue from BMS, Rockefeller and International AIDS Vaccine Initiative represented 86% of total Company revenue for the year ended December 31, 2018 and 77% of total Company revenue for the year ended December 31, 2017. Combined revenue from Rockefeller and BMS represented 71% of total Company revenue for the year ended December 31, 2016.</w:t>
      </w:r>
    </w:p>
    <w:p>
      <w:pPr>
        <w:spacing w:after="0" w:line="19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Company relies on contract manufacturing organizations (CMO) to manufacture drug substance and drug product as well as for future commercial supplies. The Company also relies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CMOs for supply of raw materials as well as filling, packaging, storing and shipping our drug products. The Company relies on third-party collaborators to develop companion diagnostic tests.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67" w:lineRule="exact"/>
        <w:rPr>
          <w:sz w:val="20"/>
          <w:szCs w:val="20"/>
          <w:color w:val="auto"/>
        </w:rPr>
      </w:pPr>
    </w:p>
    <w:p>
      <w:pPr>
        <w:jc w:val="both"/>
        <w:ind w:left="540" w:right="380" w:firstLine="351"/>
        <w:spacing w:after="0" w:line="332" w:lineRule="auto"/>
        <w:rPr>
          <w:sz w:val="20"/>
          <w:szCs w:val="20"/>
          <w:color w:val="auto"/>
        </w:rPr>
      </w:pPr>
      <w:r>
        <w:rPr>
          <w:rFonts w:ascii="Arial" w:cs="Arial" w:eastAsia="Arial" w:hAnsi="Arial"/>
          <w:sz w:val="16"/>
          <w:szCs w:val="16"/>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39" w:lineRule="exact"/>
        <w:rPr>
          <w:sz w:val="20"/>
          <w:szCs w:val="20"/>
          <w:color w:val="auto"/>
        </w:rPr>
      </w:pPr>
    </w:p>
    <w:p>
      <w:pPr>
        <w:ind w:left="540" w:right="340" w:firstLine="351"/>
        <w:spacing w:after="0" w:line="268" w:lineRule="auto"/>
        <w:rPr>
          <w:sz w:val="20"/>
          <w:szCs w:val="20"/>
          <w:color w:val="auto"/>
        </w:rPr>
      </w:pPr>
      <w:r>
        <w:rPr>
          <w:rFonts w:ascii="Arial" w:cs="Arial" w:eastAsia="Arial" w:hAnsi="Arial"/>
          <w:sz w:val="18"/>
          <w:szCs w:val="18"/>
          <w:color w:val="auto"/>
        </w:rPr>
        <w:t>Level 2: Observable inputs other than Level 1 prices, such as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480" w:firstLine="351"/>
        <w:spacing w:after="0" w:line="268"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amortized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statements of operations and comprehensive loss.</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Other assets include a $1.8 million non-controlling investment in a privately-held company that is accounted for under the cost method of accounting as of December 31, 2018 and 2017. The Company periodically evaluates the carrying value of the investment if significant adverse events or circumstances indicate an impairment in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records the fair value of the consideration transferred to acquire a business to the tangible assets and identifiable intangible assets acquired and liabilities assumed on the basis of their fair values at the date of acquisition. The Company assesses the fair value of assets, including intangible assets such as in-process research and development (IPR&amp;D), using a variety of methods including present-value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records contingent consideration resulting from a business combination at its fair value on the acquisition date. The Company determines the fair value of the contingent consideration based primarily on the (i) timing and probability of success of clinical events or regulatory approvals; (ii) timing and probability of success of meeting clinical and commercial milestones; and (iii) discount rates. The Company's contingent consideration liabilities arose in connection with its acquisition of Kolltan. On a quarterly basis, the Company revalues these obligations and records increases or decreases in their fair value as an adjustment to operating earnings.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The assumptions related to determining the value of contingent consideration include a significant amount of judgment, and any changes in the underlying estimates could have a material impact on the amount of contingent consideration expense recorded in any given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IPR&amp;D assets acquired in a business combination initially are recorded at fair value and accounted for as indefinite-lived intangible assets. These assets are capitalized on the Company's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Each IPR&amp;D asset is assessed for impairment at least annually or when impairment indicators are present. As a result of the discontinuation of the Glemba program, the Company concluded that the Glemba IPR&amp;D asset was fully impaired, and a non-cash impairment charge of $11.8 million was recorded in the first quarter of 2018. The remaining IPR&amp;D assets were assessed for impairment during 2018 and were determined not to be impaired. During the year ended December 31, 2017, the Company recorded a partial impairment charge of $13.0 million related to changes in projected development and regulatory timelines regarding the anti-KIT program.</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Intangible assets acquired in a business combination with a finite life are recorded at fair value and amortized over the greater of economic consumption or on a straight-line basis over their estimated useful life. As a result of the discontinuation of the Glemba program, it was concluded that the Company's finite-lived intangible asset was fully impaired and a non-cash impairment charge of $6.9 million was recorded in the first quarter of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allocated to goodwill. Goodwill is evaluated for impairment on an annual basis during the third quarter, or earlier if impairment indicators are present. The Company has the option to assess qualitative factors to determine if it is more likely than not that goodwill might be impaired and whether it is necessary to perform a quantitative single-step goodwill impairment test required under U.S. GAAP. As a result of the discontinuation of the Glemba program, the Company evaluated goodwill for potential impairment in the first quarter of 2018. It was determined that the goodwill asset was fully impaired and an impairment charge of $91.0 million was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and Long-Lived Assets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evaluates the recoverability of its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38" w:lineRule="exact"/>
        <w:rPr>
          <w:rFonts w:ascii="Arial" w:cs="Arial" w:eastAsia="Arial" w:hAnsi="Arial"/>
          <w:sz w:val="18"/>
          <w:szCs w:val="18"/>
          <w:color w:val="auto"/>
        </w:rPr>
      </w:pPr>
    </w:p>
    <w:p>
      <w:pPr>
        <w:ind w:left="5620" w:right="4340" w:hanging="5072"/>
        <w:spacing w:after="0" w:line="519" w:lineRule="auto"/>
        <w:tabs>
          <w:tab w:leader="none" w:pos="10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45"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jc w:val="both"/>
        <w:ind w:right="520" w:firstLine="351"/>
        <w:spacing w:after="0" w:line="294" w:lineRule="auto"/>
        <w:rPr>
          <w:sz w:val="20"/>
          <w:szCs w:val="20"/>
          <w:color w:val="auto"/>
        </w:rPr>
      </w:pPr>
      <w:r>
        <w:rPr>
          <w:rFonts w:ascii="Arial" w:cs="Arial" w:eastAsia="Arial" w:hAnsi="Arial"/>
          <w:sz w:val="16"/>
          <w:szCs w:val="16"/>
          <w:color w:val="auto"/>
        </w:rPr>
        <w:t>Revenue for the Company has historically been derived from biopharmaceutical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w:t>
      </w:r>
    </w:p>
    <w:p>
      <w:pPr>
        <w:spacing w:after="0" w:line="170"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Company's contract liabilities result from arrangements where the Company has received payment in advance of performance under the contract. These amounts are included as deferred revenue within current portion of long-term liabilities on the condensed consolidated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Clinical trial expenses include expenses associated with clinical research organization, or CRO, services. Contract manufacturing expenses include expenses associated with contract manufacturing organization, or CMO, services. The invoicing from CROs and CMOs for services rendered can lag several months. The Company accrues the cost of services rendered in connection with CRO and CMO activities based on our estimate of costs incurred. The Company maintains regular communication with our CROs and CMOs to assess the reasonableness of its estimates. Differences between actual expenses and estimated expenses recorded have not been material and are adjusted for in the period in which they become known.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Costs</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Patent costs are expensed as incurred. Certain patent costs are reimbursed by the Company's product development and licensing partners. Any reimbursed patent costs are recorded as product development and licensing agreement revenues in the Company's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Company records stock-based compensation expense for all stock-based awards made to employees, directors and non-employees based on the estimated fair values of the stock-based awards expected to vest at the grant date and adjust, if necessary, to reflect actual forfeitures. Compensation expense for all stock-based awards is recognized using the straight-line method over the term of vesting or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Net unrealized gains and losses resulting from foreign currency translation are included in accumulated other comprehensive income. At December 31, 2018 and 2017, accumulated other comprehensive income includes a net unrealized gain related to foreign currency translation of $2.6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52"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Comprehensive loss is comprised of net loss and certain changes in stockholders' equity that are excluded from net loss. The Company includes foreign currency translation adjustments and unrealized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gains and losses on marketable securities in other comprehensive loss. The statements of operations and comprehensive loss reflect total comprehensive loss for the years ended December 31, 2018, 2017 and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5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866,132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723,747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681,248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Restricted stock</w:t>
            </w:r>
          </w:p>
        </w:tc>
        <w:tc>
          <w:tcPr>
            <w:tcW w:w="700" w:type="dxa"/>
            <w:vAlign w:val="bottom"/>
          </w:tcPr>
          <w:p>
            <w:pPr>
              <w:jc w:val="right"/>
              <w:spacing w:after="0"/>
              <w:rPr>
                <w:sz w:val="20"/>
                <w:szCs w:val="20"/>
                <w:color w:val="auto"/>
              </w:rPr>
            </w:pPr>
            <w:r>
              <w:rPr>
                <w:rFonts w:ascii="Arial" w:cs="Arial" w:eastAsia="Arial" w:hAnsi="Arial"/>
                <w:sz w:val="18"/>
                <w:szCs w:val="18"/>
                <w:color w:val="auto"/>
              </w:rPr>
              <w:t>3,552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6,445</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3,333</w:t>
            </w:r>
          </w:p>
        </w:tc>
      </w:tr>
      <w:tr>
        <w:trPr>
          <w:trHeight w:val="20"/>
        </w:trPr>
        <w:tc>
          <w:tcPr>
            <w:tcW w:w="5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869,684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730,192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684,581</w:t>
            </w:r>
          </w:p>
        </w:tc>
      </w:tr>
      <w:tr>
        <w:trPr>
          <w:trHeight w:val="20"/>
        </w:trPr>
        <w:tc>
          <w:tcPr>
            <w:tcW w:w="5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Newly-Adopted Accounting Pronouncements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January 1, 2018, the Company adopted the new U.S. GAAP standard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a modified retrospective application method, recognizing an immaterial cumulative-effect adjustment to accumulated deficit. The Company applied the new guidance to (i) contracts not completed as of the date of adoption and (ii) all new revenue contracts entered into after January 1, 2018. Refer to Note 12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for additional details on this adoption and the Company's updated revenue accounting policy and disclosures.</w:t>
      </w:r>
    </w:p>
    <w:p>
      <w:pPr>
        <w:spacing w:after="0" w:line="197"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 xml:space="preserve">On January 1, 2018, the Company adopted a U.S. GAAP standard update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which clarifies the classification of certain cash receipts and payments in the statement of cash flows. The adoption of this new standard did not impact the Company's consolidated financial statements.</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On July 1, 2018, the Company adopted a U.S. GAAP standard that aligns the accounting for share-based payment awards issued to employees and nonemployees. Under the new guidance, the existing employee guidance is applied to nonemployee share-based transactions. The adoption of this new standard did not have a material impact on the Company's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February 2016, the FASB issued a new U.S. GAAP accounting standard which requires that all lessees recognize the assets and liabilities that arise from leases on the balance sheet and disclose qualitative and quantitative information about its leasing arrangements. The Company will adopt the new guidance for its fiscal year beginning January 1, 2019 using the modified retrospective transition method, which requires the Company to apply the standard as of the effective date and does not require restatement of prior periods. The Company intends to elect the package of practical expedients, which will allow the Company to not reassess: (i) whether expired or existing contracts contain leases; (ii) lease classification for any expired or existing leases; and (iii) initial direct costs for any existing leases. The Company also plans to make a policy election not to record short term leases on the balance sheet. Adoption of this standard will not have a material impact on the Company's Consolidated Statement of Operations and Comprehensive Loss or Statement of Cash Flow, however the Company expects to record a right-of-use asset of approximately $4.2 million and lease liability of approximately $4.7 million on its Consolidated Balance Sheet related to the Company's operating leases.</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2020. We are currently evaluating the potential impact that this standard may have on the Company's consolidated financial statements and related disclosures.</w:t>
      </w:r>
    </w:p>
    <w:p>
      <w:pPr>
        <w:spacing w:after="0" w:line="17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August 2018, the FASB issued amendments that modify certain disclosure requirements for fair value measurements. The amendments become effective, including interim periods, beginning January 1, 2020. Early adoption, of all the amendments or only the provisions that eliminate or modify the requirements, is permitted. The adoption of this new guidance is not expected to have a material impact on the Company's consolidated financial statements and related disclosures.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November 2018, the FASB issued guidance to clarify the interaction between the accounting guidance for collaborative arrangements and revenue from contracts with customers. The amendments become effective, including interim periods, beginning January 1, 2020. Early adoption, including adoption in an interim period, is permitted. This guidance is required to be applied retrospectively as of the date of our adoption of the new revenue standard on January 1, 2018. We are currently evaluating the timing of our adoption and the expected impact this guidance could have on our consolidated financial statements and related disclosures.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Accumulated Other Comprehensive Income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changes in accumulated other comprehensive income, which is reported as a component of stockholders' equity, for the year ended December 31, 2018 are summarized below:</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Gain (Loss) 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Marketable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Securities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Currency Items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right"/>
              <w:ind w:right="257"/>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2,564</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2,583</w:t>
            </w: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amounts were reclassified out of accumulated other comprehensive income during the years ended December 31, 2018, 2017 and 2016.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4"/>
              </w:rPr>
              <w:t>December 31, 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6"/>
              </w:rPr>
              <w:t>Level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2"/>
              </w:rPr>
              <w:t>Level 3</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tcPr>
          <w:p>
            <w:pPr>
              <w:jc w:val="right"/>
              <w:ind w:right="516"/>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Money market funds and cash equivalents</w:t>
            </w:r>
          </w:p>
        </w:tc>
        <w:tc>
          <w:tcPr>
            <w:tcW w:w="1100" w:type="dxa"/>
            <w:vAlign w:val="bottom"/>
            <w:gridSpan w:val="3"/>
          </w:tcPr>
          <w:p>
            <w:pPr>
              <w:ind w:left="100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15,755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w w:val="88"/>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15,755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85,467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Kolltan acquisition contingent consideration</w:t>
            </w:r>
          </w:p>
        </w:tc>
        <w:tc>
          <w:tcPr>
            <w:tcW w:w="1000" w:type="dxa"/>
            <w:vAlign w:val="bottom"/>
            <w:gridSpan w:val="2"/>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13,779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13,779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December 31, 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6"/>
              </w:rPr>
              <w:t>Level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4"/>
              </w:rPr>
              <w:t>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2"/>
              </w:rPr>
              <w:t>Level 3</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Money market funds and cash equivalents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123,200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Kolltan acquisition contingent consideration</w:t>
            </w:r>
          </w:p>
        </w:tc>
        <w:tc>
          <w:tcPr>
            <w:tcW w:w="9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43,400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Company's financial assets consist mainly of cash and cash equivalents and marketable securities and are classified as Level 2 within the valuation hierarchy. The Company values its marketable securities utilizing independent pricing services which normally derive security prices from</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(Continued)</w:t>
      </w:r>
    </w:p>
    <w:p>
      <w:pPr>
        <w:spacing w:after="0" w:line="231"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reflects the activity for the Company's contingent consideration liabilities measured at fair value using Level 3 inputs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 Liabilities:</w:t>
            </w:r>
          </w:p>
        </w:tc>
      </w:tr>
      <w:tr>
        <w:trPr>
          <w:trHeight w:val="149"/>
        </w:trPr>
        <w:tc>
          <w:tcPr>
            <w:tcW w:w="5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Contingent</w:t>
            </w:r>
          </w:p>
        </w:tc>
      </w:tr>
      <w:tr>
        <w:trPr>
          <w:trHeight w:val="16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7"/>
              </w:rPr>
              <w:t>Consideration</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43,400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(29,621)</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13,779</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valuation technique used to measure fair value of the Company's Level 3 liabilities, which consist of contingent consideration related to the acquisition of Kolltan in 2016 (Note 17), was primarily an income approach. As of December 31, 2018, the Company may be required to pay future consideration of up to $127.5 million that is contingent upon the achievement of specified development, regulatory approvals or sales-based milestone events. The significant unobservable inputs used in the fair value measurement of the contingent consideration are estimates, including probability of success, discount rates and amount of time until the conditions of the milestone payments are met.</w:t>
      </w:r>
    </w:p>
    <w:p>
      <w:pPr>
        <w:spacing w:after="0" w:line="19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During the year ended December 31, 2018, the Company recorded a $29.6 million gain on fair value remeasurement of contingent consideration, primarily due to discontinuation of the Glemba and CDX-014 programs, updated assumptions for the varlilumab program, and lower probability that milestones related to our anti-KIT program would be triggered by the Company's current anti-KIT program development.</w:t>
      </w:r>
    </w:p>
    <w:p>
      <w:pPr>
        <w:spacing w:after="0" w:line="19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did not have any transfers of assets or liabilities between the fair value measurement classifications during the years ended December 31, 2018 and 2017.</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marketable securities, classified as available-for-sale: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Gross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2"/>
                <w:szCs w:val="12"/>
                <w:color w:val="auto"/>
              </w:rPr>
            </w:pPr>
          </w:p>
        </w:tc>
        <w:tc>
          <w:tcPr>
            <w:tcW w:w="780" w:type="dxa"/>
            <w:vAlign w:val="bottom"/>
            <w:gridSpan w:val="2"/>
          </w:tcPr>
          <w:p>
            <w:pPr>
              <w:jc w:val="right"/>
              <w:ind w:right="16"/>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74"/>
              </w:rPr>
              <w:t>Losses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jc w:val="right"/>
              <w:ind w:right="3952"/>
              <w:spacing w:after="0"/>
              <w:rPr>
                <w:sz w:val="20"/>
                <w:szCs w:val="20"/>
                <w:color w:val="auto"/>
              </w:rPr>
            </w:pPr>
            <w:r>
              <w:rPr>
                <w:rFonts w:ascii="Arial" w:cs="Arial" w:eastAsia="Arial" w:hAnsi="Arial"/>
                <w:sz w:val="18"/>
                <w:szCs w:val="18"/>
                <w:b w:val="1"/>
                <w:bCs w:val="1"/>
                <w:color w:val="auto"/>
                <w:w w:val="85"/>
              </w:rPr>
              <w:t>December 31, 2018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80" w:type="dxa"/>
            <w:vAlign w:val="bottom"/>
            <w:gridSpan w:val="2"/>
          </w:tcPr>
          <w:p>
            <w:pPr>
              <w:jc w:val="right"/>
              <w:ind w:right="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27,355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27,351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2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27,355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27,351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80" w:type="dxa"/>
            <w:vAlign w:val="bottom"/>
            <w:gridSpan w:val="2"/>
          </w:tcPr>
          <w:p>
            <w:pPr>
              <w:jc w:val="right"/>
              <w:ind w:right="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42,370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Total corporate debt securities</w:t>
            </w:r>
          </w:p>
        </w:tc>
        <w:tc>
          <w:tcPr>
            <w:tcW w:w="2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42,370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69,712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jc w:val="right"/>
              <w:ind w:right="3952"/>
              <w:spacing w:after="0"/>
              <w:rPr>
                <w:sz w:val="20"/>
                <w:szCs w:val="20"/>
                <w:color w:val="auto"/>
              </w:rPr>
            </w:pPr>
            <w:r>
              <w:rPr>
                <w:rFonts w:ascii="Arial" w:cs="Arial" w:eastAsia="Arial" w:hAnsi="Arial"/>
                <w:sz w:val="18"/>
                <w:szCs w:val="18"/>
                <w:b w:val="1"/>
                <w:bCs w:val="1"/>
                <w:color w:val="auto"/>
                <w:w w:val="86"/>
              </w:rPr>
              <w:t>December 31, 2017</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in one year or less</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in one year or less</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72,981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corporate debt securities</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72,981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Total marketable securities</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99,171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99,139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holds investment grade marketable securities, and none were considered to be other-than-temporarily impaired as of December 31, 2018.</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include $0.1 million and $0.3 million in accrued interest at December 31, 2018 and December 31, 2017, respectively.</w:t>
      </w:r>
    </w:p>
    <w:p>
      <w:pPr>
        <w:spacing w:after="0" w:line="24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includes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5"/>
          </w:tcPr>
          <w:p>
            <w:pPr>
              <w:jc w:val="right"/>
              <w:ind w:right="536"/>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4,354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17,408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17,164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932</w:t>
            </w:r>
          </w:p>
        </w:tc>
      </w:tr>
      <w:tr>
        <w:trPr>
          <w:trHeight w:val="210"/>
        </w:trPr>
        <w:tc>
          <w:tcPr>
            <w:tcW w:w="574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33,984</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(26,184)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(23,612)</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10,372</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$3.6 million, $4.4 million, and $3.1 million for the years ended December 31, 2018, 2017 and 2016,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ind w:right="140" w:firstLine="341"/>
        <w:spacing w:after="0" w:line="255" w:lineRule="auto"/>
        <w:rPr>
          <w:sz w:val="20"/>
          <w:szCs w:val="20"/>
          <w:color w:val="auto"/>
        </w:rPr>
      </w:pPr>
      <w:r>
        <w:rPr>
          <w:rFonts w:ascii="Arial" w:cs="Arial" w:eastAsia="Arial" w:hAnsi="Arial"/>
          <w:sz w:val="18"/>
          <w:szCs w:val="18"/>
          <w:color w:val="auto"/>
        </w:rPr>
        <w:t>At December 31, 2018 and 2017, the Company recorded finite intangible assets of $0 and $7.1 million, respectively. Finite-lived intangible assets consisted solely of license rights amended under a 2009 agreement with Amgen Fremont related to developing and commercializing Glemba. As a result of the discontinuation of the Glemba program, the Company concluded that the finite-lived intangible asset was fully impaired and a non-cash impairment charge of $6.9 million was recorded in the first quarter of 2018. Amortization expense for finite intangible assets was $0.2 million, $0.9 million and $1.0 million for the years ended December 31, 2018, 2017 and 2016.</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December 31, 2018 and 2017, the Company recorded indefinite-lived intangible assets of $48.7 million and $60.5 million, respectively. At December 31, 2018, indefinite-lived intangible assets consist of acquired in-process research and development ("IPR&amp;D") related to the development of CDX-3379, the anti-KIT program and the TAM program. CDX-3379 is in Phase 2 development. The anti-KIT and TAM programs are in preclinical development. As of December 31, 2018, no IPR&amp;D asset had reached technological feasibility nor did any have alternative future uses.</w:t>
      </w:r>
    </w:p>
    <w:p>
      <w:pPr>
        <w:spacing w:after="0" w:line="16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performs an impairment test on IPR&amp;D assets at least annually, or more frequently if events or changes in circumstances indicate that IPR&amp;D assets may be impaired. As a result of the discontinuation of the Glemba program, the Company concluded that the Glemba IPR&amp;D asset was fully impaired and a non-cash impairment charge of $11.8 million was recorded in the first quarter of 2018.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At December 31, 2018 and 2017, the Company recorded goodwill of $0 and $91.0 million, respectively. The Company evaluated goodwill for potential impairment due to the discontinuation of the Glemba program. The carrying amount of the Company was compared to the Company's fair value. The Company's fair value assessment reflected a number of significant management assumptions and estimates including the Company's probability forecasts for pipeline assets, income taxes, capital expenditures, market premium and changes in working capital requirements. Changes in these assumptions and/or discount rates could materially impact the Company's conclusions. Through this assessment, it was determined that the carrying amount of the Company exceeded its fair value by over $91.0 million. As such, the full goodwill asset was considered impaired and a charge of $91.0 million was recorded during the first quarter of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include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5"/>
          </w:tcPr>
          <w:p>
            <w:pPr>
              <w:jc w:val="right"/>
              <w:ind w:right="537"/>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Accrued Research and Development Contract Costs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11,399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19,455</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Other Long-Term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Other long-term liabilities include the following:</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5"/>
          </w:tcPr>
          <w:p>
            <w:pPr>
              <w:jc w:val="right"/>
              <w:ind w:right="537"/>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Contingent Milestones (Note 4)</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43,400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10"/>
        </w:trPr>
        <w:tc>
          <w:tcPr>
            <w:tcW w:w="7460" w:type="dxa"/>
            <w:vAlign w:val="bottom"/>
            <w:gridSpan w:val="2"/>
          </w:tcPr>
          <w:p>
            <w:pPr>
              <w:ind w:left="1720"/>
              <w:spacing w:after="0"/>
              <w:rPr>
                <w:sz w:val="20"/>
                <w:szCs w:val="20"/>
                <w:color w:val="auto"/>
              </w:rPr>
            </w:pPr>
            <w:r>
              <w:rPr>
                <w:rFonts w:ascii="Arial" w:cs="Arial" w:eastAsia="Arial" w:hAnsi="Arial"/>
                <w:sz w:val="18"/>
                <w:szCs w:val="18"/>
                <w:color w:val="auto"/>
              </w:rPr>
              <w:t>Long-Term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November 2015, December 2014 and January 2014, the Company received approval from the New Jersey Economic Development Authority and agreed to sell New Jersey tax benefits of $9.8 million, $1.9 million and $1.1 million to an independent third party for $9.2 million, $1.8 million and $1.0 million, respectively. Under the agreement, the Company must maintain a base of operations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 (Continued)</w:t>
      </w:r>
    </w:p>
    <w:p>
      <w:pPr>
        <w:spacing w:after="0" w:line="2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New Jersey for five years or the tax benefits must be paid back on a pro-rata basis based on the number of years completed. During the years ended December 31, 2018, 2017 and 2016, the Company recorded $2.5 million, $2.7 million and $2.8 million to other income related to the sale of these tax benefits,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December 2016, the Company filed a new shelf registration statement with the Securities and Exchange Commission to register for sale any combination of the types of securities described in the shelf registration statement up to a maximum aggregate offering price of $250 million. Such registration statement was declared effective on February 13, 2017.</w:t>
      </w:r>
    </w:p>
    <w:p>
      <w:pPr>
        <w:spacing w:after="0" w:line="19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May 2016, the Company entered into an agreement with Cantor Fitzgerald &amp; Co. ("Cantor") to allow the Company to issue and sell shares of its common stock having an aggregate offering price of up to $60.0 million from time to time through Cantor, acting as agent. In November 2017, the Company filed a prospectus supplement registering the offer and sale of shares of common stock of up to an additional $75.0 million under the agreement with Cantor. During the years ended December 31, 2018, 2017 and 2016, the Company issued 2,702,660, 1,181,524 and 220,253 shares of its common stock, respectively, under this controlled equity offering sales agreement with Cantor resulting in net proceeds to the Company of $29.0 million, $51.0 million and $13.9 million, respectively, after deducting commission and offering expenses. At December 31, 2018, the Company had $37.6 million remaining in aggregate gross offering price available under the Cantor agreement. From January 1, 2019 through February 28, 2019, the Company issued 478,785 shares of its common stock resulting in net proceeds to the Company of $2.3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December 31, 2018, the Company had authorized 3,000,000 shares of preferred stock all of which have been designated Class C Preferred Stock including 350,000 shares which have been designated Series C-1 Junior Participating Cumulative Preferred Stock (the "Series C-1 Preferred Stock"). No shares of Series C-1 Preferred Stock were outstanding at December 31, 2018 or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Company has the following stock-based compensation plans: the 2004 Employee Stock Purchase Plan (the "2004 ESPP Plan") and the 2008 Stock Option and Incentive Plan (the "2008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December 31, 2018, a total of 26,667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2018, 2017 and 2016, the Company issued 9,524,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5,359 and 3,956 shares under the 2004 ESPP Plan, respectively. At December 31, 2018, 3,666 shares were available for issuance under the 2004 ESPP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non-employee directors.</w:t>
      </w:r>
    </w:p>
    <w:p>
      <w:pPr>
        <w:spacing w:after="0" w:line="19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December 31, 2018, the 2008 Plan allowed for a maximum of 1,333,333 shares of common stock to be issued for grants of new awards until June 9, 2025 and grants of incentive stock options until April 16, 2025.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may accelerate upon a change in control as defined in the 2008 Plan.</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 ended December 31, 2018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723,747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338,517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Canceled</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(189,165)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125.38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866,132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at December 31, 2018</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95.47</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gridSpan w:val="2"/>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846,352</w:t>
            </w:r>
          </w:p>
        </w:tc>
        <w:tc>
          <w:tcPr>
            <w:tcW w:w="10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426,612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780" w:type="dxa"/>
            <w:vAlign w:val="bottom"/>
          </w:tcPr>
          <w:p>
            <w:pPr>
              <w:jc w:val="right"/>
              <w:spacing w:after="0"/>
              <w:rPr>
                <w:sz w:val="20"/>
                <w:szCs w:val="20"/>
                <w:color w:val="auto"/>
              </w:rPr>
            </w:pPr>
            <w:r>
              <w:rPr>
                <w:rFonts w:ascii="Arial" w:cs="Arial" w:eastAsia="Arial" w:hAnsi="Arial"/>
                <w:sz w:val="18"/>
                <w:szCs w:val="18"/>
                <w:color w:val="auto"/>
              </w:rPr>
              <w:t>356,913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intrinsic value of stock options exercised during the years ended December 31, 2018, 2017 and 2016 was $0.0 million, $0.0 million and</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$0.1 million, respectively. The weighted average grant-date fair value of stock options granted during the years ended December 31, 2018, 2017 and 2016 was $6.60, $23.70 and $47.70, respectively. The total fair value of stock options vested during the years ended December 31, 2018, 2017 and 2016 was $8.0 million, $13.4 million and $17.0 million, respectively.</w:t>
      </w:r>
    </w:p>
    <w:p>
      <w:pPr>
        <w:spacing w:after="0" w:line="198"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aggregate intrinsic value of stock options outstanding at December 31, 2018 was $0.0 million. The aggregate intrinsic value of stock options vested and expected to vest at December 31, 2018 was $0.0 million. As of December 31, 2018, total compensation cost related to non-vested employee and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non-employee director stock options not yet recognized was approximately $6.8 million, net of estimated forfeitures, which is expected to be recognized as expense over a weighted average period of 2.6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restricted stock activity under the 2008 Plan for the year ended December 31, 2018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6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6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Fair Value</w:t>
            </w:r>
          </w:p>
        </w:tc>
      </w:tr>
      <w:tr>
        <w:trPr>
          <w:trHeight w:val="161"/>
        </w:trPr>
        <w:tc>
          <w:tcPr>
            <w:tcW w:w="6240" w:type="dxa"/>
            <w:vAlign w:val="bottom"/>
          </w:tcPr>
          <w:p>
            <w:pPr>
              <w:spacing w:after="0"/>
              <w:rPr>
                <w:sz w:val="14"/>
                <w:szCs w:val="14"/>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at December 31, 2017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Canceled</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34.83</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at December 31, 2018</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43.84</w:t>
            </w:r>
          </w:p>
        </w:tc>
      </w:tr>
      <w:tr>
        <w:trPr>
          <w:trHeight w:val="20"/>
        </w:trPr>
        <w:tc>
          <w:tcPr>
            <w:tcW w:w="6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 for the years ended December 31, 2018, 2017 and 2016 was recorded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6,693</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7,821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7,496</w:t>
            </w:r>
          </w:p>
        </w:tc>
      </w:tr>
      <w:tr>
        <w:trPr>
          <w:trHeight w:val="20"/>
        </w:trPr>
        <w:tc>
          <w:tcPr>
            <w:tcW w:w="4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12,312</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15,317</w:t>
            </w:r>
          </w:p>
        </w:tc>
      </w:tr>
      <w:tr>
        <w:trPr>
          <w:trHeight w:val="20"/>
        </w:trPr>
        <w:tc>
          <w:tcPr>
            <w:tcW w:w="4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values of employee and director stock options granted during the years ended December 31, 2018, 2017 and 2016 were valued using the Black-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with the following assumptions:</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2016</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Expected option term</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5"/>
              </w:rPr>
              <w:t>6.0 Years</w:t>
            </w:r>
          </w:p>
        </w:tc>
        <w:tc>
          <w:tcPr>
            <w:tcW w:w="1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5"/>
              </w:rPr>
              <w:t>6.0 Years</w:t>
            </w:r>
          </w:p>
        </w:tc>
        <w:tc>
          <w:tcPr>
            <w:tcW w:w="16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3"/>
              </w:rPr>
              <w:t>6.0 Years</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- 3.1%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- 2.3%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- 2.3%</w:t>
            </w: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None</w:t>
            </w:r>
          </w:p>
        </w:tc>
      </w:tr>
    </w:tbl>
    <w:p>
      <w:pPr>
        <w:spacing w:after="0" w:line="20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On January 1, 2018, the Company adopted a new revenue accounting standard, "</w:t>
      </w:r>
      <w:r>
        <w:rPr>
          <w:rFonts w:ascii="Arial" w:cs="Arial" w:eastAsia="Arial" w:hAnsi="Arial"/>
          <w:sz w:val="18"/>
          <w:szCs w:val="18"/>
          <w:i w:val="1"/>
          <w:iCs w:val="1"/>
          <w:color w:val="auto"/>
        </w:rPr>
        <w:t>Revenue from Contracts with Customers" (ASC 606)</w:t>
      </w:r>
      <w:r>
        <w:rPr>
          <w:rFonts w:ascii="Arial" w:cs="Arial" w:eastAsia="Arial" w:hAnsi="Arial"/>
          <w:sz w:val="18"/>
          <w:szCs w:val="18"/>
          <w:color w:val="auto"/>
        </w:rPr>
        <w:t xml:space="preserve">. Upon adoption using the modified retrospective application, the Company recognized a $1.3 million decrease to accumulated deficit, a $0.8 million decrease in deferred revenue and $0.5 million increase in accounts receivable due to the cumulative impact of adopting </w:t>
      </w:r>
      <w:r>
        <w:rPr>
          <w:rFonts w:ascii="Arial" w:cs="Arial" w:eastAsia="Arial" w:hAnsi="Arial"/>
          <w:sz w:val="18"/>
          <w:szCs w:val="18"/>
          <w:i w:val="1"/>
          <w:iCs w:val="1"/>
          <w:color w:val="auto"/>
        </w:rPr>
        <w:t>ASC 606</w:t>
      </w:r>
      <w:r>
        <w:rPr>
          <w:rFonts w:ascii="Arial" w:cs="Arial" w:eastAsia="Arial" w:hAnsi="Arial"/>
          <w:sz w:val="18"/>
          <w:szCs w:val="18"/>
          <w:color w:val="auto"/>
        </w:rPr>
        <w:t xml:space="preserve">. This impact was driven by the acceleration of revenue using a percentage-of-completion method of accounting under </w:t>
      </w:r>
      <w:r>
        <w:rPr>
          <w:rFonts w:ascii="Arial" w:cs="Arial" w:eastAsia="Arial" w:hAnsi="Arial"/>
          <w:sz w:val="18"/>
          <w:szCs w:val="18"/>
          <w:i w:val="1"/>
          <w:iCs w:val="1"/>
          <w:color w:val="auto"/>
        </w:rPr>
        <w:t>ASC 606</w:t>
      </w:r>
      <w:r>
        <w:rPr>
          <w:rFonts w:ascii="Arial" w:cs="Arial" w:eastAsia="Arial" w:hAnsi="Arial"/>
          <w:sz w:val="18"/>
          <w:szCs w:val="18"/>
          <w:color w:val="auto"/>
        </w:rPr>
        <w:t xml:space="preserve"> for an open contract that had previously been accounted for using the Contingency Adjusted Performance Model ("CAPM") under previous guidance.</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 xml:space="preserve">Results for reporting periods beginning after January 1, 2018 are presented under </w:t>
      </w:r>
      <w:r>
        <w:rPr>
          <w:rFonts w:ascii="Arial" w:cs="Arial" w:eastAsia="Arial" w:hAnsi="Arial"/>
          <w:sz w:val="16"/>
          <w:szCs w:val="16"/>
          <w:i w:val="1"/>
          <w:iCs w:val="1"/>
          <w:color w:val="auto"/>
        </w:rPr>
        <w:t>ASC 606</w:t>
      </w:r>
      <w:r>
        <w:rPr>
          <w:rFonts w:ascii="Arial" w:cs="Arial" w:eastAsia="Arial" w:hAnsi="Arial"/>
          <w:sz w:val="16"/>
          <w:szCs w:val="16"/>
          <w:color w:val="auto"/>
        </w:rPr>
        <w:t xml:space="preserve"> while prior period amounts were not adjusted and continue to be reported in accordance with historic accounting under previous guidance. There was not a material impact to revenues as a result of applying </w:t>
      </w:r>
      <w:r>
        <w:rPr>
          <w:rFonts w:ascii="Arial" w:cs="Arial" w:eastAsia="Arial" w:hAnsi="Arial"/>
          <w:sz w:val="16"/>
          <w:szCs w:val="16"/>
          <w:i w:val="1"/>
          <w:iCs w:val="1"/>
          <w:color w:val="auto"/>
        </w:rPr>
        <w:t>ASC 606</w:t>
      </w:r>
      <w:r>
        <w:rPr>
          <w:rFonts w:ascii="Arial" w:cs="Arial" w:eastAsia="Arial" w:hAnsi="Arial"/>
          <w:sz w:val="16"/>
          <w:szCs w:val="16"/>
          <w:color w:val="auto"/>
        </w:rPr>
        <w:t xml:space="preserve"> for the year ended December 31, 2018, and there have not been significant changes to the Company's business processes, systems or internal controls as a result of adopting the new standard. Revenue recognition remained largely unchanged under the new standard.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January 1, 2018 and December 31, 2018, the Company's right to consideration under all contracts was considered unconditional, and as such, there were no recorded contract assets.</w:t>
      </w:r>
    </w:p>
    <w:p>
      <w:pPr>
        <w:spacing w:after="0" w:line="18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Revenue recognized from contract liabilities as of January 1, 2018 during the year ended December 31, 2018 was $1.9 million. Revenue expected to be recognized in the future from contract liabilities as performance obligations are satisfied are not expected to be material.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Company's primary product development and licensing revenue is associated with a clinical collaboration agreement with BMS entered into in 2014 to evaluate the safety, tolerability and preliminary efficacy of varlilumab and Opdivo®, BMS's PD-1 immune checkpoint inhibitor, in a Phase 1/2 study. Under this agreement, BMS made an upfront payment to Celldex of $5.0 million and provides funding for 50% of the external costs incurred by the Company in connection with the clinical trial. The performance obligations under the collaboration agreement consist of intellectual property licenses and the performance of research and development services. The Company determined that the performance obligations were not separately identifiable and were not distinct (and did not have standalone value) due to the specialized nature of the services to be provided, the dependent relationship between the performance obligations and the Company's proprietary technology that makes them uniquely qualified to perform the R&amp;D services. Therefore, the Company concluded that the collaboration agreement has a single identified or combined performance obligation. As of December 31, 2018, deferred revenue related to the Company's remaining performance obligation under this arrangement is not material. The Company recorded $3.3 million, $2.8 million and $2.1 million in revenue related to this agreement during the years ended December 31, 2018, 2017 and 2016, respectively.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2017, the Company entered into fixed-fee manufacturing and research and development arrangements with both the International AIDS Vaccine Initiative (IAVI) and Frontier Biotechnologies, Inc (Frontier). The Company recognized $3.0 million and $6.6 million in revenue under these agreements during the years ended December 31, 2018 and 2017, respectively.</w:t>
      </w:r>
    </w:p>
    <w:p>
      <w:pPr>
        <w:spacing w:after="0" w:line="194"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In 2013, the Company entered into an agreement, as amended, with Rockefeller University pursuant to which the Company performs manufacturing and research and development services for Rockefeller University. The Company recognized $2.6 million, $2.2 million and $2.7 million in revenue for labor hours and direct costs incurred related to the Rockefeller University agreement during years ended December 31, 2018, 2017 and 2016,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Collaboration Agreements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has entered into license agreements whereby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developmental, regulatory and/or commercial milestones. Nonrefundable license fee expense of $0.7 million, $0.7 million and $1.6 million was recorded to research and development expense for the years ended December 31,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(Medarex), which was acquired by Bristol-Myers Squibb</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Under a license agreement with Medarex, as amended, the Company acquired access to the UltiMab technology to develop and commercialize human antibodies to CD27, including varlilumab. The Company may be required to pay Medarex royalty payments in the low-to-mid single digits on any net product sales with respect to the development and commercialization of varlilumab until the later of (i) the expiration of the last to expire applicable patent and (ii) the tenth anniversary of the first commercial sale of such licensed product.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Under a license agreement with Southampton, the Company acquired the rights to develop human antibodies towards CD27, a potentially important target for immunotherapy of various cancers. The Company may be required to pay Southampton milestones of up to approximately $1.0 million upon obtaining first approval for commercial sale in a first indication and royalty payments in the low-single digits on any net product sales with respect to development and commercialization of varlilumab.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Under a license agreement with Amgen, the Company acquired the exclusive rights to CDX-301 and CD40 ligand, or CD40L. CDX-301 and CD40L are immune modulating molecules that increase the numbers and activity of immune cells that control immune responses. The Company may be required to pay Amgen milestones of up to $0.9 million upon obtaining first approval for commercial sale in a first indication and royalty payments in the low-single digits on any net product sales with</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Collaboration Agreements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respect to development and commercialization of the technology licensed from Amgen, including CDX-301.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Yale University (Yale)</w:t>
      </w:r>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Under a license agreement with Yale, the Company may be required to make a one-time payment to Yale of $3.0 million with respect to each therapeutic or prophylactic RTK royalty-bearing product, including CDX-3379, that achieves a specified commercial milestone. In addition, the Company may be required to pay a low single-digit royalty on annual worldwide net sales of each RTK royalty-bearing product, including CDX-3379.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MedImmune, LLC (MedImmune)</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a license agreement with MedImmune, the Company acquired exclusive rights to specified patent rights and know-how that are controlled by MedImmune and relate to the research, development, manufacture and commercialization of CDX-3379. The Company may be required to pay Medimmune up to $45.0 million upon obtaining specified regulatory and development milestones in the first indication of CDX-3379. In addition, the Company may be required to pay MedImmune one-time milestone payments of up to $125.0 million if specified annual net sale thresholds are met related to the first indication of CDX-3379. The Company may also be required to pay MedImmune a tiered royalty on annual net sales of CDX-3379 at rates ranging from high single-digit to low teens percentages. The Company may also be required to pay specified royalties on annual net sales of CDX-3379 at a rate in the low single digits to certain other third parties from whom MedImmune licensed certain intellectual property.</w:t>
      </w:r>
    </w:p>
    <w:p>
      <w:pPr>
        <w:spacing w:after="0" w:line="16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benefit (provision)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Federal</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22,255</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57,547</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45,518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Foreign</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Rate Change</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(99,528)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(42,012)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53,910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(28,809)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(53,910)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80" w:type="dxa"/>
            <w:vAlign w:val="bottom"/>
            <w:vMerge w:val="restart"/>
          </w:tcPr>
          <w:p>
            <w:pPr>
              <w:jc w:val="right"/>
              <w:ind w:right="1552"/>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reconciliation between the amount of reported income tax and the amount computed using the U.S. Statutory rate is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Pre-Tax Loss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(151,949)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(117,313)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(128,530)</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Loss at Statutory Rates</w:t>
            </w:r>
          </w:p>
        </w:tc>
        <w:tc>
          <w:tcPr>
            <w:tcW w:w="1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gridSpan w:val="2"/>
            <w:vMerge w:val="continue"/>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(31,909)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(39,887)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(43,700)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Difference in Foreign Tax Rates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Income Tax Rate Change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99,528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Milestone Abandonment</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(6,220)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Intangible Impairment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Recognition of APIC NOLs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Impact of Pass-through Entities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(66,294)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53,910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(24,282)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Deferred tax assets and liabilities are recognized based on temporary differences between the financial reporting and tax basis of assets and liabilities using future expected enacted rates. The</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principal components of the deferred tax assets and liabilities at December 31, 2018 and 2017, respectively,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w w:val="83"/>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4"/>
          </w:tcPr>
          <w:p>
            <w:pPr>
              <w:jc w:val="right"/>
              <w:ind w:right="535"/>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168,239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146,228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Net Operating Loss Carryforwards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4,485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3,572</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10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39,761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36,458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Research and Development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76,555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79,272</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11,977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10,718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1,761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r>
      <w:tr>
        <w:trPr>
          <w:trHeight w:val="210"/>
        </w:trPr>
        <w:tc>
          <w:tcPr>
            <w:tcW w:w="5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302,974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278,555</w:t>
            </w:r>
          </w:p>
        </w:tc>
        <w:tc>
          <w:tcPr>
            <w:tcW w:w="160" w:type="dxa"/>
            <w:vAlign w:val="bottom"/>
          </w:tcPr>
          <w:p>
            <w:pPr>
              <w:spacing w:after="0"/>
              <w:rPr>
                <w:sz w:val="18"/>
                <w:szCs w:val="18"/>
                <w:color w:val="auto"/>
              </w:rPr>
            </w:pPr>
          </w:p>
        </w:tc>
      </w:tr>
      <w:tr>
        <w:trPr>
          <w:trHeight w:val="432"/>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Other Acquired Intangibles</w:t>
            </w:r>
          </w:p>
        </w:tc>
        <w:tc>
          <w:tcPr>
            <w:tcW w:w="10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IPR&amp;D Intangibles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(15,992)</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Deferred Tax Assets and Liabilities</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260,771</w:t>
            </w:r>
          </w:p>
        </w:tc>
        <w:tc>
          <w:tcPr>
            <w:tcW w:w="160" w:type="dxa"/>
            <w:vAlign w:val="bottom"/>
          </w:tcPr>
          <w:p>
            <w:pPr>
              <w:spacing w:after="0"/>
              <w:rPr>
                <w:sz w:val="18"/>
                <w:szCs w:val="18"/>
                <w:color w:val="auto"/>
              </w:rPr>
            </w:pPr>
          </w:p>
        </w:tc>
      </w:tr>
      <w:tr>
        <w:trPr>
          <w:trHeight w:val="21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(293,353)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(264,543)</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w:t>
      </w:r>
    </w:p>
    <w:p>
      <w:pPr>
        <w:spacing w:after="0" w:line="194"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During year ended December 31, 2017, the Company's gross deferred tax assets and corresponding valuation allowance each increased by $17.7 million. This was a one-time increase due to the adoption of a new accounting standard removing the requirement to recognize excess tax benefits from the exercise of stock options in additional paid-in-capital when realized.</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December 22, 2017, the Tax Cuts and Jobs Act ("TCJA") was enacted, leading to significant changes to U.S. tax law. Among other provisions, the TCJA lowered the U.S. federal corporate income tax rate from 35% to 21%, limited the deduction for net operating losses to 80% of taxable income while providing that net operating loss carryovers for years after 2017 will not expire, imposed a mandatory one-time transition tax on previously deferred foreign earnings and eliminated or reduced certain income tax deductions.</w:t>
      </w:r>
    </w:p>
    <w:p>
      <w:pPr>
        <w:spacing w:after="0" w:line="197"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a result of the TCJA, the Company revalued its deferred tax liabilities at the new federal rate of 21%, resulting in a $6.9 million decrease and a corresponding income tax benefit. The Company also scheduled out reversals of its deferred tax assets and liabilities, determining that their reversal would create future indefinite-lived net operating losses under the TCJA. As such, the valuation allowance was reduced relating to the remaining indefinite-lived federal deferred tax liabilities balance, leading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additional income tax benefit of $12.2 million. The Company's deferred tax asset balance was also revalued at the new 21% rate resulting in a $99.5 million decrease in the balance with a corresponding decrease to the valuation allowance. Finally, the one-time transition tax on previously deferred foreign earnings under the TCJA is not expected to impact the Company due to a net deficit in the Australian subsidiary. The Company's accounting for the tax effects of the TCJA is complete.</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net deferred tax liability of $3.0 million and $3.8 million at December 31, 2018 and 2017, respectively, relates to the temporary differences associated with the IPR&amp;D intangible assets acquired in previous business combinations and are not deductible for tax purposes. The Company recorded an income tax benefit of $0.8 million during the year ended December 31, 2018 due to a decrease in deferred tax liabilities resulting from the partial impairment of the anti-KIT program.</w:t>
      </w:r>
    </w:p>
    <w:p>
      <w:pPr>
        <w:spacing w:after="0" w:line="197"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As of December 31, 2018, the Company had federal and state net operating loss carryforwards of $636.8 million and $532.4 million, respectively, which may be available to offset certain future income tax liabilities and begin to expire in 2019 and 2028, respectively. Of the federal net operating loss carryforwards of $636.8 million, approximately $75 million are from 2018 and have no expiration date. As of December 31, 2018, the Company also had federal and state research and development tax credit carryforwards of $31.0 million and $11.1 million, respectively, which may be available to offset future income tax liabilities and begin to expire in 2018 and 2017, respectively.</w:t>
      </w:r>
    </w:p>
    <w:p>
      <w:pPr>
        <w:spacing w:after="0" w:line="197"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Utilization of the net operating loss carryforwards and research and credit carryforwards may be subject to a substantial annual limitation under Section 382 of the Internal Revenue Code of 1986, or Section 382, due to ownership changes that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estimated the amounts of net operating loss and research and development tax credit carryforwards which will expire unutilized as a result of its estimated annual limitations under Section 382 and has excluded those amounts from the carryforward amounts disclosed above and in the deferred tax assets and liabilities table included in this footnote. The Company has concluded Section 382 studies through 2015 for Celldex generated NOLs.</w:t>
      </w:r>
    </w:p>
    <w:p>
      <w:pPr>
        <w:spacing w:after="0" w:line="159"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Company incurred a foreign pre-tax loss of $3.0 million and $8.2 million during the years ended December 31, 2018 and 2017, respectively. Beginning with the 2016 tax returns, the Company elected to classify the Australian entity as a disregarded entity for income tax purposes. The foreign pre-tax losses have been included with the Federal net operating loss carryforwards.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and 2017, the Company did not have any unrecognized tax benefits.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Massachusetts, New Jersey, New York, Connecticut and Australia are the jurisdictions in which the Company primarily operates or has operated and has income tax nexus. The Company is not currently under examination by these or any other jurisdictions for any tax year. Generally, in U.S. federal and state taxing jurisdictions, all years which generated net operating losses and/or tax credit carryforwards remain subject to examination to the extent those carryforwards are utilized in a subsequent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has facility and equipment leases that expire at various dates through 2020. Certain of these facility leases contain renewal options, early termination provisions, and provisions that escalate the base rent payments and require the Company to pay common area maintenance costs ("CAM") during the lease term. The following obligations for base rent and CAM costs under facility and other non-cancelable operating leases as of December 31, 2018 do not include the exercise of renewal terms or early termination provisions (in thousands):</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4,648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2020</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3,140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2022</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Thereafter</w:t>
            </w: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7,788</w:t>
            </w:r>
          </w:p>
        </w:tc>
      </w:tr>
      <w:tr>
        <w:trPr>
          <w:trHeight w:val="20"/>
        </w:trPr>
        <w:tc>
          <w:tcPr>
            <w:tcW w:w="4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Company's total rent and CAM expense for all facility leases was $4.0 million, $4.1 million and $4.8 million for the years ended December 31, 2018, 2017 and 2016,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Savings Plan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maintains a 401(k) Plan which is available to substantially all employees. Under the terms of the 401(k) Plan, participants may elect to contribute up to 60% of their compensation or the statutory prescribed limits. The Company may make 50% matching contributions on up to 4% of a participant's annual salary. Benefit expense for the 401(k) Plan was $0.4 million, $0.5 million and $0.4 million for the years ended December 31, 2018, 2017 and 2016,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Kolltan Acquisition</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On November 29, 2016, the Company acquired all of the share and debt interests of Kolltan Pharmaceuticals, Inc. ("Kolltan"), a clinical-stage biopharmaceutical company, in exchange for 1,217,200 shares of the Company's common stock plus contingent consideration in the form of development and approval milestones. As of December 31, 2018, the Company may be required to pay future consideration of up to $127.5 million that is contingent upon the achievement of specified development, regulatory approvals or sales-based milestone events. The Company completed this acquisition in order to gain access to Kolltan's antibody-based drug development programs targeting receptor tyrosine kinases (RTKs) for the treatment of cancer and other diseases with significant unmet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 xml:space="preserve">The purchase price for Kolltan was calculated based on the closing price of the Company's common stock of $60.30 per share on November 29, 2016. The Company also recorded a liability of $44.2 million which represented the initial fair value of the contingent consideration. This fair value measurement used significant unobservable inputs representing a Level 3 measurement more fully described in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to these consolidated financial statements. Subsequent changes to the fair value of the contingent consideration will be recognized as adjustments to operating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Kolltan Acquisition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earnings. The acquisition was accounted for using the acquisition method of accounting which requires all assets acquired and liabilities assumed recognized at their acquisition-date fair values.</w:t>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The total consideration transferred consisted of the following (in thousands):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issued for upfront payment</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Fair value of contingent consideration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Kolltan transaction expenses paid in cash by the Company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gridSpan w:val="2"/>
          </w:tcPr>
          <w:p>
            <w:pPr>
              <w:ind w:left="1360"/>
              <w:spacing w:after="0"/>
              <w:rPr>
                <w:sz w:val="20"/>
                <w:szCs w:val="20"/>
                <w:color w:val="auto"/>
              </w:rPr>
            </w:pPr>
            <w:r>
              <w:rPr>
                <w:rFonts w:ascii="Arial" w:cs="Arial" w:eastAsia="Arial" w:hAnsi="Arial"/>
                <w:sz w:val="18"/>
                <w:szCs w:val="18"/>
                <w:color w:val="auto"/>
              </w:rPr>
              <w:t>Total consideration transferred</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121,365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 of Assets and Liabilities</w:t>
      </w:r>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purchase price allocation was finalized in the fourth quarter of 2017 with no adjustments made to the initial purchase price allocation. The following table summarizes the fair values of the assets acquired and liabilities assumed as of November 29, 2016 (in thousands):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Other current and long-term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2,072</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In-process research and development (IPR&amp;D)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61,690</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82,011</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(23,393)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assumed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(9,974)</w:t>
            </w:r>
          </w:p>
        </w:tc>
      </w:tr>
      <w:tr>
        <w:trPr>
          <w:trHeight w:val="210"/>
        </w:trPr>
        <w:tc>
          <w:tcPr>
            <w:tcW w:w="70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121,365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IPR&amp;D primarily represents the initial estimated fair value of $40.0 million, $3.5 million and $18.0 million for the anti-KIT program, CDX-3379 and TAM programs, respectively, using probability adjusted discounted cash flow analyses. The expected future net cash flows for the anti-KIT program, CDX-3379 and TAM programs were based on the expectation that a Biologics License Application ("BLA") would be filed with the FDA no earlier than the end of 2023, 2024 and 2028, respectively, with an expected commercial launch as promptly as practicable after necessary regulatory approvals are received. The estimated development costs included in the expected future net cash flows were approximately $132 million combined.</w:t>
      </w:r>
    </w:p>
    <w:p>
      <w:pPr>
        <w:spacing w:after="0" w:line="170"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deferred tax liability, net of $23.4 million primarily relates to the temporary differences associated with the IPR&amp;D intangible assets, which are not deductible for tax purposes.</w:t>
      </w:r>
    </w:p>
    <w:p>
      <w:pPr>
        <w:spacing w:after="0" w:line="186"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excess of purchase price over the fair value amounts assigned to the identifiable assets acquired and liabilities assumed represents the goodwill amount resulting from the acquisition. The value of the goodwill can be attributable to the synergies related to the combined antibody-based platform and a deferred tax liability related to acquired IPR&amp;D intangible assets. None of the goodwill is expected to be deductible for income tax purposes.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Kolltan Acquisition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Expenses, Including Severance</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Company incurred $0.7 million in acquisition-related expenses in the consolidated statements of operations for the year ended December 31, 2016. From the acquisition date through December 31, 2016, the consolidated statements of operations also include $2.4 and $0.7 million in Kolltan related severance expense within general and administrative and research and development expenses,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operating results of Kolltan and pro forma adjustments including severance expense and transaction expenses of $3.1 million and $0.7 million, respectively, have been included in the accompanying consolidated financial statements from November 29, 2016 to December 31, 2016. Kolltan had no revenues from November 29, 2016 through December 31, 2016. The following unaudited pro forma financial summary is presented as if the operations of the Company and Kolltan were combined as of January 1, 2015. The unaudited pro forma combined results are not necessarily indicative of the actual results that would have occurred had the acquisition been consummated at that date or of the future operations of the combined entities.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6"/>
          </w:tcPr>
          <w:p>
            <w:pPr>
              <w:jc w:val="center"/>
              <w:ind w:right="2080"/>
              <w:spacing w:after="0"/>
              <w:rPr>
                <w:sz w:val="20"/>
                <w:szCs w:val="20"/>
                <w:color w:val="auto"/>
              </w:rPr>
            </w:pPr>
            <w:r>
              <w:rPr>
                <w:rFonts w:ascii="Arial" w:cs="Arial" w:eastAsia="Arial" w:hAnsi="Arial"/>
                <w:sz w:val="14"/>
                <w:szCs w:val="14"/>
                <w:b w:val="1"/>
                <w:bCs w:val="1"/>
                <w:color w:val="auto"/>
                <w:w w:val="87"/>
              </w:rPr>
              <w:t>Unaudited</w:t>
            </w:r>
          </w:p>
        </w:tc>
      </w:tr>
      <w:tr>
        <w:trPr>
          <w:trHeight w:val="149"/>
        </w:trPr>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gridSpan w:val="7"/>
          </w:tcPr>
          <w:p>
            <w:pPr>
              <w:jc w:val="center"/>
              <w:ind w:right="2000"/>
              <w:spacing w:after="0" w:line="149" w:lineRule="exact"/>
              <w:rPr>
                <w:sz w:val="20"/>
                <w:szCs w:val="20"/>
                <w:color w:val="auto"/>
              </w:rPr>
            </w:pPr>
            <w:r>
              <w:rPr>
                <w:rFonts w:ascii="Arial" w:cs="Arial" w:eastAsia="Arial" w:hAnsi="Arial"/>
                <w:sz w:val="14"/>
                <w:szCs w:val="14"/>
                <w:b w:val="1"/>
                <w:bCs w:val="1"/>
                <w:color w:val="auto"/>
                <w:w w:val="84"/>
              </w:rPr>
              <w:t>Years Ended</w:t>
            </w:r>
          </w:p>
        </w:tc>
      </w:tr>
      <w:tr>
        <w:trPr>
          <w:trHeight w:val="161"/>
        </w:trPr>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7"/>
          </w:tcPr>
          <w:p>
            <w:pPr>
              <w:jc w:val="center"/>
              <w:ind w:right="198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center"/>
              <w:ind w:right="195"/>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80" w:type="dxa"/>
            <w:vAlign w:val="bottom"/>
            <w:gridSpan w:val="2"/>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6,786</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(146,905)</w:t>
            </w:r>
          </w:p>
        </w:tc>
        <w:tc>
          <w:tcPr>
            <w:tcW w:w="1720" w:type="dxa"/>
            <w:vAlign w:val="bottom"/>
          </w:tcPr>
          <w:p>
            <w:pPr>
              <w:spacing w:after="0"/>
              <w:rPr>
                <w:sz w:val="19"/>
                <w:szCs w:val="19"/>
                <w:color w:val="auto"/>
              </w:rPr>
            </w:pPr>
          </w:p>
        </w:tc>
      </w:tr>
      <w:tr>
        <w:trPr>
          <w:trHeight w:val="424"/>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(18) Selected Quarterly Financial Data (Unaudited)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67"/>
        </w:trPr>
        <w:tc>
          <w:tcPr>
            <w:tcW w:w="172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2018</w:t>
            </w: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Q1 2018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3"/>
              </w:rPr>
              <w:t>Q2 2018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w w:val="85"/>
              </w:rPr>
              <w:t>Q3 2018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Q4 2018</w:t>
            </w:r>
          </w:p>
        </w:tc>
        <w:tc>
          <w:tcPr>
            <w:tcW w:w="1880" w:type="dxa"/>
            <w:vAlign w:val="bottom"/>
            <w:gridSpan w:val="2"/>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74"/>
              </w:rPr>
              <w:t>thousands, except</w:t>
            </w:r>
          </w:p>
        </w:tc>
        <w:tc>
          <w:tcPr>
            <w:tcW w:w="3580" w:type="dxa"/>
            <w:vAlign w:val="bottom"/>
            <w:gridSpan w:val="12"/>
          </w:tcPr>
          <w:p>
            <w:pPr>
              <w:ind w:left="40"/>
              <w:spacing w:after="0" w:line="142" w:lineRule="exact"/>
              <w:rPr>
                <w:sz w:val="20"/>
                <w:szCs w:val="20"/>
                <w:color w:val="auto"/>
              </w:rPr>
            </w:pPr>
            <w:r>
              <w:rPr>
                <w:rFonts w:ascii="Arial" w:cs="Arial" w:eastAsia="Arial" w:hAnsi="Arial"/>
                <w:sz w:val="14"/>
                <w:szCs w:val="14"/>
                <w:b w:val="1"/>
                <w:bCs w:val="1"/>
                <w:color w:val="auto"/>
              </w:rPr>
              <w:t>per share amounts)</w:t>
            </w: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941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8"/>
              </w:rPr>
              <w:t>(118,132)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(16,407)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(7,243)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(9,402)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Basic and diluted net loss per common share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1720" w:type="dxa"/>
            <w:vAlign w:val="bottom"/>
          </w:tcPr>
          <w:p>
            <w:pPr>
              <w:spacing w:after="0"/>
              <w:rPr>
                <w:sz w:val="18"/>
                <w:szCs w:val="18"/>
                <w:color w:val="auto"/>
              </w:rPr>
            </w:pPr>
          </w:p>
        </w:tc>
      </w:tr>
      <w:tr>
        <w:trPr>
          <w:trHeight w:val="797"/>
        </w:trPr>
        <w:tc>
          <w:tcPr>
            <w:tcW w:w="172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2017</w:t>
            </w: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w w:val="96"/>
              </w:rPr>
              <w:t>Q1 2017</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w w:val="93"/>
              </w:rPr>
              <w:t>Q2 2017</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89"/>
              </w:rPr>
              <w:t>Q3 2017</w:t>
            </w:r>
          </w:p>
        </w:tc>
        <w:tc>
          <w:tcPr>
            <w:tcW w:w="160" w:type="dxa"/>
            <w:vAlign w:val="bottom"/>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Q4 2017</w:t>
            </w:r>
          </w:p>
        </w:tc>
        <w:tc>
          <w:tcPr>
            <w:tcW w:w="1880" w:type="dxa"/>
            <w:vAlign w:val="bottom"/>
            <w:gridSpan w:val="2"/>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2"/>
                <w:szCs w:val="12"/>
                <w:color w:val="auto"/>
              </w:rPr>
            </w:pPr>
          </w:p>
        </w:tc>
        <w:tc>
          <w:tcPr>
            <w:tcW w:w="2060" w:type="dxa"/>
            <w:vAlign w:val="bottom"/>
            <w:gridSpan w:val="14"/>
          </w:tcPr>
          <w:p>
            <w:pPr>
              <w:spacing w:after="0" w:line="142" w:lineRule="exact"/>
              <w:rPr>
                <w:sz w:val="20"/>
                <w:szCs w:val="20"/>
                <w:color w:val="auto"/>
              </w:rPr>
            </w:pPr>
            <w:r>
              <w:rPr>
                <w:rFonts w:ascii="Arial" w:cs="Arial" w:eastAsia="Arial" w:hAnsi="Arial"/>
                <w:sz w:val="14"/>
                <w:szCs w:val="14"/>
                <w:b w:val="1"/>
                <w:bCs w:val="1"/>
                <w:color w:val="auto"/>
                <w:w w:val="79"/>
              </w:rPr>
              <w:t>thousands, except per share amounts)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(34,261)</w:t>
            </w: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(28,566)</w:t>
            </w:r>
          </w:p>
        </w:tc>
        <w:tc>
          <w:tcPr>
            <w:tcW w:w="12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(26,363)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(3,841)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Basic and diluted net loss per common share</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December 31, 2018,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2018.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210"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Based on this evaluation, our management concluded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was effective as of December 31,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PricewaterhouseCoopers LLP, an independent registered public accounting firm, as stated in their report, which is included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2018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information required by this Item 10 will be included in the definitive Proxy Statement for our 2019 Annual Meeting of Stockholders, or the 2019 Proxy Statement, under "Information Regarding the Current Directors and Executive Officers of Celldex Therapeutic, Inc.," "Section 16(a) Beneficial Ownership Reporting Compliance," "Code of Business Conduct and Ethics" and "The Board of Directors and Its Committees" and is incorporated herein by reference. If the 2019 Proxy Statement is not filed with the SEC within 120 days after the end of our most recent fiscal year, we will provide such information by means of an amendment to this Annual Report on Form 10-K.</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information required by this Item 11 will be included in the 2019 Proxy Statement under "Executive Compensation," and "Compensation Committee Interlocks and Insider Participation," and is incorporated herein by reference. If the 2019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information required by this Item 12 will be included in the 2019 Proxy Statement under "Security Ownership of Certain Beneficial Owners and Management" and "Equity Compensation Plan Information" and is incorporated herein by reference. If the 2019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The information required by this Item 13 will be included in the 2019 Proxy Statement under "Election of Directors" and "Approval of Related Person Transactions and Transactions with Related Persons" and is incorporated herein by reference. If the 2019 Proxy Statement is not filed with the SEC within 120 days after the end of our most recent fiscal year, we will provide such information by means of an amendment to this Annual Report on Form 10-K.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information required by this Item 14 will be included in the 2019 Proxy Statement under "Independent Registered Public Accounting Firm" and is incorporated herein by reference. If the 2019 Proxy Statement is not filed with the SEC within 120 days after the end of our most recent fiscal year, we will provide such information by means of an amendment to this Annual Report on Form 10-K.</w:t>
      </w:r>
    </w:p>
    <w:p>
      <w:pPr>
        <w:spacing w:after="0" w:line="1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and Supplementary Data are included in Part II Item 8 of this report.</w:t>
      </w:r>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are omitted since the required information is not applicable or is not present in amounts sufficient to require submission of the schedule, or because the information required is included in the Financial Statements or Notes thereto.</w:t>
      </w:r>
    </w:p>
    <w:p>
      <w:pPr>
        <w:spacing w:after="0" w:line="186"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80" w:type="dxa"/>
            <w:vAlign w:val="bottom"/>
          </w:tcPr>
          <w:p>
            <w:pPr>
              <w:jc w:val="right"/>
              <w:ind w:right="72"/>
              <w:spacing w:after="0"/>
              <w:rPr>
                <w:sz w:val="20"/>
                <w:szCs w:val="20"/>
                <w:color w:val="auto"/>
              </w:rPr>
            </w:pPr>
            <w:r>
              <w:rPr>
                <w:rFonts w:ascii="Arial" w:cs="Arial" w:eastAsia="Arial" w:hAnsi="Arial"/>
                <w:sz w:val="18"/>
                <w:szCs w:val="18"/>
                <w:i w:val="1"/>
                <w:iCs w:val="1"/>
                <w:color w:val="auto"/>
                <w:w w:val="90"/>
              </w:rPr>
              <w:t>(3)</w:t>
            </w: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1"/>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80" w:type="dxa"/>
            <w:vAlign w:val="bottom"/>
            <w:gridSpan w:val="15"/>
          </w:tcPr>
          <w:p>
            <w:pPr>
              <w:ind w:left="130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i w:val="1"/>
                <w:iCs w:val="1"/>
                <w:color w:val="auto"/>
                <w:w w:val="92"/>
              </w:rPr>
              <w:t>Plan of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auto"/>
            </w:tcBorders>
            <w:gridSpan w:val="15"/>
          </w:tcPr>
          <w:p>
            <w:pPr>
              <w:spacing w:after="0" w:line="201" w:lineRule="exact"/>
              <w:rPr>
                <w:sz w:val="20"/>
                <w:szCs w:val="20"/>
                <w:color w:val="auto"/>
              </w:rPr>
            </w:pPr>
            <w:r>
              <w:rPr>
                <w:rFonts w:ascii="Arial" w:cs="Arial" w:eastAsia="Arial" w:hAnsi="Arial"/>
                <w:sz w:val="18"/>
                <w:szCs w:val="18"/>
                <w:i w:val="1"/>
                <w:iCs w:val="1"/>
                <w:color w:val="auto"/>
                <w:w w:val="93"/>
              </w:rPr>
              <w:t>Acquisition, Reorganization, Arrangement, Liquidation or Succession</w:t>
            </w:r>
          </w:p>
        </w:tc>
        <w:tc>
          <w:tcPr>
            <w:tcW w:w="1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184"/>
        </w:trPr>
        <w:tc>
          <w:tcPr>
            <w:tcW w:w="380" w:type="dxa"/>
            <w:vAlign w:val="bottom"/>
          </w:tcPr>
          <w:p>
            <w:pPr>
              <w:spacing w:after="0"/>
              <w:rPr>
                <w:sz w:val="15"/>
                <w:szCs w:val="15"/>
                <w:color w:val="auto"/>
              </w:rPr>
            </w:pPr>
          </w:p>
        </w:tc>
        <w:tc>
          <w:tcPr>
            <w:tcW w:w="8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5"/>
                <w:szCs w:val="15"/>
                <w:color w:val="auto"/>
              </w:rPr>
            </w:pPr>
          </w:p>
        </w:tc>
        <w:tc>
          <w:tcPr>
            <w:tcW w:w="4940" w:type="dxa"/>
            <w:vAlign w:val="bottom"/>
            <w:tcBorders>
              <w:bottom w:val="single" w:sz="8" w:color="0000EE"/>
            </w:tcBorders>
            <w:gridSpan w:val="14"/>
          </w:tcPr>
          <w:p>
            <w:pPr>
              <w:spacing w:after="0" w:line="184" w:lineRule="exact"/>
              <w:rPr>
                <w:rFonts w:ascii="Arial" w:cs="Arial" w:eastAsia="Arial" w:hAnsi="Arial"/>
                <w:sz w:val="18"/>
                <w:szCs w:val="18"/>
                <w:color w:val="0000EE"/>
                <w:w w:val="87"/>
              </w:rPr>
            </w:pPr>
            <w:hyperlink r:id="rId140">
              <w:r>
                <w:rPr>
                  <w:rFonts w:ascii="Arial" w:cs="Arial" w:eastAsia="Arial" w:hAnsi="Arial"/>
                  <w:sz w:val="18"/>
                  <w:szCs w:val="18"/>
                  <w:color w:val="0000EE"/>
                  <w:w w:val="87"/>
                </w:rPr>
                <w:t>Agreement and Plan of Merger, dated as of November 1, 2016, by and</w:t>
              </w:r>
            </w:hyperlink>
          </w:p>
        </w:tc>
        <w:tc>
          <w:tcPr>
            <w:tcW w:w="380" w:type="dxa"/>
            <w:vAlign w:val="bottom"/>
            <w:gridSpan w:val="3"/>
          </w:tcPr>
          <w:p>
            <w:pPr>
              <w:spacing w:after="0"/>
              <w:rPr>
                <w:sz w:val="15"/>
                <w:szCs w:val="15"/>
                <w:color w:val="auto"/>
              </w:rPr>
            </w:pPr>
          </w:p>
        </w:tc>
        <w:tc>
          <w:tcPr>
            <w:tcW w:w="1480" w:type="dxa"/>
            <w:vAlign w:val="bottom"/>
          </w:tcPr>
          <w:p>
            <w:pPr>
              <w:jc w:val="center"/>
              <w:spacing w:after="0" w:line="184" w:lineRule="exact"/>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line="184" w:lineRule="exact"/>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line="184" w:lineRule="exact"/>
              <w:rPr>
                <w:sz w:val="20"/>
                <w:szCs w:val="20"/>
                <w:color w:val="auto"/>
              </w:rPr>
            </w:pPr>
            <w:r>
              <w:rPr>
                <w:rFonts w:ascii="Arial" w:cs="Arial" w:eastAsia="Arial" w:hAnsi="Arial"/>
                <w:sz w:val="18"/>
                <w:szCs w:val="18"/>
                <w:color w:val="auto"/>
                <w:w w:val="89"/>
              </w:rPr>
              <w:t>11/1/16</w:t>
            </w:r>
          </w:p>
        </w:tc>
      </w:tr>
      <w:tr>
        <w:trPr>
          <w:trHeight w:val="196"/>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40">
              <w:r>
                <w:rPr>
                  <w:rFonts w:ascii="Arial" w:cs="Arial" w:eastAsia="Arial" w:hAnsi="Arial"/>
                  <w:sz w:val="18"/>
                  <w:szCs w:val="18"/>
                  <w:color w:val="0000EE"/>
                  <w:w w:val="88"/>
                </w:rPr>
                <w:t>among Kolltan Pharmaceuticals, Inc., Celldex Therapeutics, Inc.,</w:t>
              </w:r>
            </w:hyperlink>
          </w:p>
        </w:tc>
        <w:tc>
          <w:tcPr>
            <w:tcW w:w="740" w:type="dxa"/>
            <w:vAlign w:val="bottom"/>
            <w:gridSpan w:val="8"/>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140">
              <w:r>
                <w:rPr>
                  <w:rFonts w:ascii="Arial" w:cs="Arial" w:eastAsia="Arial" w:hAnsi="Arial"/>
                  <w:sz w:val="18"/>
                  <w:szCs w:val="18"/>
                  <w:color w:val="0000EE"/>
                  <w:w w:val="88"/>
                </w:rPr>
                <w:t>Connemara Merger Sub 1 Inc. and Connemara Merger Sub 2 LLC.</w:t>
              </w:r>
            </w:hyperlink>
          </w:p>
        </w:tc>
        <w:tc>
          <w:tcPr>
            <w:tcW w:w="600" w:type="dxa"/>
            <w:vAlign w:val="bottom"/>
            <w:gridSpan w:val="4"/>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71"/>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19"/>
          </w:tcPr>
          <w:p>
            <w:pPr>
              <w:ind w:left="80"/>
              <w:spacing w:after="0"/>
              <w:rPr>
                <w:sz w:val="20"/>
                <w:szCs w:val="20"/>
                <w:color w:val="auto"/>
              </w:rPr>
            </w:pPr>
            <w:r>
              <w:rPr>
                <w:rFonts w:ascii="Arial" w:cs="Arial" w:eastAsia="Arial" w:hAnsi="Arial"/>
                <w:sz w:val="18"/>
                <w:szCs w:val="18"/>
                <w:i w:val="1"/>
                <w:iCs w:val="1"/>
                <w:color w:val="auto"/>
              </w:rPr>
              <w:t>Articles of Incorporation and By-Laws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4"/>
        </w:trPr>
        <w:tc>
          <w:tcPr>
            <w:tcW w:w="380" w:type="dxa"/>
            <w:vAlign w:val="bottom"/>
          </w:tcPr>
          <w:p>
            <w:pPr>
              <w:spacing w:after="0"/>
              <w:rPr>
                <w:sz w:val="15"/>
                <w:szCs w:val="15"/>
                <w:color w:val="auto"/>
              </w:rPr>
            </w:pPr>
          </w:p>
        </w:tc>
        <w:tc>
          <w:tcPr>
            <w:tcW w:w="8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5"/>
                <w:szCs w:val="15"/>
                <w:color w:val="auto"/>
              </w:rPr>
            </w:pPr>
          </w:p>
        </w:tc>
        <w:tc>
          <w:tcPr>
            <w:tcW w:w="5320" w:type="dxa"/>
            <w:vAlign w:val="bottom"/>
            <w:gridSpan w:val="17"/>
          </w:tcPr>
          <w:p>
            <w:pPr>
              <w:spacing w:after="0" w:line="184" w:lineRule="exact"/>
              <w:rPr>
                <w:rFonts w:ascii="Arial" w:cs="Arial" w:eastAsia="Arial" w:hAnsi="Arial"/>
                <w:sz w:val="18"/>
                <w:szCs w:val="18"/>
                <w:color w:val="0000EE"/>
              </w:rPr>
            </w:pPr>
            <w:hyperlink r:id="rId141">
              <w:r>
                <w:rPr>
                  <w:rFonts w:ascii="Arial" w:cs="Arial" w:eastAsia="Arial" w:hAnsi="Arial"/>
                  <w:sz w:val="18"/>
                  <w:szCs w:val="18"/>
                  <w:color w:val="0000EE"/>
                </w:rPr>
                <w:t>Third Restated Certificate of Incorporation</w:t>
              </w:r>
            </w:hyperlink>
          </w:p>
        </w:tc>
        <w:tc>
          <w:tcPr>
            <w:tcW w:w="1480" w:type="dxa"/>
            <w:vAlign w:val="bottom"/>
          </w:tcPr>
          <w:p>
            <w:pPr>
              <w:jc w:val="center"/>
              <w:spacing w:after="0" w:line="184" w:lineRule="exact"/>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line="184" w:lineRule="exact"/>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line="184" w:lineRule="exact"/>
              <w:rPr>
                <w:sz w:val="20"/>
                <w:szCs w:val="20"/>
                <w:color w:val="auto"/>
              </w:rPr>
            </w:pPr>
            <w:r>
              <w:rPr>
                <w:rFonts w:ascii="Arial" w:cs="Arial" w:eastAsia="Arial" w:hAnsi="Arial"/>
                <w:sz w:val="18"/>
                <w:szCs w:val="18"/>
                <w:color w:val="auto"/>
                <w:w w:val="89"/>
              </w:rPr>
              <w:t>7/16/98</w:t>
            </w:r>
          </w:p>
        </w:tc>
      </w:tr>
      <w:tr>
        <w:trPr>
          <w:trHeight w:val="235"/>
        </w:trPr>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1"/>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5320" w:type="dxa"/>
            <w:vAlign w:val="bottom"/>
            <w:gridSpan w:val="17"/>
          </w:tcPr>
          <w:p>
            <w:pPr>
              <w:spacing w:after="0"/>
              <w:rPr>
                <w:rFonts w:ascii="Arial" w:cs="Arial" w:eastAsia="Arial" w:hAnsi="Arial"/>
                <w:sz w:val="18"/>
                <w:szCs w:val="18"/>
                <w:color w:val="0000EE"/>
                <w:w w:val="94"/>
              </w:rPr>
            </w:pPr>
            <w:hyperlink r:id="rId141">
              <w:r>
                <w:rPr>
                  <w:rFonts w:ascii="Arial" w:cs="Arial" w:eastAsia="Arial" w:hAnsi="Arial"/>
                  <w:sz w:val="18"/>
                  <w:szCs w:val="18"/>
                  <w:color w:val="0000EE"/>
                  <w:w w:val="94"/>
                </w:rPr>
                <w:t>Certificate of Amendment of Third Restated Certificate of Incorporation</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235"/>
        </w:trPr>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1"/>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5320" w:type="dxa"/>
            <w:vAlign w:val="bottom"/>
            <w:gridSpan w:val="17"/>
          </w:tcPr>
          <w:p>
            <w:pPr>
              <w:spacing w:after="0"/>
              <w:rPr>
                <w:rFonts w:ascii="Arial" w:cs="Arial" w:eastAsia="Arial" w:hAnsi="Arial"/>
                <w:sz w:val="18"/>
                <w:szCs w:val="18"/>
                <w:color w:val="0000EE"/>
              </w:rPr>
            </w:pPr>
            <w:hyperlink r:id="rId141">
              <w:r>
                <w:rPr>
                  <w:rFonts w:ascii="Arial" w:cs="Arial" w:eastAsia="Arial" w:hAnsi="Arial"/>
                  <w:sz w:val="18"/>
                  <w:szCs w:val="18"/>
                  <w:color w:val="0000EE"/>
                </w:rPr>
                <w:t>Second Certificate of Amendment of Third Restated Certificate of</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r>
      <w:tr>
        <w:trPr>
          <w:trHeight w:val="196"/>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Incorporation</w:t>
              </w:r>
            </w:hyperlink>
          </w:p>
        </w:tc>
        <w:tc>
          <w:tcPr>
            <w:tcW w:w="680" w:type="dxa"/>
            <w:vAlign w:val="bottom"/>
            <w:gridSpan w:val="6"/>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4520" w:type="dxa"/>
            <w:vAlign w:val="bottom"/>
            <w:tcBorders>
              <w:bottom w:val="single" w:sz="8" w:color="0000EE"/>
            </w:tcBorders>
            <w:gridSpan w:val="8"/>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Third Certificate of Amendment of Third Restated Certificate of</w:t>
              </w:r>
            </w:hyperlink>
          </w:p>
        </w:tc>
        <w:tc>
          <w:tcPr>
            <w:tcW w:w="800" w:type="dxa"/>
            <w:vAlign w:val="bottom"/>
            <w:gridSpan w:val="9"/>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5/10/02</w:t>
            </w:r>
          </w:p>
        </w:tc>
      </w:tr>
      <w:tr>
        <w:trPr>
          <w:trHeight w:val="196"/>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gridSpan w:val="17"/>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Incorporation</w:t>
              </w:r>
            </w:hyperlink>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4600" w:type="dxa"/>
            <w:vAlign w:val="bottom"/>
            <w:tcBorders>
              <w:bottom w:val="single" w:sz="8" w:color="0000EE"/>
            </w:tcBorders>
            <w:gridSpan w:val="10"/>
          </w:tcPr>
          <w:p>
            <w:pPr>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Fourth Certificate of Amendment of Third Restated Certificate of</w:t>
              </w:r>
            </w:hyperlink>
          </w:p>
        </w:tc>
        <w:tc>
          <w:tcPr>
            <w:tcW w:w="720" w:type="dxa"/>
            <w:vAlign w:val="bottom"/>
            <w:gridSpan w:val="7"/>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r>
      <w:tr>
        <w:trPr>
          <w:trHeight w:val="196"/>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gridSpan w:val="17"/>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Incorporation</w:t>
              </w:r>
            </w:hyperlink>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4"/>
                <w:szCs w:val="24"/>
                <w:color w:val="auto"/>
              </w:rPr>
            </w:pPr>
          </w:p>
        </w:tc>
        <w:tc>
          <w:tcPr>
            <w:tcW w:w="5320" w:type="dxa"/>
            <w:vAlign w:val="bottom"/>
            <w:gridSpan w:val="17"/>
          </w:tcPr>
          <w:p>
            <w:pPr>
              <w:spacing w:after="0"/>
              <w:rPr>
                <w:rFonts w:ascii="Arial" w:cs="Arial" w:eastAsia="Arial" w:hAnsi="Arial"/>
                <w:sz w:val="18"/>
                <w:szCs w:val="18"/>
                <w:color w:val="0000EE"/>
              </w:rPr>
            </w:pPr>
            <w:hyperlink r:id="rId144">
              <w:r>
                <w:rPr>
                  <w:rFonts w:ascii="Arial" w:cs="Arial" w:eastAsia="Arial" w:hAnsi="Arial"/>
                  <w:sz w:val="18"/>
                  <w:szCs w:val="18"/>
                  <w:color w:val="0000EE"/>
                </w:rPr>
                <w:t>Fifth Certificate of Amendment of Third Restated Certificate of</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r>
      <w:tr>
        <w:trPr>
          <w:trHeight w:val="196"/>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Incorporation</w:t>
              </w:r>
            </w:hyperlink>
          </w:p>
        </w:tc>
        <w:tc>
          <w:tcPr>
            <w:tcW w:w="860" w:type="dxa"/>
            <w:vAlign w:val="bottom"/>
            <w:gridSpan w:val="11"/>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4500" w:type="dxa"/>
            <w:vAlign w:val="bottom"/>
            <w:tcBorders>
              <w:bottom w:val="single" w:sz="8" w:color="0000EE"/>
            </w:tcBorders>
            <w:gridSpan w:val="7"/>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Sixth Certificate of Amendment of Third Restated Certificate of</w:t>
              </w:r>
            </w:hyperlink>
          </w:p>
        </w:tc>
        <w:tc>
          <w:tcPr>
            <w:tcW w:w="820" w:type="dxa"/>
            <w:vAlign w:val="bottom"/>
            <w:gridSpan w:val="10"/>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11/10/08</w:t>
            </w:r>
          </w:p>
        </w:tc>
      </w:tr>
      <w:tr>
        <w:trPr>
          <w:trHeight w:val="196"/>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gridSpan w:val="17"/>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Incorporation</w:t>
              </w:r>
            </w:hyperlink>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5320" w:type="dxa"/>
            <w:vAlign w:val="bottom"/>
            <w:gridSpan w:val="17"/>
          </w:tcPr>
          <w:p>
            <w:pPr>
              <w:spacing w:after="0"/>
              <w:rPr>
                <w:rFonts w:ascii="Arial" w:cs="Arial" w:eastAsia="Arial" w:hAnsi="Arial"/>
                <w:sz w:val="18"/>
                <w:szCs w:val="18"/>
                <w:color w:val="0000EE"/>
              </w:rPr>
            </w:pPr>
            <w:hyperlink r:id="rId146">
              <w:r>
                <w:rPr>
                  <w:rFonts w:ascii="Arial" w:cs="Arial" w:eastAsia="Arial" w:hAnsi="Arial"/>
                  <w:sz w:val="18"/>
                  <w:szCs w:val="18"/>
                  <w:color w:val="0000EE"/>
                </w:rPr>
                <w:t>Amended and Restated By-Laws, dated April 7, 2014</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4/8/14</w:t>
            </w:r>
          </w:p>
        </w:tc>
      </w:tr>
      <w:tr>
        <w:trPr>
          <w:trHeight w:val="235"/>
        </w:trPr>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1"/>
        </w:trPr>
        <w:tc>
          <w:tcPr>
            <w:tcW w:w="3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4700" w:type="dxa"/>
            <w:vAlign w:val="bottom"/>
            <w:tcBorders>
              <w:bottom w:val="single" w:sz="8" w:color="0000EE"/>
            </w:tcBorders>
            <w:gridSpan w:val="12"/>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Seventh Certificate of Amendment of Third Restated Certificate of</w:t>
              </w:r>
            </w:hyperlink>
          </w:p>
        </w:tc>
        <w:tc>
          <w:tcPr>
            <w:tcW w:w="620" w:type="dxa"/>
            <w:vAlign w:val="bottom"/>
            <w:gridSpan w:val="5"/>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2/8/19</w:t>
            </w:r>
          </w:p>
        </w:tc>
      </w:tr>
      <w:tr>
        <w:trPr>
          <w:trHeight w:val="196"/>
        </w:trPr>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gridSpan w:val="17"/>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Incorporation</w:t>
              </w:r>
            </w:hyperlink>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gridSpan w:val="1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71"/>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19"/>
          </w:tcPr>
          <w:p>
            <w:pPr>
              <w:ind w:left="80"/>
              <w:spacing w:after="0"/>
              <w:rPr>
                <w:sz w:val="20"/>
                <w:szCs w:val="20"/>
                <w:color w:val="auto"/>
              </w:rPr>
            </w:pPr>
            <w:r>
              <w:rPr>
                <w:rFonts w:ascii="Arial" w:cs="Arial" w:eastAsia="Arial" w:hAnsi="Arial"/>
                <w:sz w:val="18"/>
                <w:szCs w:val="18"/>
                <w:i w:val="1"/>
                <w:iCs w:val="1"/>
                <w:color w:val="auto"/>
              </w:rPr>
              <w:t>Instruments Defining the Rights of Security Holders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4"/>
        </w:trPr>
        <w:tc>
          <w:tcPr>
            <w:tcW w:w="380" w:type="dxa"/>
            <w:vAlign w:val="bottom"/>
          </w:tcPr>
          <w:p>
            <w:pPr>
              <w:spacing w:after="0"/>
              <w:rPr>
                <w:sz w:val="15"/>
                <w:szCs w:val="15"/>
                <w:color w:val="auto"/>
              </w:rPr>
            </w:pPr>
          </w:p>
        </w:tc>
        <w:tc>
          <w:tcPr>
            <w:tcW w:w="8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5"/>
                <w:szCs w:val="15"/>
                <w:color w:val="auto"/>
              </w:rPr>
            </w:pPr>
          </w:p>
        </w:tc>
        <w:tc>
          <w:tcPr>
            <w:tcW w:w="5320" w:type="dxa"/>
            <w:vAlign w:val="bottom"/>
            <w:gridSpan w:val="17"/>
          </w:tcPr>
          <w:p>
            <w:pPr>
              <w:spacing w:after="0" w:line="184" w:lineRule="exact"/>
              <w:rPr>
                <w:rFonts w:ascii="Arial" w:cs="Arial" w:eastAsia="Arial" w:hAnsi="Arial"/>
                <w:sz w:val="18"/>
                <w:szCs w:val="18"/>
                <w:color w:val="0000EE"/>
              </w:rPr>
            </w:pPr>
            <w:hyperlink r:id="rId148">
              <w:r>
                <w:rPr>
                  <w:rFonts w:ascii="Arial" w:cs="Arial" w:eastAsia="Arial" w:hAnsi="Arial"/>
                  <w:sz w:val="18"/>
                  <w:szCs w:val="18"/>
                  <w:color w:val="0000EE"/>
                </w:rPr>
                <w:t>Specimen of Common Stock Certificate</w:t>
              </w:r>
            </w:hyperlink>
          </w:p>
        </w:tc>
        <w:tc>
          <w:tcPr>
            <w:tcW w:w="1480" w:type="dxa"/>
            <w:vAlign w:val="bottom"/>
          </w:tcPr>
          <w:p>
            <w:pPr>
              <w:jc w:val="center"/>
              <w:spacing w:after="0" w:line="184" w:lineRule="exact"/>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line="184" w:lineRule="exact"/>
              <w:rPr>
                <w:sz w:val="20"/>
                <w:szCs w:val="20"/>
                <w:color w:val="auto"/>
              </w:rPr>
            </w:pPr>
            <w:r>
              <w:rPr>
                <w:rFonts w:ascii="Arial" w:cs="Arial" w:eastAsia="Arial" w:hAnsi="Arial"/>
                <w:sz w:val="18"/>
                <w:szCs w:val="18"/>
                <w:color w:val="auto"/>
                <w:w w:val="87"/>
              </w:rPr>
              <w:t>4.1</w:t>
            </w:r>
          </w:p>
        </w:tc>
        <w:tc>
          <w:tcPr>
            <w:tcW w:w="880" w:type="dxa"/>
            <w:vAlign w:val="bottom"/>
            <w:gridSpan w:val="2"/>
          </w:tcPr>
          <w:p>
            <w:pPr>
              <w:jc w:val="center"/>
              <w:ind w:left="52"/>
              <w:spacing w:after="0" w:line="184" w:lineRule="exact"/>
              <w:rPr>
                <w:sz w:val="20"/>
                <w:szCs w:val="20"/>
                <w:color w:val="auto"/>
              </w:rPr>
            </w:pPr>
            <w:r>
              <w:rPr>
                <w:rFonts w:ascii="Arial" w:cs="Arial" w:eastAsia="Arial" w:hAnsi="Arial"/>
                <w:sz w:val="18"/>
                <w:szCs w:val="18"/>
                <w:color w:val="auto"/>
                <w:w w:val="91"/>
              </w:rPr>
              <w:t>2/8/19</w:t>
            </w:r>
          </w:p>
        </w:tc>
      </w:tr>
      <w:tr>
        <w:trPr>
          <w:trHeight w:val="235"/>
        </w:trPr>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860"/>
          </w:cols>
          <w:pgMar w:left="240" w:top="131" w:right="799" w:bottom="1440" w:gutter="0" w:footer="0" w:header="0"/>
        </w:sectPr>
      </w:pPr>
    </w:p>
    <w:p>
      <w:pPr>
        <w:spacing w:after="0" w:line="1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31" w:right="79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1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7731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jc w:val="both"/>
        <w:ind w:left="1940" w:right="580" w:hanging="381"/>
        <w:spacing w:after="0" w:line="301" w:lineRule="auto"/>
        <w:tabs>
          <w:tab w:leader="none" w:pos="192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51">
        <w:r>
          <w:rPr>
            <w:rFonts w:ascii="Arial" w:cs="Arial" w:eastAsia="Arial" w:hAnsi="Arial"/>
            <w:sz w:val="16"/>
            <w:szCs w:val="16"/>
            <w:u w:val="single" w:color="auto"/>
            <w:color w:val="0000EE"/>
          </w:rPr>
          <w:t>Certificate of Designations, Preferences and Rights of a Series of</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Preferred Stock classifying and designating the Series C-1 Junior</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Participating Cumulative Preferred Stock</w:t>
        </w:r>
      </w:hyperlink>
    </w:p>
    <w:p>
      <w:pPr>
        <w:spacing w:after="0" w:line="191" w:lineRule="exact"/>
        <w:rPr>
          <w:rFonts w:ascii="Arial" w:cs="Arial" w:eastAsia="Arial" w:hAnsi="Arial"/>
          <w:sz w:val="16"/>
          <w:szCs w:val="16"/>
          <w:u w:val="single" w:color="auto"/>
          <w:color w:val="0000EE"/>
        </w:rPr>
      </w:pPr>
    </w:p>
    <w:p>
      <w:pPr>
        <w:ind w:left="1240"/>
        <w:spacing w:after="0"/>
        <w:rPr>
          <w:sz w:val="20"/>
          <w:szCs w:val="20"/>
          <w:color w:val="auto"/>
        </w:rPr>
      </w:pPr>
      <w:r>
        <w:rPr>
          <w:rFonts w:ascii="Arial" w:cs="Arial" w:eastAsia="Arial" w:hAnsi="Arial"/>
          <w:sz w:val="18"/>
          <w:szCs w:val="18"/>
          <w:i w:val="1"/>
          <w:iCs w:val="1"/>
          <w:color w:val="auto"/>
        </w:rPr>
        <w:t>Material Contracts—Leases</w:t>
      </w:r>
    </w:p>
    <w:p>
      <w:pPr>
        <w:spacing w:after="0" w:line="15" w:lineRule="exact"/>
        <w:rPr>
          <w:rFonts w:ascii="Arial" w:cs="Arial" w:eastAsia="Arial" w:hAnsi="Arial"/>
          <w:sz w:val="16"/>
          <w:szCs w:val="16"/>
          <w:u w:val="single" w:color="auto"/>
          <w:color w:val="0000EE"/>
        </w:rPr>
      </w:pPr>
    </w:p>
    <w:p>
      <w:pPr>
        <w:ind w:left="1940" w:right="260" w:hanging="468"/>
        <w:spacing w:after="0" w:line="261"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52">
        <w:r>
          <w:rPr>
            <w:rFonts w:ascii="Arial" w:cs="Arial" w:eastAsia="Arial" w:hAnsi="Arial"/>
            <w:sz w:val="18"/>
            <w:szCs w:val="18"/>
            <w:u w:val="single" w:color="auto"/>
            <w:color w:val="0000EE"/>
          </w:rPr>
          <w:t>Commercial Lease Agreement of May 1, 1996 between the Company</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and Fourth Avenue Ventures Limited Partnership</w:t>
        </w:r>
      </w:hyperlink>
    </w:p>
    <w:p>
      <w:pPr>
        <w:spacing w:after="0" w:line="219" w:lineRule="exact"/>
        <w:rPr>
          <w:sz w:val="20"/>
          <w:szCs w:val="20"/>
          <w:color w:val="auto"/>
        </w:rPr>
      </w:pPr>
    </w:p>
    <w:p>
      <w:pPr>
        <w:ind w:left="1940" w:right="240" w:hanging="468"/>
        <w:spacing w:after="0" w:line="306" w:lineRule="auto"/>
        <w:tabs>
          <w:tab w:leader="none" w:pos="192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53">
        <w:r>
          <w:rPr>
            <w:rFonts w:ascii="Arial" w:cs="Arial" w:eastAsia="Arial" w:hAnsi="Arial"/>
            <w:sz w:val="16"/>
            <w:szCs w:val="16"/>
            <w:u w:val="single" w:color="auto"/>
            <w:color w:val="0000EE"/>
          </w:rPr>
          <w:t>Extension of Lease Agreement of May 1, 1997 between the Company</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and DIV Needham 53 LLC (successor in interest to Fourth Avenue</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Ventures Limited Partnership) dated as of August 23, 2001</w:t>
        </w:r>
      </w:hyperlink>
    </w:p>
    <w:p>
      <w:pPr>
        <w:spacing w:after="0" w:line="188" w:lineRule="exact"/>
        <w:rPr>
          <w:rFonts w:ascii="Arial" w:cs="Arial" w:eastAsia="Arial" w:hAnsi="Arial"/>
          <w:sz w:val="16"/>
          <w:szCs w:val="16"/>
          <w:u w:val="single" w:color="auto"/>
          <w:color w:val="0000EE"/>
        </w:rPr>
      </w:pPr>
    </w:p>
    <w:p>
      <w:pPr>
        <w:ind w:left="1940" w:right="360" w:hanging="468"/>
        <w:spacing w:after="0" w:line="306" w:lineRule="auto"/>
        <w:tabs>
          <w:tab w:leader="none" w:pos="192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54">
        <w:r>
          <w:rPr>
            <w:rFonts w:ascii="Arial" w:cs="Arial" w:eastAsia="Arial" w:hAnsi="Arial"/>
            <w:sz w:val="16"/>
            <w:szCs w:val="16"/>
            <w:u w:val="single" w:color="auto"/>
            <w:color w:val="0000EE"/>
          </w:rPr>
          <w:t>First Amendment to Lease by and between the Company and DIV</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Needham 115 LLC (successor in interest to Fourth Avenue Ventures</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Limited Partnership) dated November 29, 2005</w:t>
        </w:r>
      </w:hyperlink>
    </w:p>
    <w:p>
      <w:pPr>
        <w:spacing w:after="0" w:line="188" w:lineRule="exact"/>
        <w:rPr>
          <w:rFonts w:ascii="Arial" w:cs="Arial" w:eastAsia="Arial" w:hAnsi="Arial"/>
          <w:sz w:val="16"/>
          <w:szCs w:val="16"/>
          <w:u w:val="single" w:color="auto"/>
          <w:color w:val="0000EE"/>
        </w:rPr>
      </w:pPr>
    </w:p>
    <w:p>
      <w:pPr>
        <w:ind w:left="1940" w:right="300" w:hanging="468"/>
        <w:spacing w:after="0" w:line="268"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55">
        <w:r>
          <w:rPr>
            <w:rFonts w:ascii="Arial" w:cs="Arial" w:eastAsia="Arial" w:hAnsi="Arial"/>
            <w:sz w:val="18"/>
            <w:szCs w:val="18"/>
            <w:u w:val="single" w:color="auto"/>
            <w:color w:val="0000EE"/>
          </w:rPr>
          <w:t>Second Amendment to Lease by and between the Company and DIV</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Needham 115 LLC dated as of August 1, 2015</w:t>
        </w:r>
      </w:hyperlink>
    </w:p>
    <w:p>
      <w:pPr>
        <w:spacing w:after="0" w:line="213" w:lineRule="exact"/>
        <w:rPr>
          <w:sz w:val="20"/>
          <w:szCs w:val="20"/>
          <w:color w:val="auto"/>
        </w:rPr>
      </w:pPr>
    </w:p>
    <w:p>
      <w:pPr>
        <w:ind w:left="1940" w:right="120" w:hanging="556"/>
        <w:spacing w:after="0" w:line="370" w:lineRule="auto"/>
        <w:tabs>
          <w:tab w:leader="none" w:pos="1920" w:val="left"/>
        </w:tabs>
        <w:rPr>
          <w:rFonts w:ascii="Arial" w:cs="Arial" w:eastAsia="Arial" w:hAnsi="Arial"/>
          <w:sz w:val="15"/>
          <w:szCs w:val="15"/>
          <w:u w:val="single" w:color="auto"/>
          <w:color w:val="0000EE"/>
        </w:rPr>
      </w:pPr>
      <w:r>
        <w:rPr>
          <w:rFonts w:ascii="Arial" w:cs="Arial" w:eastAsia="Arial" w:hAnsi="Arial"/>
          <w:sz w:val="18"/>
          <w:szCs w:val="18"/>
          <w:color w:val="auto"/>
        </w:rPr>
        <w:t>*10.5</w:t>
      </w:r>
      <w:r>
        <w:rPr>
          <w:sz w:val="20"/>
          <w:szCs w:val="20"/>
          <w:color w:val="auto"/>
        </w:rPr>
        <w:tab/>
      </w:r>
      <w:hyperlink r:id="rId156">
        <w:r>
          <w:rPr>
            <w:rFonts w:ascii="Arial" w:cs="Arial" w:eastAsia="Arial" w:hAnsi="Arial"/>
            <w:sz w:val="15"/>
            <w:szCs w:val="15"/>
            <w:u w:val="single" w:color="auto"/>
            <w:color w:val="0000EE"/>
          </w:rPr>
          <w:t>Lease Agreement, by and between the Company and the Massachusetts</w:t>
        </w:r>
      </w:hyperlink>
      <w:r>
        <w:rPr>
          <w:rFonts w:ascii="Arial" w:cs="Arial" w:eastAsia="Arial" w:hAnsi="Arial"/>
          <w:sz w:val="15"/>
          <w:szCs w:val="15"/>
          <w:u w:val="single" w:color="auto"/>
          <w:color w:val="0000EE"/>
        </w:rPr>
        <w:t xml:space="preserve"> </w:t>
      </w:r>
      <w:hyperlink r:id="rId156">
        <w:r>
          <w:rPr>
            <w:rFonts w:ascii="Arial" w:cs="Arial" w:eastAsia="Arial" w:hAnsi="Arial"/>
            <w:sz w:val="15"/>
            <w:szCs w:val="15"/>
            <w:u w:val="single" w:color="auto"/>
            <w:color w:val="0000EE"/>
          </w:rPr>
          <w:t>Development Finance Agency, dated as of December 22, 2003</w:t>
        </w:r>
      </w:hyperlink>
    </w:p>
    <w:p>
      <w:pPr>
        <w:spacing w:after="0" w:line="143" w:lineRule="exact"/>
        <w:rPr>
          <w:sz w:val="20"/>
          <w:szCs w:val="20"/>
          <w:color w:val="auto"/>
        </w:rPr>
      </w:pPr>
    </w:p>
    <w:p>
      <w:pPr>
        <w:ind w:left="1940" w:hanging="468"/>
        <w:spacing w:after="0" w:line="332" w:lineRule="auto"/>
        <w:tabs>
          <w:tab w:leader="none" w:pos="192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57">
        <w:r>
          <w:rPr>
            <w:rFonts w:ascii="Arial" w:cs="Arial" w:eastAsia="Arial" w:hAnsi="Arial"/>
            <w:sz w:val="16"/>
            <w:szCs w:val="16"/>
            <w:u w:val="single" w:color="auto"/>
            <w:color w:val="0000EE"/>
          </w:rPr>
          <w:t>First Amendment to Lease between Massachusetts Development Finance</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Agency and the Company dated March 17, 2005</w:t>
        </w:r>
      </w:hyperlink>
    </w:p>
    <w:p>
      <w:pPr>
        <w:spacing w:after="0" w:line="166" w:lineRule="exact"/>
        <w:rPr>
          <w:sz w:val="20"/>
          <w:szCs w:val="20"/>
          <w:color w:val="auto"/>
        </w:rPr>
      </w:pPr>
    </w:p>
    <w:p>
      <w:pPr>
        <w:ind w:left="1940" w:right="180" w:hanging="468"/>
        <w:spacing w:after="0" w:line="259"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58">
        <w:r>
          <w:rPr>
            <w:rFonts w:ascii="Arial" w:cs="Arial" w:eastAsia="Arial" w:hAnsi="Arial"/>
            <w:sz w:val="18"/>
            <w:szCs w:val="18"/>
            <w:u w:val="single" w:color="auto"/>
            <w:color w:val="0000EE"/>
          </w:rPr>
          <w:t>Second Amendment to Lease by and between the Company and the</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Massachusetts Development Finance Agency dated as of November 4,</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2005</w:t>
        </w:r>
      </w:hyperlink>
    </w:p>
    <w:p>
      <w:pPr>
        <w:spacing w:after="0" w:line="221" w:lineRule="exact"/>
        <w:rPr>
          <w:rFonts w:ascii="Arial" w:cs="Arial" w:eastAsia="Arial" w:hAnsi="Arial"/>
          <w:sz w:val="18"/>
          <w:szCs w:val="18"/>
          <w:u w:val="single" w:color="auto"/>
          <w:color w:val="0000EE"/>
        </w:rPr>
      </w:pPr>
    </w:p>
    <w:p>
      <w:pPr>
        <w:ind w:left="1940" w:right="540" w:hanging="468"/>
        <w:spacing w:after="0" w:line="370" w:lineRule="auto"/>
        <w:tabs>
          <w:tab w:leader="none" w:pos="1920" w:val="left"/>
        </w:tabs>
        <w:rPr>
          <w:rFonts w:ascii="Arial" w:cs="Arial" w:eastAsia="Arial" w:hAnsi="Arial"/>
          <w:sz w:val="15"/>
          <w:szCs w:val="15"/>
          <w:u w:val="single" w:color="auto"/>
          <w:color w:val="0000EE"/>
        </w:rPr>
      </w:pPr>
      <w:r>
        <w:rPr>
          <w:rFonts w:ascii="Arial" w:cs="Arial" w:eastAsia="Arial" w:hAnsi="Arial"/>
          <w:sz w:val="18"/>
          <w:szCs w:val="18"/>
          <w:color w:val="auto"/>
        </w:rPr>
        <w:t>10.8</w:t>
      </w:r>
      <w:r>
        <w:rPr>
          <w:sz w:val="20"/>
          <w:szCs w:val="20"/>
          <w:color w:val="auto"/>
        </w:rPr>
        <w:tab/>
      </w:r>
      <w:hyperlink r:id="rId159">
        <w:r>
          <w:rPr>
            <w:rFonts w:ascii="Arial" w:cs="Arial" w:eastAsia="Arial" w:hAnsi="Arial"/>
            <w:sz w:val="15"/>
            <w:szCs w:val="15"/>
            <w:u w:val="single" w:color="auto"/>
            <w:color w:val="0000EE"/>
          </w:rPr>
          <w:t>Third Amendment to Lease between Massachusetts Development</w:t>
        </w:r>
      </w:hyperlink>
      <w:r>
        <w:rPr>
          <w:rFonts w:ascii="Arial" w:cs="Arial" w:eastAsia="Arial" w:hAnsi="Arial"/>
          <w:sz w:val="15"/>
          <w:szCs w:val="15"/>
          <w:u w:val="single" w:color="auto"/>
          <w:color w:val="0000EE"/>
        </w:rPr>
        <w:t xml:space="preserve"> </w:t>
      </w:r>
      <w:hyperlink r:id="rId159">
        <w:r>
          <w:rPr>
            <w:rFonts w:ascii="Arial" w:cs="Arial" w:eastAsia="Arial" w:hAnsi="Arial"/>
            <w:sz w:val="15"/>
            <w:szCs w:val="15"/>
            <w:u w:val="single" w:color="auto"/>
            <w:color w:val="0000EE"/>
          </w:rPr>
          <w:t>Finance Agency and the Company dated December 20, 2006</w:t>
        </w:r>
      </w:hyperlink>
    </w:p>
    <w:p>
      <w:pPr>
        <w:spacing w:after="0" w:line="143" w:lineRule="exact"/>
        <w:rPr>
          <w:sz w:val="20"/>
          <w:szCs w:val="20"/>
          <w:color w:val="auto"/>
        </w:rPr>
      </w:pPr>
    </w:p>
    <w:p>
      <w:pPr>
        <w:ind w:left="1940" w:right="580" w:hanging="468"/>
        <w:spacing w:after="0" w:line="370" w:lineRule="auto"/>
        <w:tabs>
          <w:tab w:leader="none" w:pos="1920" w:val="left"/>
        </w:tabs>
        <w:rPr>
          <w:rFonts w:ascii="Arial" w:cs="Arial" w:eastAsia="Arial" w:hAnsi="Arial"/>
          <w:sz w:val="15"/>
          <w:szCs w:val="15"/>
          <w:u w:val="single" w:color="auto"/>
          <w:color w:val="0000EE"/>
        </w:rPr>
      </w:pPr>
      <w:r>
        <w:rPr>
          <w:rFonts w:ascii="Arial" w:cs="Arial" w:eastAsia="Arial" w:hAnsi="Arial"/>
          <w:sz w:val="18"/>
          <w:szCs w:val="18"/>
          <w:color w:val="auto"/>
        </w:rPr>
        <w:t>10.9</w:t>
      </w:r>
      <w:r>
        <w:rPr>
          <w:sz w:val="20"/>
          <w:szCs w:val="20"/>
          <w:color w:val="auto"/>
        </w:rPr>
        <w:tab/>
      </w:r>
      <w:hyperlink r:id="rId160">
        <w:r>
          <w:rPr>
            <w:rFonts w:ascii="Arial" w:cs="Arial" w:eastAsia="Arial" w:hAnsi="Arial"/>
            <w:sz w:val="15"/>
            <w:szCs w:val="15"/>
            <w:u w:val="single" w:color="auto"/>
            <w:color w:val="0000EE"/>
          </w:rPr>
          <w:t>Fifth Amendment to Lease between Massachusetts Development</w:t>
        </w:r>
      </w:hyperlink>
      <w:r>
        <w:rPr>
          <w:rFonts w:ascii="Arial" w:cs="Arial" w:eastAsia="Arial" w:hAnsi="Arial"/>
          <w:sz w:val="15"/>
          <w:szCs w:val="15"/>
          <w:u w:val="single" w:color="auto"/>
          <w:color w:val="0000EE"/>
        </w:rPr>
        <w:t xml:space="preserve"> </w:t>
      </w:r>
      <w:hyperlink r:id="rId160">
        <w:r>
          <w:rPr>
            <w:rFonts w:ascii="Arial" w:cs="Arial" w:eastAsia="Arial" w:hAnsi="Arial"/>
            <w:sz w:val="15"/>
            <w:szCs w:val="15"/>
            <w:u w:val="single" w:color="auto"/>
            <w:color w:val="0000EE"/>
          </w:rPr>
          <w:t>Finance Agency and the Company dated October 3, 2008</w:t>
        </w:r>
      </w:hyperlink>
    </w:p>
    <w:p>
      <w:pPr>
        <w:spacing w:after="0" w:line="143" w:lineRule="exact"/>
        <w:rPr>
          <w:sz w:val="20"/>
          <w:szCs w:val="20"/>
          <w:color w:val="auto"/>
        </w:rPr>
      </w:pPr>
    </w:p>
    <w:p>
      <w:pPr>
        <w:jc w:val="center"/>
        <w:ind w:left="820"/>
        <w:spacing w:after="0"/>
        <w:tabs>
          <w:tab w:leader="none" w:pos="140" w:val="left"/>
        </w:tabs>
        <w:rPr>
          <w:rFonts w:ascii="Arial" w:cs="Arial" w:eastAsia="Arial" w:hAnsi="Arial"/>
          <w:sz w:val="15"/>
          <w:szCs w:val="15"/>
          <w:u w:val="single" w:color="auto"/>
          <w:color w:val="0000EE"/>
        </w:rPr>
      </w:pPr>
      <w:r>
        <w:rPr>
          <w:rFonts w:ascii="Arial" w:cs="Arial" w:eastAsia="Arial" w:hAnsi="Arial"/>
          <w:sz w:val="18"/>
          <w:szCs w:val="18"/>
          <w:color w:val="auto"/>
        </w:rPr>
        <w:t>10.10</w:t>
      </w:r>
      <w:r>
        <w:rPr>
          <w:sz w:val="20"/>
          <w:szCs w:val="20"/>
          <w:color w:val="auto"/>
        </w:rPr>
        <w:tab/>
      </w:r>
      <w:hyperlink r:id="rId161">
        <w:r>
          <w:rPr>
            <w:rFonts w:ascii="Arial" w:cs="Arial" w:eastAsia="Arial" w:hAnsi="Arial"/>
            <w:sz w:val="15"/>
            <w:szCs w:val="15"/>
            <w:u w:val="single" w:color="auto"/>
            <w:color w:val="0000EE"/>
          </w:rPr>
          <w:t>Sixth Amendment to Lease between Massachusetts Development</w:t>
        </w:r>
      </w:hyperlink>
    </w:p>
    <w:p>
      <w:pPr>
        <w:spacing w:after="0" w:line="15" w:lineRule="exact"/>
        <w:rPr>
          <w:sz w:val="20"/>
          <w:szCs w:val="20"/>
          <w:color w:val="auto"/>
        </w:rPr>
      </w:pPr>
    </w:p>
    <w:p>
      <w:pPr>
        <w:jc w:val="center"/>
        <w:ind w:left="860"/>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Finance Agency and the Company dated August 20, 2009</w:t>
        </w:r>
      </w:hyperlink>
    </w:p>
    <w:p>
      <w:pPr>
        <w:spacing w:after="0" w:line="246" w:lineRule="exact"/>
        <w:rPr>
          <w:sz w:val="20"/>
          <w:szCs w:val="20"/>
          <w:color w:val="auto"/>
        </w:rPr>
      </w:pPr>
    </w:p>
    <w:p>
      <w:pPr>
        <w:ind w:left="1940" w:right="120" w:hanging="550"/>
        <w:spacing w:after="0" w:line="370" w:lineRule="auto"/>
        <w:tabs>
          <w:tab w:leader="none" w:pos="1920" w:val="left"/>
        </w:tabs>
        <w:rPr>
          <w:rFonts w:ascii="Arial" w:cs="Arial" w:eastAsia="Arial" w:hAnsi="Arial"/>
          <w:sz w:val="15"/>
          <w:szCs w:val="15"/>
          <w:u w:val="single" w:color="auto"/>
          <w:color w:val="0000EE"/>
        </w:rPr>
      </w:pPr>
      <w:r>
        <w:rPr>
          <w:rFonts w:ascii="Arial" w:cs="Arial" w:eastAsia="Arial" w:hAnsi="Arial"/>
          <w:sz w:val="18"/>
          <w:szCs w:val="18"/>
          <w:color w:val="auto"/>
        </w:rPr>
        <w:t>10.11</w:t>
      </w:r>
      <w:r>
        <w:rPr>
          <w:sz w:val="20"/>
          <w:szCs w:val="20"/>
          <w:color w:val="auto"/>
        </w:rPr>
        <w:tab/>
      </w:r>
      <w:hyperlink r:id="rId162">
        <w:r>
          <w:rPr>
            <w:rFonts w:ascii="Arial" w:cs="Arial" w:eastAsia="Arial" w:hAnsi="Arial"/>
            <w:sz w:val="15"/>
            <w:szCs w:val="15"/>
            <w:u w:val="single" w:color="auto"/>
            <w:color w:val="0000EE"/>
          </w:rPr>
          <w:t>Seventh Amendment to Lease by and between the Company and the</w:t>
        </w:r>
      </w:hyperlink>
      <w:r>
        <w:rPr>
          <w:rFonts w:ascii="Arial" w:cs="Arial" w:eastAsia="Arial" w:hAnsi="Arial"/>
          <w:sz w:val="15"/>
          <w:szCs w:val="15"/>
          <w:u w:val="single" w:color="auto"/>
          <w:color w:val="0000EE"/>
        </w:rPr>
        <w:t xml:space="preserve"> </w:t>
      </w:r>
      <w:hyperlink r:id="rId162">
        <w:r>
          <w:rPr>
            <w:rFonts w:ascii="Arial" w:cs="Arial" w:eastAsia="Arial" w:hAnsi="Arial"/>
            <w:sz w:val="15"/>
            <w:szCs w:val="15"/>
            <w:u w:val="single" w:color="auto"/>
            <w:color w:val="0000EE"/>
          </w:rPr>
          <w:t>Massachusetts Development Finance Agency dated as of June 22, 2010</w:t>
        </w:r>
      </w:hyperlink>
    </w:p>
    <w:p>
      <w:pPr>
        <w:spacing w:after="0" w:line="143" w:lineRule="exact"/>
        <w:rPr>
          <w:sz w:val="20"/>
          <w:szCs w:val="20"/>
          <w:color w:val="auto"/>
        </w:rPr>
      </w:pPr>
    </w:p>
    <w:p>
      <w:pPr>
        <w:ind w:left="1940" w:right="180" w:hanging="556"/>
        <w:spacing w:after="0" w:line="259"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63">
        <w:r>
          <w:rPr>
            <w:rFonts w:ascii="Arial" w:cs="Arial" w:eastAsia="Arial" w:hAnsi="Arial"/>
            <w:sz w:val="18"/>
            <w:szCs w:val="18"/>
            <w:u w:val="single" w:color="auto"/>
            <w:color w:val="0000EE"/>
          </w:rPr>
          <w:t>Eighth Amendment to Lease by and between the Company and the</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Massachusetts Development Finance Agency dated as of November 1,</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2015</w:t>
        </w:r>
      </w:hyperlink>
    </w:p>
    <w:p>
      <w:pPr>
        <w:spacing w:after="0" w:line="194" w:lineRule="exact"/>
        <w:rPr>
          <w:rFonts w:ascii="Arial" w:cs="Arial" w:eastAsia="Arial" w:hAnsi="Arial"/>
          <w:sz w:val="18"/>
          <w:szCs w:val="18"/>
          <w:u w:val="single" w:color="auto"/>
          <w:color w:val="0000EE"/>
        </w:rPr>
      </w:pPr>
    </w:p>
    <w:p>
      <w:pPr>
        <w:ind w:left="5580"/>
        <w:spacing w:after="0"/>
        <w:rPr>
          <w:sz w:val="20"/>
          <w:szCs w:val="20"/>
          <w:color w:val="auto"/>
        </w:rPr>
      </w:pPr>
      <w:r>
        <w:rPr>
          <w:rFonts w:ascii="Arial" w:cs="Arial" w:eastAsia="Arial" w:hAnsi="Arial"/>
          <w:sz w:val="18"/>
          <w:szCs w:val="18"/>
          <w:color w:val="auto"/>
        </w:rPr>
        <w:t>111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62" w:lineRule="exact"/>
        <w:rPr>
          <w:rFonts w:ascii="Arial" w:cs="Arial" w:eastAsia="Arial" w:hAnsi="Arial"/>
          <w:sz w:val="18"/>
          <w:szCs w:val="18"/>
          <w:u w:val="single" w:color="auto"/>
          <w:color w:val="0000EE"/>
        </w:rPr>
      </w:pPr>
    </w:p>
    <w:p>
      <w:pPr>
        <w:ind w:left="66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9"/>
              </w:rPr>
              <w:t>8-A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11/8/04</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85"/>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8/23/96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3/27/02</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2/25/16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4/30/04</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10.6</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8/5/10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2/25/16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080" w:space="180"/>
            <w:col w:w="3020"/>
          </w:cols>
          <w:pgMar w:left="240" w:top="131" w:right="13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1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7731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ind w:left="1940" w:right="500" w:hanging="556"/>
        <w:spacing w:after="0" w:line="259"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66">
        <w:r>
          <w:rPr>
            <w:rFonts w:ascii="Arial" w:cs="Arial" w:eastAsia="Arial" w:hAnsi="Arial"/>
            <w:sz w:val="18"/>
            <w:szCs w:val="18"/>
            <w:u w:val="single" w:color="auto"/>
            <w:color w:val="0000EE"/>
          </w:rPr>
          <w:t>Lease Agreement dated as of May 1, 2013 by and between Crown</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Perryville, LLC and the Company.</w:t>
        </w:r>
      </w:hyperlink>
    </w:p>
    <w:p>
      <w:pPr>
        <w:spacing w:after="0" w:line="221" w:lineRule="exact"/>
        <w:rPr>
          <w:sz w:val="20"/>
          <w:szCs w:val="20"/>
          <w:color w:val="auto"/>
        </w:rPr>
      </w:pPr>
    </w:p>
    <w:p>
      <w:pPr>
        <w:ind w:left="1940" w:right="1100" w:hanging="556"/>
        <w:spacing w:after="0" w:line="268"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67">
        <w:r>
          <w:rPr>
            <w:rFonts w:ascii="Arial" w:cs="Arial" w:eastAsia="Arial" w:hAnsi="Arial"/>
            <w:sz w:val="18"/>
            <w:szCs w:val="18"/>
            <w:u w:val="single" w:color="auto"/>
            <w:color w:val="0000EE"/>
          </w:rPr>
          <w:t>First Amendment to Lease between Company and Crown</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Perryville, LLC dated as of June 17, 2015</w:t>
        </w:r>
      </w:hyperlink>
    </w:p>
    <w:p>
      <w:pPr>
        <w:spacing w:after="0" w:line="213" w:lineRule="exact"/>
        <w:rPr>
          <w:sz w:val="20"/>
          <w:szCs w:val="20"/>
          <w:color w:val="auto"/>
        </w:rPr>
      </w:pPr>
    </w:p>
    <w:p>
      <w:pPr>
        <w:ind w:left="1280" w:right="60" w:hanging="43"/>
        <w:spacing w:after="0" w:line="286" w:lineRule="auto"/>
        <w:rPr>
          <w:rFonts w:ascii="Arial" w:cs="Arial" w:eastAsia="Arial" w:hAnsi="Arial"/>
          <w:sz w:val="16"/>
          <w:szCs w:val="16"/>
          <w:color w:val="auto"/>
        </w:rPr>
      </w:pPr>
      <w:r>
        <w:rPr>
          <w:rFonts w:ascii="Arial" w:cs="Arial" w:eastAsia="Arial" w:hAnsi="Arial"/>
          <w:sz w:val="16"/>
          <w:szCs w:val="16"/>
          <w:i w:val="1"/>
          <w:iCs w:val="1"/>
          <w:color w:val="auto"/>
        </w:rPr>
        <w:t xml:space="preserve">Material Contracts—License, Collaboration, Supply and Distribution Agreements </w:t>
      </w:r>
      <w:r>
        <w:rPr>
          <w:rFonts w:ascii="Arial" w:cs="Arial" w:eastAsia="Arial" w:hAnsi="Arial"/>
          <w:sz w:val="16"/>
          <w:szCs w:val="16"/>
          <w:color w:val="auto"/>
        </w:rPr>
        <w:t xml:space="preserve">*10.15 </w:t>
      </w:r>
      <w:hyperlink r:id="rId168">
        <w:r>
          <w:rPr>
            <w:rFonts w:ascii="Arial" w:cs="Arial" w:eastAsia="Arial" w:hAnsi="Arial"/>
            <w:sz w:val="16"/>
            <w:szCs w:val="16"/>
            <w:u w:val="single" w:color="auto"/>
            <w:color w:val="0000EE"/>
          </w:rPr>
          <w:t>Research and Commercialization Agreement, as amended, dated as of</w:t>
        </w:r>
      </w:hyperlink>
    </w:p>
    <w:p>
      <w:pPr>
        <w:ind w:left="1940"/>
        <w:spacing w:after="0"/>
        <w:rPr>
          <w:rFonts w:ascii="Arial" w:cs="Arial" w:eastAsia="Arial" w:hAnsi="Arial"/>
          <w:sz w:val="16"/>
          <w:szCs w:val="16"/>
          <w:u w:val="single" w:color="auto"/>
          <w:color w:val="0000EE"/>
        </w:rPr>
      </w:pPr>
      <w:hyperlink r:id="rId168">
        <w:r>
          <w:rPr>
            <w:rFonts w:ascii="Arial" w:cs="Arial" w:eastAsia="Arial" w:hAnsi="Arial"/>
            <w:sz w:val="16"/>
            <w:szCs w:val="16"/>
            <w:u w:val="single" w:color="auto"/>
            <w:color w:val="0000EE"/>
          </w:rPr>
          <w:t>April 6, 2004 by and among Medarex, Inc., GenPharm International, Inc.</w:t>
        </w:r>
      </w:hyperlink>
    </w:p>
    <w:p>
      <w:pPr>
        <w:spacing w:after="0" w:line="32" w:lineRule="exact"/>
        <w:rPr>
          <w:sz w:val="20"/>
          <w:szCs w:val="20"/>
          <w:color w:val="auto"/>
        </w:rPr>
      </w:pPr>
    </w:p>
    <w:p>
      <w:pPr>
        <w:ind w:left="1940"/>
        <w:spacing w:after="0"/>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and the Company</w:t>
        </w:r>
      </w:hyperlink>
    </w:p>
    <w:p>
      <w:pPr>
        <w:spacing w:after="0" w:line="246" w:lineRule="exact"/>
        <w:rPr>
          <w:sz w:val="20"/>
          <w:szCs w:val="20"/>
          <w:color w:val="auto"/>
        </w:rPr>
      </w:pPr>
    </w:p>
    <w:p>
      <w:pPr>
        <w:ind w:left="1940" w:right="580" w:hanging="644"/>
        <w:spacing w:after="0" w:line="259"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69">
        <w:r>
          <w:rPr>
            <w:rFonts w:ascii="Arial" w:cs="Arial" w:eastAsia="Arial" w:hAnsi="Arial"/>
            <w:sz w:val="18"/>
            <w:szCs w:val="18"/>
            <w:u w:val="single" w:color="auto"/>
            <w:color w:val="0000EE"/>
          </w:rPr>
          <w:t>Exclusive Patent and Know-How License Agreement dated as of</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November 5, 2008 between the Company and the University of</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Southampton</w:t>
        </w:r>
      </w:hyperlink>
    </w:p>
    <w:p>
      <w:pPr>
        <w:spacing w:after="0" w:line="221" w:lineRule="exact"/>
        <w:rPr>
          <w:rFonts w:ascii="Arial" w:cs="Arial" w:eastAsia="Arial" w:hAnsi="Arial"/>
          <w:sz w:val="18"/>
          <w:szCs w:val="18"/>
          <w:u w:val="single" w:color="auto"/>
          <w:color w:val="0000EE"/>
        </w:rPr>
      </w:pPr>
    </w:p>
    <w:p>
      <w:pPr>
        <w:ind w:left="1940" w:right="500" w:hanging="644"/>
        <w:spacing w:after="0" w:line="268"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70">
        <w:r>
          <w:rPr>
            <w:rFonts w:ascii="Arial" w:cs="Arial" w:eastAsia="Arial" w:hAnsi="Arial"/>
            <w:sz w:val="18"/>
            <w:szCs w:val="18"/>
            <w:u w:val="single" w:color="auto"/>
            <w:color w:val="0000EE"/>
          </w:rPr>
          <w:t>License and Assignment Agreement, between Amgen Inc. and the</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Company dated March 16, 2009</w:t>
        </w:r>
      </w:hyperlink>
    </w:p>
    <w:p>
      <w:pPr>
        <w:spacing w:after="0" w:line="213" w:lineRule="exact"/>
        <w:rPr>
          <w:sz w:val="20"/>
          <w:szCs w:val="20"/>
          <w:color w:val="auto"/>
        </w:rPr>
      </w:pPr>
    </w:p>
    <w:p>
      <w:pPr>
        <w:ind w:left="1940" w:right="1040" w:hanging="644"/>
        <w:spacing w:after="0" w:line="268"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71">
        <w:r>
          <w:rPr>
            <w:rFonts w:ascii="Arial" w:cs="Arial" w:eastAsia="Arial" w:hAnsi="Arial"/>
            <w:sz w:val="18"/>
            <w:szCs w:val="18"/>
            <w:u w:val="single" w:color="auto"/>
            <w:color w:val="0000EE"/>
          </w:rPr>
          <w:t>License Agreement between Medarex and Company dated</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September 17, 2010</w:t>
        </w:r>
      </w:hyperlink>
    </w:p>
    <w:p>
      <w:pPr>
        <w:spacing w:after="0" w:line="213" w:lineRule="exact"/>
        <w:rPr>
          <w:sz w:val="20"/>
          <w:szCs w:val="20"/>
          <w:color w:val="auto"/>
        </w:rPr>
      </w:pPr>
    </w:p>
    <w:p>
      <w:pPr>
        <w:ind w:left="1940" w:right="140" w:hanging="644"/>
        <w:spacing w:after="0" w:line="259"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72">
        <w:r>
          <w:rPr>
            <w:rFonts w:ascii="Arial" w:cs="Arial" w:eastAsia="Arial" w:hAnsi="Arial"/>
            <w:sz w:val="18"/>
            <w:szCs w:val="18"/>
            <w:u w:val="single" w:color="auto"/>
            <w:color w:val="0000EE"/>
          </w:rPr>
          <w:t>License and Option Agreement by and between MedImmune, LLC and</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the Company, dated July 24, 2013, as amended by the Amendment,</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dated October 27, 2015</w:t>
        </w:r>
      </w:hyperlink>
    </w:p>
    <w:p>
      <w:pPr>
        <w:spacing w:after="0" w:line="221" w:lineRule="exact"/>
        <w:rPr>
          <w:rFonts w:ascii="Arial" w:cs="Arial" w:eastAsia="Arial" w:hAnsi="Arial"/>
          <w:sz w:val="18"/>
          <w:szCs w:val="18"/>
          <w:u w:val="single" w:color="auto"/>
          <w:color w:val="0000EE"/>
        </w:rPr>
      </w:pPr>
    </w:p>
    <w:p>
      <w:pPr>
        <w:jc w:val="both"/>
        <w:ind w:left="1940" w:right="120" w:hanging="644"/>
        <w:spacing w:after="0" w:line="306" w:lineRule="auto"/>
        <w:tabs>
          <w:tab w:leader="none" w:pos="192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73">
        <w:r>
          <w:rPr>
            <w:rFonts w:ascii="Arial" w:cs="Arial" w:eastAsia="Arial" w:hAnsi="Arial"/>
            <w:sz w:val="16"/>
            <w:szCs w:val="16"/>
            <w:u w:val="single" w:color="auto"/>
            <w:color w:val="0000EE"/>
          </w:rPr>
          <w:t>Third Amended and Restated License Agreement by and between Yale</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University and the Company, dated March 14, 2013, as amended by the</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Amendments, dated March 21, 2014 and December 1, 2014</w:t>
        </w:r>
      </w:hyperlink>
    </w:p>
    <w:p>
      <w:pPr>
        <w:spacing w:after="0" w:line="188" w:lineRule="exact"/>
        <w:rPr>
          <w:rFonts w:ascii="Arial" w:cs="Arial" w:eastAsia="Arial" w:hAnsi="Arial"/>
          <w:sz w:val="16"/>
          <w:szCs w:val="16"/>
          <w:u w:val="single" w:color="auto"/>
          <w:color w:val="0000EE"/>
        </w:rPr>
      </w:pPr>
    </w:p>
    <w:p>
      <w:pPr>
        <w:ind w:left="1380" w:right="680" w:hanging="131"/>
        <w:spacing w:after="0" w:line="286" w:lineRule="auto"/>
        <w:rPr>
          <w:rFonts w:ascii="Arial" w:cs="Arial" w:eastAsia="Arial" w:hAnsi="Arial"/>
          <w:sz w:val="16"/>
          <w:szCs w:val="16"/>
          <w:color w:val="auto"/>
        </w:rPr>
      </w:pPr>
      <w:r>
        <w:rPr>
          <w:rFonts w:ascii="Arial" w:cs="Arial" w:eastAsia="Arial" w:hAnsi="Arial"/>
          <w:sz w:val="16"/>
          <w:szCs w:val="16"/>
          <w:i w:val="1"/>
          <w:iCs w:val="1"/>
          <w:color w:val="auto"/>
        </w:rPr>
        <w:t xml:space="preserve">Material Contracts—Stock Purchase, Financing and Credit Agreements </w:t>
      </w:r>
      <w:r>
        <w:rPr>
          <w:rFonts w:ascii="Arial" w:cs="Arial" w:eastAsia="Arial" w:hAnsi="Arial"/>
          <w:sz w:val="16"/>
          <w:szCs w:val="16"/>
          <w:color w:val="auto"/>
        </w:rPr>
        <w:t xml:space="preserve">10.21 </w:t>
      </w:r>
      <w:hyperlink r:id="rId174">
        <w:r>
          <w:rPr>
            <w:rFonts w:ascii="Arial" w:cs="Arial" w:eastAsia="Arial" w:hAnsi="Arial"/>
            <w:sz w:val="16"/>
            <w:szCs w:val="16"/>
            <w:u w:val="single" w:color="auto"/>
            <w:color w:val="0000EE"/>
          </w:rPr>
          <w:t>Sales Agreement, dated May 19, 2016, by and between Celldex</w:t>
        </w:r>
      </w:hyperlink>
    </w:p>
    <w:p>
      <w:pPr>
        <w:jc w:val="center"/>
        <w:ind w:left="100"/>
        <w:spacing w:after="0"/>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Therapeutics, Inc. and Cantor Fitzgerald &amp; Co.</w:t>
        </w:r>
      </w:hyperlink>
    </w:p>
    <w:p>
      <w:pPr>
        <w:spacing w:after="0" w:line="246" w:lineRule="exact"/>
        <w:rPr>
          <w:rFonts w:ascii="Arial" w:cs="Arial" w:eastAsia="Arial" w:hAnsi="Arial"/>
          <w:sz w:val="16"/>
          <w:szCs w:val="16"/>
          <w:u w:val="single" w:color="auto"/>
          <w:color w:val="0000EE"/>
        </w:rPr>
      </w:pPr>
    </w:p>
    <w:p>
      <w:pPr>
        <w:ind w:left="1280" w:right="680" w:hanging="43"/>
        <w:spacing w:after="0" w:line="332" w:lineRule="auto"/>
        <w:rPr>
          <w:rFonts w:ascii="Arial" w:cs="Arial" w:eastAsia="Arial" w:hAnsi="Arial"/>
          <w:sz w:val="16"/>
          <w:szCs w:val="16"/>
          <w:color w:val="auto"/>
        </w:rPr>
      </w:pPr>
      <w:r>
        <w:rPr>
          <w:rFonts w:ascii="Arial" w:cs="Arial" w:eastAsia="Arial" w:hAnsi="Arial"/>
          <w:sz w:val="16"/>
          <w:szCs w:val="16"/>
          <w:i w:val="1"/>
          <w:iCs w:val="1"/>
          <w:color w:val="auto"/>
        </w:rPr>
        <w:t xml:space="preserve">Material Contracts—Management Contracts and Compensatory Plans </w:t>
      </w:r>
      <w:r>
        <w:rPr>
          <w:rFonts w:ascii="Arial" w:cs="Arial" w:eastAsia="Arial" w:hAnsi="Arial"/>
          <w:sz w:val="16"/>
          <w:szCs w:val="16"/>
          <w:color w:val="auto"/>
        </w:rPr>
        <w:t xml:space="preserve">†10.22 </w:t>
      </w:r>
      <w:hyperlink r:id="rId175">
        <w:r>
          <w:rPr>
            <w:rFonts w:ascii="Arial" w:cs="Arial" w:eastAsia="Arial" w:hAnsi="Arial"/>
            <w:sz w:val="16"/>
            <w:szCs w:val="16"/>
            <w:u w:val="single" w:color="auto"/>
            <w:color w:val="0000EE"/>
          </w:rPr>
          <w:t>2008 Stock Option and Incentive Plan, as amended and restated</w:t>
        </w:r>
      </w:hyperlink>
    </w:p>
    <w:p>
      <w:pPr>
        <w:spacing w:after="0" w:line="382" w:lineRule="exact"/>
        <w:rPr>
          <w:rFonts w:ascii="Arial" w:cs="Arial" w:eastAsia="Arial" w:hAnsi="Arial"/>
          <w:sz w:val="16"/>
          <w:szCs w:val="16"/>
          <w:u w:val="single" w:color="auto"/>
          <w:color w:val="0000EE"/>
        </w:rPr>
      </w:pPr>
    </w:p>
    <w:p>
      <w:pPr>
        <w:ind w:left="1280"/>
        <w:spacing w:after="0"/>
        <w:tabs>
          <w:tab w:leader="none" w:pos="1920" w:val="left"/>
        </w:tabs>
        <w:rPr>
          <w:rFonts w:ascii="Arial" w:cs="Arial" w:eastAsia="Arial" w:hAnsi="Arial"/>
          <w:sz w:val="15"/>
          <w:szCs w:val="15"/>
          <w:u w:val="single" w:color="auto"/>
          <w:color w:val="0000EE"/>
        </w:rPr>
      </w:pPr>
      <w:r>
        <w:rPr>
          <w:rFonts w:ascii="Arial" w:cs="Arial" w:eastAsia="Arial" w:hAnsi="Arial"/>
          <w:sz w:val="18"/>
          <w:szCs w:val="18"/>
          <w:color w:val="auto"/>
        </w:rPr>
        <w:t>†10.23</w:t>
      </w:r>
      <w:r>
        <w:rPr>
          <w:sz w:val="20"/>
          <w:szCs w:val="20"/>
          <w:color w:val="auto"/>
        </w:rPr>
        <w:tab/>
      </w:r>
      <w:hyperlink r:id="rId176">
        <w:r>
          <w:rPr>
            <w:rFonts w:ascii="Arial" w:cs="Arial" w:eastAsia="Arial" w:hAnsi="Arial"/>
            <w:sz w:val="15"/>
            <w:szCs w:val="15"/>
            <w:u w:val="single" w:color="auto"/>
            <w:color w:val="0000EE"/>
          </w:rPr>
          <w:t>2004 Employee Stock Purchase Plan, as amended and restated</w:t>
        </w:r>
      </w:hyperlink>
    </w:p>
    <w:p>
      <w:pPr>
        <w:spacing w:after="0" w:line="200" w:lineRule="exact"/>
        <w:rPr>
          <w:rFonts w:ascii="Arial" w:cs="Arial" w:eastAsia="Arial" w:hAnsi="Arial"/>
          <w:sz w:val="16"/>
          <w:szCs w:val="16"/>
          <w:u w:val="single" w:color="auto"/>
          <w:color w:val="0000EE"/>
        </w:rPr>
      </w:pPr>
    </w:p>
    <w:p>
      <w:pPr>
        <w:spacing w:after="0" w:line="268" w:lineRule="exact"/>
        <w:rPr>
          <w:rFonts w:ascii="Arial" w:cs="Arial" w:eastAsia="Arial" w:hAnsi="Arial"/>
          <w:sz w:val="16"/>
          <w:szCs w:val="16"/>
          <w:u w:val="single" w:color="auto"/>
          <w:color w:val="0000EE"/>
        </w:rPr>
      </w:pPr>
    </w:p>
    <w:p>
      <w:pPr>
        <w:ind w:left="1940" w:right="120" w:hanging="659"/>
        <w:spacing w:after="0" w:line="259" w:lineRule="auto"/>
        <w:tabs>
          <w:tab w:leader="none" w:pos="192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77">
        <w:r>
          <w:rPr>
            <w:rFonts w:ascii="Arial" w:cs="Arial" w:eastAsia="Arial" w:hAnsi="Arial"/>
            <w:sz w:val="18"/>
            <w:szCs w:val="18"/>
            <w:u w:val="single" w:color="auto"/>
            <w:color w:val="0000EE"/>
          </w:rPr>
          <w:t>Amended and Restated Employment Agreement, dated as of January 1,</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2018, by and between Celldex Therapeutics, Inc. and Anthony S.</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Marucci</w:t>
        </w:r>
      </w:hyperlink>
    </w:p>
    <w:p>
      <w:pPr>
        <w:spacing w:after="0" w:line="221" w:lineRule="exact"/>
        <w:rPr>
          <w:rFonts w:ascii="Arial" w:cs="Arial" w:eastAsia="Arial" w:hAnsi="Arial"/>
          <w:sz w:val="18"/>
          <w:szCs w:val="18"/>
          <w:u w:val="single" w:color="auto"/>
          <w:color w:val="0000EE"/>
        </w:rPr>
      </w:pPr>
    </w:p>
    <w:p>
      <w:pPr>
        <w:ind w:left="1940" w:right="120" w:hanging="659"/>
        <w:spacing w:after="0" w:line="332" w:lineRule="auto"/>
        <w:tabs>
          <w:tab w:leader="none" w:pos="1920" w:val="left"/>
        </w:tabs>
        <w:rPr>
          <w:rFonts w:ascii="Arial" w:cs="Arial" w:eastAsia="Arial" w:hAnsi="Arial"/>
          <w:sz w:val="16"/>
          <w:szCs w:val="16"/>
          <w:u w:val="single" w:color="auto"/>
          <w:color w:val="0000EE"/>
        </w:rPr>
      </w:pPr>
      <w:r>
        <w:rPr>
          <w:rFonts w:ascii="Arial" w:cs="Arial" w:eastAsia="Arial" w:hAnsi="Arial"/>
          <w:sz w:val="16"/>
          <w:szCs w:val="16"/>
          <w:color w:val="auto"/>
        </w:rPr>
        <w:t>†10.25</w:t>
      </w:r>
      <w:r>
        <w:rPr>
          <w:sz w:val="20"/>
          <w:szCs w:val="20"/>
          <w:color w:val="auto"/>
        </w:rPr>
        <w:tab/>
      </w:r>
      <w:hyperlink r:id="rId178">
        <w:r>
          <w:rPr>
            <w:rFonts w:ascii="Arial" w:cs="Arial" w:eastAsia="Arial" w:hAnsi="Arial"/>
            <w:sz w:val="16"/>
            <w:szCs w:val="16"/>
            <w:u w:val="single" w:color="auto"/>
            <w:color w:val="0000EE"/>
          </w:rPr>
          <w:t>Amended and Restated Employment Agreement, dated as of January 1,</w:t>
        </w:r>
      </w:hyperlink>
      <w:r>
        <w:rPr>
          <w:rFonts w:ascii="Arial" w:cs="Arial" w:eastAsia="Arial" w:hAnsi="Arial"/>
          <w:sz w:val="16"/>
          <w:szCs w:val="16"/>
          <w:u w:val="single" w:color="auto"/>
          <w:color w:val="0000EE"/>
        </w:rPr>
        <w:t xml:space="preserve"> </w:t>
      </w:r>
      <w:hyperlink r:id="rId178">
        <w:r>
          <w:rPr>
            <w:rFonts w:ascii="Arial" w:cs="Arial" w:eastAsia="Arial" w:hAnsi="Arial"/>
            <w:sz w:val="16"/>
            <w:szCs w:val="16"/>
            <w:u w:val="single" w:color="auto"/>
            <w:color w:val="0000EE"/>
          </w:rPr>
          <w:t>2018, by and between Celldex Therapeutics, Inc. and Sam Martin</w:t>
        </w:r>
      </w:hyperlink>
    </w:p>
    <w:p>
      <w:pPr>
        <w:spacing w:after="0" w:line="166" w:lineRule="exact"/>
        <w:rPr>
          <w:sz w:val="20"/>
          <w:szCs w:val="20"/>
          <w:color w:val="auto"/>
        </w:rPr>
      </w:pPr>
    </w:p>
    <w:p>
      <w:pPr>
        <w:ind w:left="1940" w:right="20" w:hanging="659"/>
        <w:spacing w:after="0" w:line="332" w:lineRule="auto"/>
        <w:tabs>
          <w:tab w:leader="none" w:pos="1920" w:val="left"/>
        </w:tabs>
        <w:rPr>
          <w:rFonts w:ascii="Arial" w:cs="Arial" w:eastAsia="Arial" w:hAnsi="Arial"/>
          <w:sz w:val="16"/>
          <w:szCs w:val="16"/>
          <w:u w:val="single" w:color="auto"/>
          <w:color w:val="0000EE"/>
        </w:rPr>
      </w:pPr>
      <w:r>
        <w:rPr>
          <w:rFonts w:ascii="Arial" w:cs="Arial" w:eastAsia="Arial" w:hAnsi="Arial"/>
          <w:sz w:val="16"/>
          <w:szCs w:val="16"/>
          <w:color w:val="auto"/>
        </w:rPr>
        <w:t>†10.26</w:t>
      </w:r>
      <w:r>
        <w:rPr>
          <w:sz w:val="20"/>
          <w:szCs w:val="20"/>
          <w:color w:val="auto"/>
        </w:rPr>
        <w:tab/>
      </w:r>
      <w:hyperlink r:id="rId179">
        <w:r>
          <w:rPr>
            <w:rFonts w:ascii="Arial" w:cs="Arial" w:eastAsia="Arial" w:hAnsi="Arial"/>
            <w:sz w:val="16"/>
            <w:szCs w:val="16"/>
            <w:u w:val="single" w:color="auto"/>
            <w:color w:val="0000EE"/>
          </w:rPr>
          <w:t>Amended and Restated Employment Agreement, dated as of January 1,</w:t>
        </w:r>
      </w:hyperlink>
      <w:r>
        <w:rPr>
          <w:rFonts w:ascii="Arial" w:cs="Arial" w:eastAsia="Arial" w:hAnsi="Arial"/>
          <w:sz w:val="16"/>
          <w:szCs w:val="16"/>
          <w:u w:val="single" w:color="auto"/>
          <w:color w:val="0000EE"/>
        </w:rPr>
        <w:t xml:space="preserve"> </w:t>
      </w:r>
      <w:hyperlink r:id="rId179">
        <w:r>
          <w:rPr>
            <w:rFonts w:ascii="Arial" w:cs="Arial" w:eastAsia="Arial" w:hAnsi="Arial"/>
            <w:sz w:val="16"/>
            <w:szCs w:val="16"/>
            <w:u w:val="single" w:color="auto"/>
            <w:color w:val="0000EE"/>
          </w:rPr>
          <w:t>2018, by and between Celldex Therapeutics, Inc. and Tibor Keler, Ph.D.</w:t>
        </w:r>
      </w:hyperlink>
    </w:p>
    <w:p>
      <w:pPr>
        <w:spacing w:after="0" w:line="1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89"/>
              </w:rPr>
              <w:t>10-Q</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5/03/13</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8/10/15</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8"/>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3/7/18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3/7/18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85"/>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5/19/16</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3/7/18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3/7/18</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222"/>
        </w:trPr>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080" w:space="180"/>
            <w:col w:w="3020"/>
          </w:cols>
          <w:pgMar w:left="240" w:top="131" w:right="13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0" w:type="dxa"/>
            <w:vAlign w:val="bottom"/>
            <w:gridSpan w:val="15"/>
          </w:tcPr>
          <w:p>
            <w:pPr>
              <w:ind w:left="32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169"/>
        </w:trPr>
        <w:tc>
          <w:tcPr>
            <w:tcW w:w="6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†10.27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tcBorders>
              <w:top w:val="single" w:sz="8" w:color="auto"/>
            </w:tcBorders>
            <w:gridSpan w:val="19"/>
          </w:tcPr>
          <w:p>
            <w:pPr>
              <w:spacing w:after="0" w:line="170"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Amended and Restated Employment Agreement, dated as of January 1,</w:t>
              </w:r>
            </w:hyperlink>
          </w:p>
        </w:tc>
        <w:tc>
          <w:tcPr>
            <w:tcW w:w="160" w:type="dxa"/>
            <w:vAlign w:val="bottom"/>
          </w:tcPr>
          <w:p>
            <w:pPr>
              <w:spacing w:after="0"/>
              <w:rPr>
                <w:sz w:val="14"/>
                <w:szCs w:val="14"/>
                <w:color w:val="auto"/>
              </w:rPr>
            </w:pPr>
          </w:p>
        </w:tc>
        <w:tc>
          <w:tcPr>
            <w:tcW w:w="14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60" w:type="dxa"/>
            <w:vAlign w:val="bottom"/>
          </w:tcPr>
          <w:p>
            <w:pPr>
              <w:spacing w:after="0"/>
              <w:rPr>
                <w:sz w:val="14"/>
                <w:szCs w:val="14"/>
                <w:color w:val="auto"/>
              </w:rPr>
            </w:pPr>
          </w:p>
        </w:tc>
        <w:tc>
          <w:tcPr>
            <w:tcW w:w="5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5"/>
              </w:rPr>
              <w:t>10.4</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12/29/17</w:t>
            </w: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top w:val="single" w:sz="8" w:color="0000EE"/>
            </w:tcBorders>
            <w:gridSpan w:val="16"/>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2018, by and between Celldex Therapeutics, Inc. and Ronald Pepin,</w:t>
              </w:r>
            </w:hyperlink>
          </w:p>
        </w:tc>
        <w:tc>
          <w:tcPr>
            <w:tcW w:w="320" w:type="dxa"/>
            <w:vAlign w:val="bottom"/>
            <w:gridSpan w:val="5"/>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181">
              <w:r>
                <w:rPr>
                  <w:rFonts w:ascii="Arial" w:cs="Arial" w:eastAsia="Arial" w:hAnsi="Arial"/>
                  <w:sz w:val="18"/>
                  <w:szCs w:val="18"/>
                  <w:color w:val="0000EE"/>
                  <w:w w:val="84"/>
                </w:rPr>
                <w:t>Ph.D.</w:t>
              </w:r>
            </w:hyperlink>
          </w:p>
        </w:tc>
        <w:tc>
          <w:tcPr>
            <w:tcW w:w="4360" w:type="dxa"/>
            <w:vAlign w:val="bottom"/>
            <w:tcBorders>
              <w:top w:val="single" w:sz="8" w:color="0000EE"/>
            </w:tcBorders>
            <w:gridSpan w:val="10"/>
          </w:tcPr>
          <w:p>
            <w:pPr>
              <w:spacing w:after="0"/>
              <w:rPr>
                <w:sz w:val="17"/>
                <w:szCs w:val="17"/>
                <w:color w:val="auto"/>
              </w:rPr>
            </w:pPr>
          </w:p>
        </w:tc>
        <w:tc>
          <w:tcPr>
            <w:tcW w:w="560" w:type="dxa"/>
            <w:vAlign w:val="bottom"/>
            <w:gridSpan w:val="9"/>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39"/>
        </w:trPr>
        <w:tc>
          <w:tcPr>
            <w:tcW w:w="620" w:type="dxa"/>
            <w:vAlign w:val="bottom"/>
          </w:tcPr>
          <w:p>
            <w:pPr>
              <w:jc w:val="right"/>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24"/>
                <w:szCs w:val="24"/>
                <w:color w:val="auto"/>
              </w:rPr>
            </w:pPr>
          </w:p>
        </w:tc>
        <w:tc>
          <w:tcPr>
            <w:tcW w:w="5020" w:type="dxa"/>
            <w:vAlign w:val="bottom"/>
            <w:tcBorders>
              <w:bottom w:val="single" w:sz="8" w:color="0000EE"/>
            </w:tcBorders>
            <w:gridSpan w:val="17"/>
          </w:tcPr>
          <w:p>
            <w:pPr>
              <w:spacing w:after="0"/>
              <w:rPr>
                <w:rFonts w:ascii="Arial" w:cs="Arial" w:eastAsia="Arial" w:hAnsi="Arial"/>
                <w:sz w:val="18"/>
                <w:szCs w:val="18"/>
                <w:color w:val="0000EE"/>
                <w:w w:val="86"/>
              </w:rPr>
            </w:pPr>
            <w:hyperlink r:id="rId182">
              <w:r>
                <w:rPr>
                  <w:rFonts w:ascii="Arial" w:cs="Arial" w:eastAsia="Arial" w:hAnsi="Arial"/>
                  <w:sz w:val="18"/>
                  <w:szCs w:val="18"/>
                  <w:color w:val="0000EE"/>
                  <w:w w:val="86"/>
                </w:rPr>
                <w:t>Amended and Restated Employment Agreement, dated as of January 1,</w:t>
              </w:r>
            </w:hyperlink>
          </w:p>
        </w:tc>
        <w:tc>
          <w:tcPr>
            <w:tcW w:w="300" w:type="dxa"/>
            <w:vAlign w:val="bottom"/>
            <w:gridSpan w:val="4"/>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gridSpan w:val="21"/>
          </w:tcPr>
          <w:p>
            <w:pPr>
              <w:spacing w:after="0" w:line="196"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2018, by and between Celldex Therapeutics, Inc. and Sarah Cavanaugh</w:t>
              </w:r>
            </w:hyperlink>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39"/>
        </w:trPr>
        <w:tc>
          <w:tcPr>
            <w:tcW w:w="620" w:type="dxa"/>
            <w:vAlign w:val="bottom"/>
          </w:tcPr>
          <w:p>
            <w:pPr>
              <w:jc w:val="right"/>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24"/>
                <w:szCs w:val="24"/>
                <w:color w:val="auto"/>
              </w:rPr>
            </w:pPr>
          </w:p>
        </w:tc>
        <w:tc>
          <w:tcPr>
            <w:tcW w:w="5040" w:type="dxa"/>
            <w:vAlign w:val="bottom"/>
            <w:tcBorders>
              <w:top w:val="single" w:sz="8" w:color="0000EE"/>
            </w:tcBorders>
            <w:gridSpan w:val="18"/>
          </w:tcPr>
          <w:p>
            <w:pPr>
              <w:spacing w:after="0"/>
              <w:rPr>
                <w:rFonts w:ascii="Arial" w:cs="Arial" w:eastAsia="Arial" w:hAnsi="Arial"/>
                <w:sz w:val="18"/>
                <w:szCs w:val="18"/>
                <w:color w:val="0000EE"/>
                <w:w w:val="87"/>
              </w:rPr>
            </w:pPr>
            <w:hyperlink r:id="rId183">
              <w:r>
                <w:rPr>
                  <w:rFonts w:ascii="Arial" w:cs="Arial" w:eastAsia="Arial" w:hAnsi="Arial"/>
                  <w:sz w:val="18"/>
                  <w:szCs w:val="18"/>
                  <w:color w:val="0000EE"/>
                  <w:w w:val="87"/>
                </w:rPr>
                <w:t>Amended and Restated Employment Agreement, dated as of January 1,</w:t>
              </w:r>
            </w:hyperlink>
          </w:p>
        </w:tc>
        <w:tc>
          <w:tcPr>
            <w:tcW w:w="280" w:type="dxa"/>
            <w:vAlign w:val="bottom"/>
            <w:gridSpan w:val="3"/>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10.6</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2018, by and between Celldex Therapeutics, Inc. and Margo Heath-</w:t>
              </w:r>
            </w:hyperlink>
          </w:p>
        </w:tc>
        <w:tc>
          <w:tcPr>
            <w:tcW w:w="320" w:type="dxa"/>
            <w:vAlign w:val="bottom"/>
            <w:gridSpan w:val="5"/>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Chiozzi, M.D.</w:t>
              </w:r>
            </w:hyperlink>
          </w:p>
        </w:tc>
        <w:tc>
          <w:tcPr>
            <w:tcW w:w="3800" w:type="dxa"/>
            <w:vAlign w:val="bottom"/>
            <w:tcBorders>
              <w:top w:val="single" w:sz="8" w:color="0000EE"/>
            </w:tcBorders>
            <w:gridSpan w:val="10"/>
          </w:tcPr>
          <w:p>
            <w:pPr>
              <w:spacing w:after="0"/>
              <w:rPr>
                <w:sz w:val="17"/>
                <w:szCs w:val="17"/>
                <w:color w:val="auto"/>
              </w:rPr>
            </w:pPr>
          </w:p>
        </w:tc>
        <w:tc>
          <w:tcPr>
            <w:tcW w:w="520" w:type="dxa"/>
            <w:vAlign w:val="bottom"/>
            <w:gridSpan w:val="8"/>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39"/>
        </w:trPr>
        <w:tc>
          <w:tcPr>
            <w:tcW w:w="620" w:type="dxa"/>
            <w:vAlign w:val="bottom"/>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24"/>
                <w:szCs w:val="24"/>
                <w:color w:val="auto"/>
              </w:rPr>
            </w:pPr>
          </w:p>
        </w:tc>
        <w:tc>
          <w:tcPr>
            <w:tcW w:w="5020" w:type="dxa"/>
            <w:vAlign w:val="bottom"/>
            <w:tcBorders>
              <w:bottom w:val="single" w:sz="8" w:color="0000EE"/>
            </w:tcBorders>
            <w:gridSpan w:val="17"/>
          </w:tcPr>
          <w:p>
            <w:pPr>
              <w:spacing w:after="0"/>
              <w:rPr>
                <w:rFonts w:ascii="Arial" w:cs="Arial" w:eastAsia="Arial" w:hAnsi="Arial"/>
                <w:sz w:val="18"/>
                <w:szCs w:val="18"/>
                <w:color w:val="0000EE"/>
                <w:w w:val="86"/>
              </w:rPr>
            </w:pPr>
            <w:hyperlink r:id="rId184">
              <w:r>
                <w:rPr>
                  <w:rFonts w:ascii="Arial" w:cs="Arial" w:eastAsia="Arial" w:hAnsi="Arial"/>
                  <w:sz w:val="18"/>
                  <w:szCs w:val="18"/>
                  <w:color w:val="0000EE"/>
                  <w:w w:val="86"/>
                </w:rPr>
                <w:t>Amended and Restated Employment Agreement, dated as of January 1,</w:t>
              </w:r>
            </w:hyperlink>
          </w:p>
        </w:tc>
        <w:tc>
          <w:tcPr>
            <w:tcW w:w="300" w:type="dxa"/>
            <w:vAlign w:val="bottom"/>
            <w:gridSpan w:val="4"/>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gridSpan w:val="21"/>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2018, by and between Celldex Therapeutics, Inc. and Elizabeth Crowley</w:t>
              </w:r>
            </w:hyperlink>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39"/>
        </w:trPr>
        <w:tc>
          <w:tcPr>
            <w:tcW w:w="620" w:type="dxa"/>
            <w:vAlign w:val="bottom"/>
          </w:tcPr>
          <w:p>
            <w:pPr>
              <w:jc w:val="right"/>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24"/>
                <w:szCs w:val="24"/>
                <w:color w:val="auto"/>
              </w:rPr>
            </w:pPr>
          </w:p>
        </w:tc>
        <w:tc>
          <w:tcPr>
            <w:tcW w:w="5120" w:type="dxa"/>
            <w:vAlign w:val="bottom"/>
            <w:tcBorders>
              <w:top w:val="single" w:sz="8" w:color="0000EE"/>
            </w:tcBorders>
            <w:gridSpan w:val="19"/>
          </w:tcPr>
          <w:p>
            <w:pPr>
              <w:spacing w:after="0"/>
              <w:rPr>
                <w:rFonts w:ascii="Arial" w:cs="Arial" w:eastAsia="Arial" w:hAnsi="Arial"/>
                <w:sz w:val="18"/>
                <w:szCs w:val="18"/>
                <w:color w:val="0000EE"/>
                <w:w w:val="88"/>
              </w:rPr>
            </w:pPr>
            <w:hyperlink r:id="rId185">
              <w:r>
                <w:rPr>
                  <w:rFonts w:ascii="Arial" w:cs="Arial" w:eastAsia="Arial" w:hAnsi="Arial"/>
                  <w:sz w:val="18"/>
                  <w:szCs w:val="18"/>
                  <w:color w:val="0000EE"/>
                  <w:w w:val="88"/>
                </w:rPr>
                <w:t>Amended and Restated Employment Agreement, dated as of January 1,</w:t>
              </w:r>
            </w:hyperlink>
          </w:p>
        </w:tc>
        <w:tc>
          <w:tcPr>
            <w:tcW w:w="200" w:type="dxa"/>
            <w:vAlign w:val="bottom"/>
            <w:gridSpan w:val="2"/>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12/29/17</w:t>
            </w: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top w:val="single" w:sz="8" w:color="0000EE"/>
            </w:tcBorders>
            <w:gridSpan w:val="16"/>
          </w:tcPr>
          <w:p>
            <w:pPr>
              <w:spacing w:after="0" w:line="196"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2018, by and between Celldex Therapeutics, Inc. and Richard Wright,</w:t>
              </w:r>
            </w:hyperlink>
          </w:p>
        </w:tc>
        <w:tc>
          <w:tcPr>
            <w:tcW w:w="320" w:type="dxa"/>
            <w:vAlign w:val="bottom"/>
            <w:gridSpan w:val="5"/>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185">
              <w:r>
                <w:rPr>
                  <w:rFonts w:ascii="Arial" w:cs="Arial" w:eastAsia="Arial" w:hAnsi="Arial"/>
                  <w:sz w:val="18"/>
                  <w:szCs w:val="18"/>
                  <w:color w:val="0000EE"/>
                  <w:w w:val="84"/>
                </w:rPr>
                <w:t>Ph.D.</w:t>
              </w:r>
            </w:hyperlink>
          </w:p>
        </w:tc>
        <w:tc>
          <w:tcPr>
            <w:tcW w:w="4540" w:type="dxa"/>
            <w:vAlign w:val="bottom"/>
            <w:tcBorders>
              <w:top w:val="single" w:sz="8" w:color="0000EE"/>
            </w:tcBorders>
            <w:gridSpan w:val="13"/>
          </w:tcPr>
          <w:p>
            <w:pPr>
              <w:spacing w:after="0"/>
              <w:rPr>
                <w:sz w:val="17"/>
                <w:szCs w:val="17"/>
                <w:color w:val="auto"/>
              </w:rPr>
            </w:pPr>
          </w:p>
        </w:tc>
        <w:tc>
          <w:tcPr>
            <w:tcW w:w="380" w:type="dxa"/>
            <w:vAlign w:val="bottom"/>
            <w:gridSpan w:val="6"/>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39"/>
        </w:trPr>
        <w:tc>
          <w:tcPr>
            <w:tcW w:w="620" w:type="dxa"/>
            <w:vAlign w:val="bottom"/>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24"/>
                <w:szCs w:val="24"/>
                <w:color w:val="auto"/>
              </w:rPr>
            </w:pPr>
          </w:p>
        </w:tc>
        <w:tc>
          <w:tcPr>
            <w:tcW w:w="5320" w:type="dxa"/>
            <w:vAlign w:val="bottom"/>
            <w:gridSpan w:val="21"/>
          </w:tcPr>
          <w:p>
            <w:pPr>
              <w:spacing w:after="0"/>
              <w:rPr>
                <w:rFonts w:ascii="Arial" w:cs="Arial" w:eastAsia="Arial" w:hAnsi="Arial"/>
                <w:sz w:val="18"/>
                <w:szCs w:val="18"/>
                <w:color w:val="0000EE"/>
              </w:rPr>
            </w:pPr>
            <w:hyperlink r:id="rId186">
              <w:r>
                <w:rPr>
                  <w:rFonts w:ascii="Arial" w:cs="Arial" w:eastAsia="Arial" w:hAnsi="Arial"/>
                  <w:sz w:val="18"/>
                  <w:szCs w:val="18"/>
                  <w:color w:val="0000EE"/>
                </w:rPr>
                <w:t>Form of Stock Option Agreement</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8/08/18</w:t>
            </w:r>
          </w:p>
        </w:tc>
      </w:tr>
      <w:tr>
        <w:trPr>
          <w:trHeight w:val="235"/>
        </w:trPr>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1"/>
        </w:trPr>
        <w:tc>
          <w:tcPr>
            <w:tcW w:w="620" w:type="dxa"/>
            <w:vAlign w:val="bottom"/>
          </w:tcPr>
          <w:p>
            <w:pPr>
              <w:jc w:val="right"/>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24"/>
                <w:szCs w:val="24"/>
                <w:color w:val="auto"/>
              </w:rPr>
            </w:pPr>
          </w:p>
        </w:tc>
        <w:tc>
          <w:tcPr>
            <w:tcW w:w="5320" w:type="dxa"/>
            <w:vAlign w:val="bottom"/>
            <w:gridSpan w:val="21"/>
          </w:tcPr>
          <w:p>
            <w:pPr>
              <w:spacing w:after="0"/>
              <w:rPr>
                <w:rFonts w:ascii="Arial" w:cs="Arial" w:eastAsia="Arial" w:hAnsi="Arial"/>
                <w:sz w:val="18"/>
                <w:szCs w:val="18"/>
                <w:color w:val="0000EE"/>
              </w:rPr>
            </w:pPr>
            <w:hyperlink r:id="rId187">
              <w:r>
                <w:rPr>
                  <w:rFonts w:ascii="Arial" w:cs="Arial" w:eastAsia="Arial" w:hAnsi="Arial"/>
                  <w:sz w:val="18"/>
                  <w:szCs w:val="18"/>
                  <w:color w:val="0000EE"/>
                </w:rPr>
                <w:t>Form of Restricted Stock Award</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35"/>
        </w:trPr>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1"/>
        </w:trPr>
        <w:tc>
          <w:tcPr>
            <w:tcW w:w="62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21">
              <w:r>
                <w:rPr>
                  <w:rFonts w:ascii="Arial" w:cs="Arial" w:eastAsia="Arial" w:hAnsi="Arial"/>
                  <w:sz w:val="18"/>
                  <w:szCs w:val="18"/>
                  <w:color w:val="0000EE"/>
                  <w:w w:val="88"/>
                </w:rPr>
                <w:t>Subsidiaries of Celldex Therapeutics, Inc.</w:t>
              </w:r>
            </w:hyperlink>
          </w:p>
        </w:tc>
        <w:tc>
          <w:tcPr>
            <w:tcW w:w="2380" w:type="dxa"/>
            <w:vAlign w:val="bottom"/>
            <w:gridSpan w:val="12"/>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9"/>
        </w:trPr>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5320" w:type="dxa"/>
            <w:vAlign w:val="bottom"/>
            <w:gridSpan w:val="21"/>
          </w:tcPr>
          <w:p>
            <w:pPr>
              <w:spacing w:after="0"/>
              <w:rPr>
                <w:rFonts w:ascii="Arial" w:cs="Arial" w:eastAsia="Arial" w:hAnsi="Arial"/>
                <w:sz w:val="18"/>
                <w:szCs w:val="18"/>
                <w:color w:val="0000EE"/>
                <w:w w:val="94"/>
              </w:rPr>
            </w:pPr>
            <w:hyperlink w:anchor="page123">
              <w:r>
                <w:rPr>
                  <w:rFonts w:ascii="Arial" w:cs="Arial" w:eastAsia="Arial" w:hAnsi="Arial"/>
                  <w:sz w:val="18"/>
                  <w:szCs w:val="18"/>
                  <w:color w:val="0000EE"/>
                  <w:w w:val="94"/>
                </w:rPr>
                <w:t>Consent of PricewaterhouseCoopers LLP, an Independent Registered</w:t>
              </w:r>
            </w:hyperlink>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Public Accounting Firm</w:t>
              </w:r>
            </w:hyperlink>
          </w:p>
        </w:tc>
        <w:tc>
          <w:tcPr>
            <w:tcW w:w="480" w:type="dxa"/>
            <w:vAlign w:val="bottom"/>
            <w:gridSpan w:val="7"/>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39"/>
        </w:trPr>
        <w:tc>
          <w:tcPr>
            <w:tcW w:w="62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38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Certification of President and Chief Executive Officer</w:t>
              </w:r>
            </w:hyperlink>
          </w:p>
        </w:tc>
        <w:tc>
          <w:tcPr>
            <w:tcW w:w="1520" w:type="dxa"/>
            <w:vAlign w:val="bottom"/>
            <w:gridSpan w:val="11"/>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9"/>
        </w:trPr>
        <w:tc>
          <w:tcPr>
            <w:tcW w:w="62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46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Certification of Senior Vice President and Chief Financial Officer</w:t>
              </w:r>
            </w:hyperlink>
          </w:p>
        </w:tc>
        <w:tc>
          <w:tcPr>
            <w:tcW w:w="700" w:type="dxa"/>
            <w:vAlign w:val="bottom"/>
            <w:gridSpan w:val="10"/>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39"/>
        </w:trPr>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9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29">
              <w:r>
                <w:rPr>
                  <w:rFonts w:ascii="Arial" w:cs="Arial" w:eastAsia="Arial" w:hAnsi="Arial"/>
                  <w:sz w:val="18"/>
                  <w:szCs w:val="18"/>
                  <w:color w:val="0000EE"/>
                  <w:w w:val="88"/>
                </w:rPr>
                <w:t>Section 1350 Certifications</w:t>
              </w:r>
            </w:hyperlink>
          </w:p>
        </w:tc>
        <w:tc>
          <w:tcPr>
            <w:tcW w:w="3400" w:type="dxa"/>
            <w:vAlign w:val="bottom"/>
            <w:gridSpan w:val="15"/>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Furnished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78"/>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532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532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532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532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532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532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0"/>
        </w:trPr>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of this Exhibit pursuant to Rule 24b-2 promulgated under the Securities Exchange Act of 1934, as amended.</w:t>
      </w:r>
    </w:p>
    <w:p>
      <w:pPr>
        <w:spacing w:after="0" w:line="213" w:lineRule="exact"/>
        <w:rPr>
          <w:sz w:val="20"/>
          <w:szCs w:val="20"/>
          <w:color w:val="auto"/>
        </w:rPr>
      </w:pPr>
    </w:p>
    <w:p>
      <w:pPr>
        <w:ind w:left="1680" w:hanging="531"/>
        <w:spacing w:after="0"/>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contract or arrangement.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60"/>
          </w:cols>
          <w:pgMar w:left="240" w:top="131" w:right="399" w:bottom="1440" w:gutter="0" w:footer="0" w:header="0"/>
        </w:sect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CELLDEX THERAPEUTICS, INC.</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040" w:type="dxa"/>
            <w:vAlign w:val="bottom"/>
          </w:tcPr>
          <w:p>
            <w:pPr>
              <w:ind w:left="4660"/>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0" w:type="dxa"/>
            <w:vAlign w:val="bottom"/>
          </w:tcPr>
          <w:p>
            <w:pPr>
              <w:spacing w:after="0"/>
              <w:rPr>
                <w:sz w:val="1"/>
                <w:szCs w:val="1"/>
                <w:color w:val="auto"/>
              </w:rPr>
            </w:pPr>
          </w:p>
        </w:tc>
      </w:tr>
      <w:tr>
        <w:trPr>
          <w:trHeight w:val="218"/>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5040" w:type="dxa"/>
            <w:vAlign w:val="bottom"/>
            <w:vMerge w:val="continue"/>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Anthony S. Marucci</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March 7, 2019</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p>
      <w:pPr>
        <w:ind w:left="2340"/>
        <w:spacing w:after="0"/>
        <w:tabs>
          <w:tab w:leader="none" w:pos="6440" w:val="left"/>
          <w:tab w:leader="none" w:pos="95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260"/>
          </w:cols>
          <w:pgMar w:left="240" w:top="131" w:right="39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left="1560"/>
        <w:spacing w:after="0"/>
        <w:rPr>
          <w:sz w:val="20"/>
          <w:szCs w:val="20"/>
          <w:color w:val="auto"/>
        </w:rPr>
      </w:pPr>
      <w:r>
        <w:rPr>
          <w:rFonts w:ascii="Arial" w:cs="Arial" w:eastAsia="Arial" w:hAnsi="Arial"/>
          <w:sz w:val="16"/>
          <w:szCs w:val="16"/>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18865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Anthony S. Marucci</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18865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Sam Martin</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LARRY ELLBERGER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18865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Larry Ellberger</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KEITH L. BROWNLIE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18865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Keith L. Brownlie</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6"/>
          <w:szCs w:val="16"/>
          <w:color w:val="auto"/>
        </w:rPr>
        <w:t>/s/ HERBERT J. CONRAD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18865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1"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Herbert J. Conrad</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JAMES J.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18865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James J. Marino</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6"/>
          <w:szCs w:val="16"/>
          <w:color w:val="auto"/>
        </w:rPr>
        <w:t>/s/ HARRY H. PENNER,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18865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1"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Harry H. Penner, Jr.</w:t>
      </w:r>
    </w:p>
    <w:p>
      <w:pPr>
        <w:spacing w:after="0" w:line="252"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/s/ KAREN L. SHOOS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18865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Karen L. Shoos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200" w:lineRule="exact"/>
        <w:rPr>
          <w:sz w:val="20"/>
          <w:szCs w:val="20"/>
          <w:color w:val="auto"/>
        </w:rPr>
      </w:pPr>
    </w:p>
    <w:p>
      <w:pPr>
        <w:spacing w:after="0" w:line="20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Senior Vice President, Chief Financial Officer and Treasurer (Principal Financial and Accounting Officer)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Director,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March 7, 2019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7, 2019</w:t>
      </w:r>
    </w:p>
    <w:p>
      <w:pPr>
        <w:sectPr>
          <w:pgSz w:w="11900" w:h="16838" w:orient="portrait"/>
          <w:cols w:equalWidth="0" w:num="3">
            <w:col w:w="3680" w:space="580"/>
            <w:col w:w="4240" w:space="660"/>
            <w:col w:w="2100"/>
          </w:cols>
          <w:pgMar w:left="240" w:top="131" w:right="399" w:bottom="1440" w:gutter="0" w:footer="0" w:header="0"/>
          <w:type w:val="continuous"/>
        </w:sectPr>
      </w:pPr>
    </w:p>
    <w:bookmarkStart w:id="119" w:name="page120"/>
    <w:bookmarkEnd w:id="1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spacing w:after="0"/>
        <w:rPr>
          <w:rFonts w:ascii="Arial" w:cs="Arial" w:eastAsia="Arial" w:hAnsi="Arial"/>
          <w:sz w:val="22"/>
          <w:szCs w:val="22"/>
          <w:color w:val="0000EE"/>
        </w:rPr>
      </w:pPr>
      <w:hyperlink w:anchor="page1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CELLDEX THERAPEUTICS, INC.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160" w:type="dxa"/>
            <w:vAlign w:val="bottom"/>
          </w:tcPr>
          <w:p>
            <w:pPr>
              <w:spacing w:after="0"/>
              <w:rPr>
                <w:sz w:val="14"/>
                <w:szCs w:val="14"/>
                <w:color w:val="auto"/>
              </w:rPr>
            </w:pPr>
          </w:p>
        </w:tc>
        <w:tc>
          <w:tcPr>
            <w:tcW w:w="2660" w:type="dxa"/>
            <w:vAlign w:val="bottom"/>
            <w:gridSpan w:val="3"/>
          </w:tcPr>
          <w:p>
            <w:pPr>
              <w:ind w:left="8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160" w:type="dxa"/>
            <w:vAlign w:val="bottom"/>
          </w:tcPr>
          <w:p>
            <w:pPr>
              <w:spacing w:after="0"/>
              <w:rPr>
                <w:sz w:val="14"/>
                <w:szCs w:val="14"/>
                <w:color w:val="auto"/>
              </w:rPr>
            </w:pPr>
          </w:p>
        </w:tc>
        <w:tc>
          <w:tcPr>
            <w:tcW w:w="2660" w:type="dxa"/>
            <w:vAlign w:val="bottom"/>
            <w:gridSpan w:val="3"/>
          </w:tcPr>
          <w:p>
            <w:pPr>
              <w:ind w:left="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Celldex Australia PTY LTD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Australia</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Celldex Therapeutics Switzerland GmbH</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Switzerland</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7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1">
        <w:r>
          <w:rPr>
            <w:rFonts w:ascii="Arial" w:cs="Arial" w:eastAsia="Arial" w:hAnsi="Arial"/>
            <w:sz w:val="16"/>
            <w:szCs w:val="16"/>
            <w:u w:val="single" w:color="auto"/>
            <w:color w:val="0000EE"/>
          </w:rPr>
          <w:t>SUBSIDIARIES OF CELLDEX THERAPEUTICS, INC.</w:t>
        </w:r>
      </w:hyperlink>
    </w:p>
    <w:p>
      <w:pPr>
        <w:sectPr>
          <w:pgSz w:w="11900" w:h="16838" w:orient="portrait"/>
          <w:cols w:equalWidth="0" w:num="1">
            <w:col w:w="10219"/>
          </w:cols>
          <w:pgMar w:left="240" w:top="820" w:right="1440" w:bottom="1440" w:gutter="0" w:footer="0" w:header="0"/>
        </w:sectPr>
      </w:pPr>
    </w:p>
    <w:bookmarkStart w:id="122" w:name="page123"/>
    <w:bookmarkEnd w:id="122"/>
    <w:p>
      <w:pPr>
        <w:spacing w:after="0"/>
        <w:rPr>
          <w:rFonts w:ascii="Arial" w:cs="Arial" w:eastAsia="Arial" w:hAnsi="Arial"/>
          <w:sz w:val="22"/>
          <w:szCs w:val="22"/>
          <w:color w:val="0000EE"/>
        </w:rPr>
      </w:pPr>
      <w:hyperlink w:anchor="page12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333-219867, 333-219869, 333-205694, 333-189336, 333-151728 and 333-117602) and on Form S-3 (Nos. 333-214882 and 333-215747) of Celldex Therapeutics, Inc. of our report dated March 7, 2019 relating to the financial statements and the effectiveness of internal control over financial reporting, which appears in this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3">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24" w:name="page125"/>
    <w:bookmarkEnd w:id="124"/>
    <w:p>
      <w:pPr>
        <w:spacing w:after="0"/>
        <w:rPr>
          <w:rFonts w:ascii="Arial" w:cs="Arial" w:eastAsia="Arial" w:hAnsi="Arial"/>
          <w:sz w:val="22"/>
          <w:szCs w:val="22"/>
          <w:color w:val="0000EE"/>
        </w:rPr>
      </w:pPr>
      <w:hyperlink w:anchor="page12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61"/>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ind w:left="1140"/>
              <w:spacing w:after="0"/>
              <w:rPr>
                <w:sz w:val="20"/>
                <w:szCs w:val="20"/>
                <w:color w:val="auto"/>
              </w:rPr>
            </w:pPr>
            <w:r>
              <w:rPr>
                <w:rFonts w:ascii="Arial" w:cs="Arial" w:eastAsia="Arial" w:hAnsi="Arial"/>
                <w:sz w:val="18"/>
                <w:szCs w:val="18"/>
                <w:color w:val="auto"/>
              </w:rPr>
              <w:t>Date: March 7, 2019</w:t>
            </w:r>
          </w:p>
        </w:tc>
        <w:tc>
          <w:tcPr>
            <w:tcW w:w="7320" w:type="dxa"/>
            <w:vAlign w:val="bottom"/>
            <w:gridSpan w:val="4"/>
          </w:tcPr>
          <w:p>
            <w:pPr>
              <w:ind w:left="1500"/>
              <w:spacing w:after="0"/>
              <w:rPr>
                <w:sz w:val="20"/>
                <w:szCs w:val="20"/>
                <w:color w:val="auto"/>
              </w:rPr>
            </w:pPr>
            <w:r>
              <w:rPr>
                <w:rFonts w:ascii="Arial" w:cs="Arial" w:eastAsia="Arial" w:hAnsi="Arial"/>
                <w:sz w:val="18"/>
                <w:szCs w:val="18"/>
                <w:color w:val="auto"/>
              </w:rPr>
              <w:t>By   /s/ ANTHONY S. MARUCCI</w:t>
            </w:r>
          </w:p>
        </w:tc>
      </w:tr>
      <w:tr>
        <w:trPr>
          <w:trHeight w:val="97"/>
        </w:trPr>
        <w:tc>
          <w:tcPr>
            <w:tcW w:w="4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4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Anthony S. Marucci</w:t>
            </w:r>
          </w:p>
        </w:tc>
      </w:tr>
      <w:tr>
        <w:trPr>
          <w:trHeight w:val="222"/>
        </w:trPr>
        <w:tc>
          <w:tcPr>
            <w:tcW w:w="4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120"/>
        </w:trPr>
        <w:tc>
          <w:tcPr>
            <w:tcW w:w="41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25">
        <w:r>
          <w:rPr>
            <w:rFonts w:ascii="Arial" w:cs="Arial" w:eastAsia="Arial" w:hAnsi="Arial"/>
            <w:sz w:val="16"/>
            <w:szCs w:val="16"/>
            <w:u w:val="single" w:color="auto"/>
            <w:color w:val="0000EE"/>
          </w:rPr>
          <w:t>Exhibit 31.1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26" w:name="page127"/>
    <w:bookmarkEnd w:id="126"/>
    <w:p>
      <w:pPr>
        <w:spacing w:after="0"/>
        <w:rPr>
          <w:rFonts w:ascii="Arial" w:cs="Arial" w:eastAsia="Arial" w:hAnsi="Arial"/>
          <w:sz w:val="22"/>
          <w:szCs w:val="22"/>
          <w:color w:val="0000EE"/>
        </w:rPr>
      </w:pPr>
      <w:hyperlink w:anchor="page12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61"/>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480" w:firstLine="359"/>
        <w:spacing w:after="0" w:line="370" w:lineRule="auto"/>
        <w:tabs>
          <w:tab w:leader="none" w:pos="702"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40" w:firstLine="359"/>
        <w:spacing w:after="0" w:line="332" w:lineRule="auto"/>
        <w:tabs>
          <w:tab w:leader="none" w:pos="70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20" w:firstLine="359"/>
        <w:spacing w:after="0" w:line="259" w:lineRule="auto"/>
        <w:tabs>
          <w:tab w:leader="none" w:pos="12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80" w:firstLine="359"/>
        <w:spacing w:after="0" w:line="259" w:lineRule="auto"/>
        <w:tabs>
          <w:tab w:leader="none" w:pos="12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20" w:firstLine="359"/>
        <w:spacing w:after="0" w:line="332" w:lineRule="auto"/>
        <w:tabs>
          <w:tab w:leader="none" w:pos="1218"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40" w:firstLine="359"/>
        <w:spacing w:after="0" w:line="259" w:lineRule="auto"/>
        <w:tabs>
          <w:tab w:leader="none" w:pos="12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380" w:firstLine="359"/>
        <w:spacing w:after="0" w:line="332" w:lineRule="auto"/>
        <w:tabs>
          <w:tab w:leader="none" w:pos="69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20" w:firstLine="359"/>
        <w:spacing w:after="0" w:line="268" w:lineRule="auto"/>
        <w:tabs>
          <w:tab w:leader="none" w:pos="12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5580" w:val="left"/>
          <w:tab w:leader="none" w:pos="6040" w:val="left"/>
        </w:tabs>
        <w:rPr>
          <w:sz w:val="20"/>
          <w:szCs w:val="20"/>
          <w:color w:val="auto"/>
        </w:rPr>
      </w:pPr>
      <w:r>
        <w:rPr>
          <w:rFonts w:ascii="Arial" w:cs="Arial" w:eastAsia="Arial" w:hAnsi="Arial"/>
          <w:sz w:val="18"/>
          <w:szCs w:val="18"/>
          <w:color w:val="auto"/>
        </w:rPr>
        <w:t>Date: March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71120</wp:posOffset>
            </wp:positionV>
            <wp:extent cx="26930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Sam Martin</w:t>
      </w:r>
    </w:p>
    <w:p>
      <w:pPr>
        <w:spacing w:after="0" w:line="15" w:lineRule="exact"/>
        <w:rPr>
          <w:sz w:val="20"/>
          <w:szCs w:val="20"/>
          <w:color w:val="auto"/>
        </w:rPr>
      </w:pPr>
    </w:p>
    <w:p>
      <w:pPr>
        <w:ind w:left="60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Senior Vice President and Chief Financial</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27">
        <w:r>
          <w:rPr>
            <w:rFonts w:ascii="Arial" w:cs="Arial" w:eastAsia="Arial" w:hAnsi="Arial"/>
            <w:sz w:val="16"/>
            <w:szCs w:val="16"/>
            <w:u w:val="single" w:color="auto"/>
            <w:color w:val="0000EE"/>
          </w:rPr>
          <w:t>Exhibit 31.2</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28" w:name="page129"/>
    <w:bookmarkEnd w:id="128"/>
    <w:p>
      <w:pPr>
        <w:spacing w:after="0"/>
        <w:rPr>
          <w:rFonts w:ascii="Arial" w:cs="Arial" w:eastAsia="Arial" w:hAnsi="Arial"/>
          <w:sz w:val="22"/>
          <w:szCs w:val="22"/>
          <w:color w:val="0000EE"/>
        </w:rPr>
      </w:pPr>
      <w:hyperlink w:anchor="page13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2018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Date: March 7, 2019</w:t>
            </w:r>
          </w:p>
        </w:tc>
        <w:tc>
          <w:tcPr>
            <w:tcW w:w="1960" w:type="dxa"/>
            <w:vAlign w:val="bottom"/>
          </w:tcPr>
          <w:p>
            <w:pPr>
              <w:ind w:left="150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spacing w:after="0"/>
              <w:rPr>
                <w:sz w:val="20"/>
                <w:szCs w:val="20"/>
                <w:color w:val="auto"/>
              </w:rPr>
            </w:pPr>
            <w:r>
              <w:rPr>
                <w:rFonts w:ascii="Arial" w:cs="Arial" w:eastAsia="Arial" w:hAnsi="Arial"/>
                <w:sz w:val="18"/>
                <w:szCs w:val="18"/>
                <w:color w:val="auto"/>
              </w:rPr>
              <w:t>/s/ ANTHONY S. MARUCCI</w:t>
            </w:r>
          </w:p>
        </w:tc>
      </w:tr>
      <w:tr>
        <w:trPr>
          <w:trHeight w:val="97"/>
        </w:trPr>
        <w:tc>
          <w:tcPr>
            <w:tcW w:w="2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82"/>
        </w:trPr>
        <w:tc>
          <w:tcPr>
            <w:tcW w:w="2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Anthony S. Marucci</w:t>
            </w:r>
          </w:p>
        </w:tc>
      </w:tr>
      <w:tr>
        <w:trPr>
          <w:trHeight w:val="222"/>
        </w:trPr>
        <w:tc>
          <w:tcPr>
            <w:tcW w:w="29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59"/>
        </w:trPr>
        <w:tc>
          <w:tcPr>
            <w:tcW w:w="2960" w:type="dxa"/>
            <w:vAlign w:val="bottom"/>
          </w:tcPr>
          <w:p>
            <w:pPr>
              <w:spacing w:after="0"/>
              <w:rPr>
                <w:sz w:val="20"/>
                <w:szCs w:val="20"/>
                <w:color w:val="auto"/>
              </w:rPr>
            </w:pPr>
            <w:r>
              <w:rPr>
                <w:rFonts w:ascii="Arial" w:cs="Arial" w:eastAsia="Arial" w:hAnsi="Arial"/>
                <w:sz w:val="18"/>
                <w:szCs w:val="18"/>
                <w:color w:val="auto"/>
              </w:rPr>
              <w:t>Date: March 7, 2019</w:t>
            </w:r>
          </w:p>
        </w:tc>
        <w:tc>
          <w:tcPr>
            <w:tcW w:w="1960" w:type="dxa"/>
            <w:vAlign w:val="bottom"/>
          </w:tcPr>
          <w:p>
            <w:pPr>
              <w:ind w:left="150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spacing w:after="0"/>
              <w:rPr>
                <w:sz w:val="20"/>
                <w:szCs w:val="20"/>
                <w:color w:val="auto"/>
              </w:rPr>
            </w:pPr>
            <w:r>
              <w:rPr>
                <w:rFonts w:ascii="Arial" w:cs="Arial" w:eastAsia="Arial" w:hAnsi="Arial"/>
                <w:sz w:val="18"/>
                <w:szCs w:val="18"/>
                <w:color w:val="auto"/>
              </w:rPr>
              <w:t>/s/ SAM MARTIN</w:t>
            </w:r>
          </w:p>
        </w:tc>
      </w:tr>
      <w:tr>
        <w:trPr>
          <w:trHeight w:val="97"/>
        </w:trPr>
        <w:tc>
          <w:tcPr>
            <w:tcW w:w="2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82"/>
        </w:trPr>
        <w:tc>
          <w:tcPr>
            <w:tcW w:w="2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Sam Martin</w:t>
            </w:r>
          </w:p>
        </w:tc>
      </w:tr>
      <w:tr>
        <w:trPr>
          <w:trHeight w:val="216"/>
        </w:trPr>
        <w:tc>
          <w:tcPr>
            <w:tcW w:w="2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Senior Vice President and Chief Financial</w:t>
            </w:r>
          </w:p>
        </w:tc>
      </w:tr>
      <w:tr>
        <w:trPr>
          <w:trHeight w:val="222"/>
        </w:trPr>
        <w:tc>
          <w:tcPr>
            <w:tcW w:w="29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Officer</w:t>
            </w:r>
          </w:p>
        </w:tc>
      </w:tr>
    </w:tbl>
    <w:p>
      <w:pPr>
        <w:spacing w:after="0" w:line="21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Exhibit 32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CERTIFICATION OF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129">
        <w:r>
          <w:rPr>
            <w:rFonts w:ascii="Arial" w:cs="Arial" w:eastAsia="Arial" w:hAnsi="Arial"/>
            <w:sz w:val="18"/>
            <w:szCs w:val="18"/>
            <w:u w:val="single" w:color="auto"/>
            <w:color w:val="0000EE"/>
          </w:rPr>
          <w:t>PURSUANT TO SECTION 906 OF THE SARBANES-OXLEY ACT OF 2002</w:t>
        </w:r>
      </w:hyperlink>
    </w:p>
    <w:sectPr>
      <w:pgSz w:w="11900" w:h="16838" w:orient="portrait"/>
      <w:cols w:equalWidth="0" w:num="1">
        <w:col w:w="10980"/>
      </w:cols>
      <w:pgMar w:left="240" w:top="82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lowerRoman"/>
      <w:start w:val="4"/>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4"/>
    </w:lvl>
  </w:abstractNum>
  <w:abstractNum w:abstractNumId="36">
    <w:nsid w:val="153EA438"/>
    <w:multiLevelType w:val="hybridMultilevel"/>
    <w:lvl w:ilvl="0">
      <w:lvlJc w:val="left"/>
      <w:lvlText w:val="(%1)"/>
      <w:numFmt w:val="decimal"/>
      <w:start w:val="14"/>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upp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2"/>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80"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140" Type="http://schemas.openxmlformats.org/officeDocument/2006/relationships/hyperlink" Target="http://www.sec.gov/Archives/edgar/data/744218/000110465916153723/a16-20866_1ex2d1.htm" TargetMode="External"/><Relationship Id="rId141" Type="http://schemas.openxmlformats.org/officeDocument/2006/relationships/hyperlink" Target="http://www.sec.gov/Archives/edgar/data/744218/0001029869-98-000936-index.html" TargetMode="External"/><Relationship Id="rId142" Type="http://schemas.openxmlformats.org/officeDocument/2006/relationships/hyperlink" Target="http://www.sec.gov/Archives/edgar/data/744218/000110465902001892/j3484_ex3d1.htm" TargetMode="External"/><Relationship Id="rId143" Type="http://schemas.openxmlformats.org/officeDocument/2006/relationships/hyperlink" Target="http://www.sec.gov/Archives/edgar/data/744218/000110465908016816/a08-7923_1ex3d1.htm" TargetMode="External"/><Relationship Id="rId144" Type="http://schemas.openxmlformats.org/officeDocument/2006/relationships/hyperlink" Target="http://www.sec.gov/Archives/edgar/data/744218/000110465908016816/a08-7923_1ex3d2.htm" TargetMode="External"/><Relationship Id="rId145" Type="http://schemas.openxmlformats.org/officeDocument/2006/relationships/hyperlink" Target="http://www.sec.gov/Archives/edgar/data/744218/000110465908069812/a08-25757_1ex3d7.htm" TargetMode="External"/><Relationship Id="rId146" Type="http://schemas.openxmlformats.org/officeDocument/2006/relationships/hyperlink" Target="http://www.sec.gov/Archives/edgar/data/744218/000110465914026295/a14-10147_1ex3d1.htm" TargetMode="External"/><Relationship Id="rId147" Type="http://schemas.openxmlformats.org/officeDocument/2006/relationships/hyperlink" Target="http://www.sec.gov/Archives/edgar/data/744218/000110465919006667/a19-4170_1ex3d1.htm" TargetMode="External"/><Relationship Id="rId148" Type="http://schemas.openxmlformats.org/officeDocument/2006/relationships/hyperlink" Target="http://www.sec.gov/Archives/edgar/data/744218/000110465919006667/a19-4170_1ex4d1.htm" TargetMode="External"/><Relationship Id="rId151" Type="http://schemas.openxmlformats.org/officeDocument/2006/relationships/hyperlink" Target="http://www.sec.gov/Archives/edgar/data/744218/000104746904033435/a2146123zex-3_1.htm" TargetMode="External"/><Relationship Id="rId152" Type="http://schemas.openxmlformats.org/officeDocument/2006/relationships/hyperlink" Target="http://www.sec.gov/Archives/edgar/data/744218/0000950135-96-003793-index.html" TargetMode="External"/><Relationship Id="rId153" Type="http://schemas.openxmlformats.org/officeDocument/2006/relationships/hyperlink" Target="http://www.sec.gov/Archives/edgar/data/744218/000091205702011869/a2073956zex-10_9.txt" TargetMode="External"/><Relationship Id="rId154" Type="http://schemas.openxmlformats.org/officeDocument/2006/relationships/hyperlink" Target="http://www.sec.gov/Archives/edgar/data/744218/000110465906017401/a06-2616_1ex10d40.htm" TargetMode="External"/><Relationship Id="rId155" Type="http://schemas.openxmlformats.org/officeDocument/2006/relationships/hyperlink" Target="http://www.sec.gov/Archives/edgar/data/744218/000104746916010396/a2226904zex-10_4.htm" TargetMode="External"/><Relationship Id="rId156" Type="http://schemas.openxmlformats.org/officeDocument/2006/relationships/hyperlink" Target="http://www.sec.gov/Archives/edgar/data/744218/000110465904012065/a04-5109_1ex10d1.htm" TargetMode="External"/><Relationship Id="rId157" Type="http://schemas.openxmlformats.org/officeDocument/2006/relationships/hyperlink" Target="http://www.sec.gov/Archives/edgar/data/744218/000110465910064201/a10-22053_1ex10d6.htm" TargetMode="External"/><Relationship Id="rId158" Type="http://schemas.openxmlformats.org/officeDocument/2006/relationships/hyperlink" Target="http://www.sec.gov/Archives/edgar/data/744218/000110465906017401/a06-2616_1ex10d41.htm" TargetMode="External"/><Relationship Id="rId159" Type="http://schemas.openxmlformats.org/officeDocument/2006/relationships/hyperlink" Target="http://www.sec.gov/Archives/edgar/data/744218/000110465910064201/a10-22053_1ex10d7.htm" TargetMode="External"/><Relationship Id="rId160" Type="http://schemas.openxmlformats.org/officeDocument/2006/relationships/hyperlink" Target="http://www.sec.gov/Archives/edgar/data/744218/000110465910064201/a10-22053_1ex10d8.htm" TargetMode="External"/><Relationship Id="rId161" Type="http://schemas.openxmlformats.org/officeDocument/2006/relationships/hyperlink" Target="http://www.sec.gov/Archives/edgar/data/744218/000110465910064201/a10-22053_1ex10d9.htm" TargetMode="External"/><Relationship Id="rId162" Type="http://schemas.openxmlformats.org/officeDocument/2006/relationships/hyperlink" Target="http://www.sec.gov/Archives/edgar/data/744218/000110465910042274/a10-12851_1ex10d1.htm" TargetMode="External"/><Relationship Id="rId163" Type="http://schemas.openxmlformats.org/officeDocument/2006/relationships/hyperlink" Target="http://www.sec.gov/Archives/edgar/data/744218/000104746916010396/a2226904zex-10_12.htm" TargetMode="External"/><Relationship Id="rId166" Type="http://schemas.openxmlformats.org/officeDocument/2006/relationships/hyperlink" Target="http://www.sec.gov/Archives/edgar/data/744218/000110465913036833/a13-8304_1ex10d1.htm" TargetMode="External"/><Relationship Id="rId167" Type="http://schemas.openxmlformats.org/officeDocument/2006/relationships/hyperlink" Target="http://www.sec.gov/Archives/edgar/data/744218/000110465915058233/a15-12408_1ex10d2.htm" TargetMode="External"/><Relationship Id="rId168" Type="http://schemas.openxmlformats.org/officeDocument/2006/relationships/hyperlink" Target="http://www.sec.gov/Archives/edgar/data/744218/000104746908000402/a2182073zex-10_5.htm" TargetMode="External"/><Relationship Id="rId169" Type="http://schemas.openxmlformats.org/officeDocument/2006/relationships/hyperlink" Target="http://www.sec.gov/Archives/edgar/data/744218/000104746909002264/a2190889zex-10_47.htm" TargetMode="External"/><Relationship Id="rId170" Type="http://schemas.openxmlformats.org/officeDocument/2006/relationships/hyperlink" Target="http://www.sec.gov/Archives/edgar/data/744218/000110465910064201/a10-22053_1ex10d1.htm" TargetMode="External"/><Relationship Id="rId171" Type="http://schemas.openxmlformats.org/officeDocument/2006/relationships/hyperlink" Target="http://www.sec.gov/Archives/edgar/data/744218/000110465910064202/a10-22104_1ex10d3.htm" TargetMode="External"/><Relationship Id="rId172" Type="http://schemas.openxmlformats.org/officeDocument/2006/relationships/hyperlink" Target="http://www.sec.gov/Archives/edgar/data/744218/000104746918001363/a2234429zex-10_24.htm" TargetMode="External"/><Relationship Id="rId173" Type="http://schemas.openxmlformats.org/officeDocument/2006/relationships/hyperlink" Target="http://www.sec.gov/Archives/edgar/data/744218/000104746918001363/a2234429zex-10_25.htm" TargetMode="External"/><Relationship Id="rId174" Type="http://schemas.openxmlformats.org/officeDocument/2006/relationships/hyperlink" Target="http://www.sec.gov/Archives/edgar/data/744218/000110465916122085/a16-11792_1ex1d1.htm" TargetMode="External"/><Relationship Id="rId175" Type="http://schemas.openxmlformats.org/officeDocument/2006/relationships/hyperlink" Target="http://www.sec.gov/Archives/edgar/data/744218/000104746918001363/a2234429zex-10_27.htm" TargetMode="External"/><Relationship Id="rId176" Type="http://schemas.openxmlformats.org/officeDocument/2006/relationships/hyperlink" Target="http://www.sec.gov/Archives/edgar/data/744218/000104746918001363/a2234429zex-10_28.htm" TargetMode="External"/><Relationship Id="rId177" Type="http://schemas.openxmlformats.org/officeDocument/2006/relationships/hyperlink" Target="http://www.sec.gov/Archives/edgar/data/744218/000110465917075519/a17-28883_1ex10d1.htm" TargetMode="External"/><Relationship Id="rId178" Type="http://schemas.openxmlformats.org/officeDocument/2006/relationships/hyperlink" Target="http://www.sec.gov/Archives/edgar/data/744218/000110465917075519/a17-28883_1ex10d2.htm" TargetMode="External"/><Relationship Id="rId179" Type="http://schemas.openxmlformats.org/officeDocument/2006/relationships/hyperlink" Target="http://www.sec.gov/Archives/edgar/data/744218/000110465917075519/a17-28883_1ex10d3.htm" TargetMode="External"/><Relationship Id="rId181" Type="http://schemas.openxmlformats.org/officeDocument/2006/relationships/hyperlink" Target="http://www.sec.gov/Archives/edgar/data/744218/000110465917075519/a17-28883_1ex10d4.htm" TargetMode="External"/><Relationship Id="rId182" Type="http://schemas.openxmlformats.org/officeDocument/2006/relationships/hyperlink" Target="http://www.sec.gov/Archives/edgar/data/744218/000110465917075519/a17-28883_1ex10d5.htm" TargetMode="External"/><Relationship Id="rId183" Type="http://schemas.openxmlformats.org/officeDocument/2006/relationships/hyperlink" Target="http://www.sec.gov/Archives/edgar/data/744218/000110465917075519/a17-28883_1ex10d6.htm" TargetMode="External"/><Relationship Id="rId184" Type="http://schemas.openxmlformats.org/officeDocument/2006/relationships/hyperlink" Target="http://www.sec.gov/Archives/edgar/data/744218/000110465917075519/a17-28883_1ex10d7.htm" TargetMode="External"/><Relationship Id="rId185" Type="http://schemas.openxmlformats.org/officeDocument/2006/relationships/hyperlink" Target="http://www.sec.gov/Archives/edgar/data/744218/000110465917075519/a17-28883_1ex10d8.htm" TargetMode="External"/><Relationship Id="rId186" Type="http://schemas.openxmlformats.org/officeDocument/2006/relationships/hyperlink" Target="http://www.sec.gov/Archives/edgar/data/744218/000110465918050496/a18-14097_1ex10d1.htm" TargetMode="External"/><Relationship Id="rId187" Type="http://schemas.openxmlformats.org/officeDocument/2006/relationships/hyperlink" Target="http://www.sec.gov/Archives/edgar/data/744218/000104746910002142/a2196680zex-10_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2019-12-28T15:00:12Z</dcterms:created>
  <dcterms:modified xsi:type="dcterms:W3CDTF">2019-12-28T15:00:12Z</dcterms:modified>
</cp:coreProperties>
</file>