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80"/>
          </w:cols>
          <w:pgMar w:left="240" w:top="233"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3"/>
              </w:rPr>
              <w:t>Accelerated filer x</w:t>
            </w: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2018, 162,442,332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ectPr>
          <w:pgSz w:w="11900" w:h="16838" w:orient="portrait"/>
          <w:cols w:equalWidth="0" w:num="1">
            <w:col w:w="11400"/>
          </w:cols>
          <w:pgMar w:left="240" w:top="233" w:right="2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10"/>
            <w:vMerge w:val="restart"/>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 Financial Information</w:t>
              </w:r>
            </w:hyperlink>
          </w:p>
        </w:tc>
        <w:tc>
          <w:tcPr>
            <w:tcW w:w="8080" w:type="dxa"/>
            <w:vAlign w:val="bottom"/>
            <w:gridSpan w:val="9"/>
            <w:vMerge w:val="restart"/>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0"/>
            <w:vMerge w:val="continue"/>
          </w:tcPr>
          <w:p>
            <w:pPr>
              <w:spacing w:after="0"/>
              <w:rPr>
                <w:sz w:val="13"/>
                <w:szCs w:val="13"/>
                <w:color w:val="auto"/>
              </w:rPr>
            </w:pPr>
          </w:p>
        </w:tc>
        <w:tc>
          <w:tcPr>
            <w:tcW w:w="8080" w:type="dxa"/>
            <w:vAlign w:val="bottom"/>
            <w:gridSpan w:val="9"/>
            <w:vMerge w:val="continue"/>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2018 and December 31, 2017</w:t>
              </w:r>
            </w:hyperlink>
          </w:p>
        </w:tc>
        <w:tc>
          <w:tcPr>
            <w:tcW w:w="4220" w:type="dxa"/>
            <w:vAlign w:val="bottom"/>
            <w:gridSpan w:val="4"/>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and Six Months Ended June 30, 2018</w:t>
              </w:r>
            </w:hyperlink>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and 2017</w:t>
              </w:r>
            </w:hyperlink>
          </w:p>
        </w:tc>
        <w:tc>
          <w:tcPr>
            <w:tcW w:w="9480" w:type="dxa"/>
            <w:vAlign w:val="bottom"/>
            <w:gridSpan w:val="14"/>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Six Months Ended June 30, 2018 and 2017</w:t>
              </w:r>
            </w:hyperlink>
          </w:p>
        </w:tc>
        <w:tc>
          <w:tcPr>
            <w:tcW w:w="2760" w:type="dxa"/>
            <w:vAlign w:val="bottom"/>
            <w:gridSpan w:val="2"/>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5360" w:type="dxa"/>
            <w:vAlign w:val="bottom"/>
            <w:gridSpan w:val="5"/>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Item 2.</w:t>
              </w:r>
            </w:hyperlink>
          </w:p>
        </w:tc>
        <w:tc>
          <w:tcPr>
            <w:tcW w:w="9800" w:type="dxa"/>
            <w:vAlign w:val="bottom"/>
            <w:gridSpan w:val="16"/>
          </w:tcPr>
          <w:p>
            <w:pPr>
              <w:ind w:left="20"/>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6480" w:type="dxa"/>
            <w:vAlign w:val="bottom"/>
            <w:tcBorders>
              <w:top w:val="single" w:sz="8" w:color="0000EE"/>
            </w:tcBorders>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320" w:type="dxa"/>
            <w:vAlign w:val="bottom"/>
            <w:gridSpan w:val="3"/>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420" w:type="dxa"/>
            <w:vAlign w:val="bottom"/>
            <w:gridSpan w:val="6"/>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0520" w:type="dxa"/>
            <w:vAlign w:val="bottom"/>
            <w:gridSpan w:val="19"/>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280" w:type="dxa"/>
            <w:vAlign w:val="bottom"/>
            <w:gridSpan w:val="10"/>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9800" w:type="dxa"/>
            <w:vAlign w:val="bottom"/>
            <w:gridSpan w:val="16"/>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20" w:type="dxa"/>
            <w:vAlign w:val="bottom"/>
            <w:gridSpan w:val="1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Exhibit Index</w:t>
              </w:r>
            </w:hyperlink>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Signatures</w:t>
              </w:r>
            </w:hyperlink>
          </w:p>
        </w:tc>
        <w:tc>
          <w:tcPr>
            <w:tcW w:w="9460" w:type="dxa"/>
            <w:vAlign w:val="bottom"/>
            <w:gridSpan w:val="13"/>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80" w:type="dxa"/>
            <w:vAlign w:val="bottom"/>
            <w:gridSpan w:val="11"/>
          </w:tcPr>
          <w:p>
            <w:pPr>
              <w:jc w:val="right"/>
              <w:ind w:right="54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40,288</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70,115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99,139</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r>
      <w:tr>
        <w:trPr>
          <w:trHeight w:val="210"/>
        </w:trPr>
        <w:tc>
          <w:tcPr>
            <w:tcW w:w="7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r>
      <w:tr>
        <w:trPr>
          <w:trHeight w:val="25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178,377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Borders>
              <w:bottom w:val="single" w:sz="8" w:color="CCEEFF"/>
            </w:tcBorders>
          </w:tcPr>
          <w:p>
            <w:pPr>
              <w:spacing w:after="0"/>
              <w:rPr>
                <w:sz w:val="21"/>
                <w:szCs w:val="21"/>
                <w:color w:val="auto"/>
              </w:rPr>
            </w:pPr>
          </w:p>
        </w:tc>
      </w:tr>
      <w:tr>
        <w:trPr>
          <w:trHeight w:val="170"/>
        </w:trPr>
        <w:tc>
          <w:tcPr>
            <w:tcW w:w="75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19,455</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6,566</w:t>
            </w:r>
          </w:p>
        </w:tc>
      </w:tr>
      <w:tr>
        <w:trPr>
          <w:trHeight w:val="21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tcBorders>
              <w:bottom w:val="single" w:sz="8" w:color="CCEEFF"/>
            </w:tcBorders>
          </w:tcPr>
          <w:p>
            <w:pPr>
              <w:spacing w:after="0"/>
              <w:rPr>
                <w:sz w:val="18"/>
                <w:szCs w:val="18"/>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79,255</w:t>
            </w:r>
          </w:p>
        </w:tc>
        <w:tc>
          <w:tcPr>
            <w:tcW w:w="100" w:type="dxa"/>
            <w:vAlign w:val="bottom"/>
            <w:tcBorders>
              <w:bottom w:val="single" w:sz="8" w:color="CCEEFF"/>
            </w:tcBorders>
          </w:tcPr>
          <w:p>
            <w:pPr>
              <w:spacing w:after="0"/>
              <w:rPr>
                <w:sz w:val="18"/>
                <w:szCs w:val="18"/>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Contingent Liabilities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Convertible Preferred Stock, $.01 Par Value; 3,000,000 Shares Authorized; No Shares Issued and</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June 30, 2018 and December 31, 2017</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2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297,000,000 Shares Authorized; 156,645,863 and 138,520,404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Shares Issued and Outstanding at June 30, 2018 and December 31, 2017, Respectively</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1,071,092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1,046,183</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2,564</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(945,792)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(812,517)</w:t>
            </w:r>
          </w:p>
        </w:tc>
      </w:tr>
      <w:tr>
        <w:trPr>
          <w:trHeight w:val="20"/>
        </w:trPr>
        <w:tc>
          <w:tcPr>
            <w:tcW w:w="7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56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128,047</w:t>
            </w: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236,369</w:t>
            </w:r>
          </w:p>
        </w:tc>
      </w:tr>
      <w:tr>
        <w:trPr>
          <w:trHeight w:val="210"/>
        </w:trPr>
        <w:tc>
          <w:tcPr>
            <w:tcW w:w="7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178,377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June 30, 2018</w:t>
            </w:r>
          </w:p>
        </w:tc>
        <w:tc>
          <w:tcPr>
            <w:tcW w:w="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694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2,662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11,215</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18,677</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(Gain)/Loss on Fair Value Remeasurement of Contingent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Consideration</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(21,033)</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(136,548)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in Calculating Basic and Diluted Net Loss Per</w:t>
            </w:r>
          </w:p>
        </w:tc>
        <w:tc>
          <w:tcPr>
            <w:tcW w:w="22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147,428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125,202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144,007</w:t>
            </w: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(16,407)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(28,566)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(134,538)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(62,791</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2017</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(134,538)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(62,827)</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or Disposal of Assets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90,976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 Impairment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(Gain)/Loss on Fair Value Remeasurement of Contingent Consideration</w:t>
            </w:r>
          </w:p>
        </w:tc>
        <w:tc>
          <w:tcPr>
            <w:tcW w:w="10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(21,033)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4,400</w:t>
            </w: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Income Tax Benefit</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Accounts and Other Receivables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106,182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19,960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Stock from Employee Benefit Plans</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40,288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3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66,162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construction in progress</w:t>
            </w:r>
          </w:p>
        </w:tc>
        <w:tc>
          <w:tcPr>
            <w:tcW w:w="18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Non-cash Supplemental Disclosure</w:t>
            </w: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18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6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balances and transactions have been eliminated in consolidation.</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2017, which are included in the Company’s Annual Report on Form 10-K filed with the Securities and Exchange Commission on March 7, 2018.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2018.</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At June 30, 2018, the Company had cash, cash equivalents and marketable securities of $114.0 million. The Company has had recurring losses and incurred a loss of $134.5 million for the six months ended June 30, 2018. Net cash used in operations for the six months ended June 30, 2018 was $45.4 million. The Company believes that the cash, cash equivalents and marketable securities at August 8, 2018 will be sufficient to meet estimated working capital requirements and fund planned operations for at least the next twelve months from the date of issuance of these financial statements.</w:t>
      </w:r>
    </w:p>
    <w:p>
      <w:pPr>
        <w:spacing w:after="0" w:line="15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w:t>
      </w:r>
    </w:p>
    <w:p>
      <w:pPr>
        <w:sectPr>
          <w:pgSz w:w="11900" w:h="16838" w:orient="portrait"/>
          <w:cols w:equalWidth="0" w:num="1">
            <w:col w:w="11420"/>
          </w:cols>
          <w:pgMar w:left="240" w:top="140" w:right="239" w:bottom="0" w:gutter="0" w:footer="0" w:header="0"/>
        </w:sectPr>
      </w:pPr>
    </w:p>
    <w:bookmarkStart w:id="4" w:name="page5"/>
    <w:bookmarkEnd w:id="4"/>
    <w:p>
      <w:pPr>
        <w:ind w:right="680"/>
        <w:spacing w:after="0" w:line="277" w:lineRule="auto"/>
        <w:rPr>
          <w:sz w:val="20"/>
          <w:szCs w:val="20"/>
          <w:color w:val="auto"/>
        </w:rPr>
      </w:pPr>
      <w:r>
        <w:rPr>
          <w:rFonts w:ascii="Arial" w:cs="Arial" w:eastAsia="Arial" w:hAnsi="Arial"/>
          <w:sz w:val="18"/>
          <w:szCs w:val="18"/>
          <w:color w:val="auto"/>
        </w:rPr>
        <w:t>discontinue or delay ongoing or anticipated clinical trials, license out programs earlier than expected, raise funds at a significant discount or on other unfavorable terms, if at all, or sell all or a part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40" w:firstLine="630"/>
        <w:spacing w:after="0" w:line="31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and six months ended June 30, 2018 are consistent with those discussed in Note 2 to the financial statements in our Annual Report on Form 10-K for the year ended December 31, 2017, except as it relates to the adoption of new accounting standards during the first six months of 2018 as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January 1, 2018, the Company adopted the new U.S. GAAP standard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a modified retrospective application method, recognizing an immaterial cumulative-effect adjustment to accumulated deficit. The Company applied the new guidance to (i) contracts not completed as of the date of adoption and (ii) all new revenue contracts entered into after January 1, 2018. Refer to Note 11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additional details on this adoption and the Company’s updated revenue accounting policy and disclosures.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 xml:space="preserve">On January 1, 2018, the Company adopted a U.S. GAAP standard update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classification of certain cash receipts and payments in the statement of cash flows. The adoption of this new standard did not impact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This new standard will be effective for the Company on January 1, 2019. The Company is currently evaluating the potential impact that this standard may have on the Company’s consolidated financial statements.</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June 2018, the FASB issued guidance that aligns the accounting for share-based payment awards issued to employees and nonemployees. Under the new guidance, the existing employee guidance will apply to nonemployee share-based transactions. The new guidance is effective for the Company on January 1, 2019. The Company is currently evaluating the potential impact that this standard may have on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2018</w:t>
            </w: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3"/>
          </w:tcPr>
          <w:p>
            <w:pPr>
              <w:ind w:left="10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28,986</w:t>
            </w:r>
          </w:p>
        </w:tc>
        <w:tc>
          <w:tcPr>
            <w:tcW w:w="280" w:type="dxa"/>
            <w:vAlign w:val="bottom"/>
          </w:tcPr>
          <w:p>
            <w:pPr>
              <w:spacing w:after="0"/>
              <w:rPr>
                <w:sz w:val="18"/>
                <w:szCs w:val="18"/>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99,101</w:t>
            </w:r>
          </w:p>
        </w:tc>
        <w:tc>
          <w:tcPr>
            <w:tcW w:w="28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99,101</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22,367</w:t>
            </w:r>
          </w:p>
        </w:tc>
        <w:tc>
          <w:tcPr>
            <w:tcW w:w="280" w:type="dxa"/>
            <w:vAlign w:val="bottom"/>
          </w:tcPr>
          <w:p>
            <w:pPr>
              <w:spacing w:after="0"/>
              <w:rPr>
                <w:sz w:val="18"/>
                <w:szCs w:val="18"/>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2017</w:t>
            </w: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3"/>
          </w:tcPr>
          <w:p>
            <w:pPr>
              <w:ind w:left="10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24,061</w:t>
            </w:r>
          </w:p>
        </w:tc>
        <w:tc>
          <w:tcPr>
            <w:tcW w:w="280" w:type="dxa"/>
            <w:vAlign w:val="bottom"/>
          </w:tcPr>
          <w:p>
            <w:pPr>
              <w:spacing w:after="0"/>
              <w:rPr>
                <w:sz w:val="18"/>
                <w:szCs w:val="18"/>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88"/>
              </w:rPr>
              <w:t>—</w:t>
            </w:r>
          </w:p>
        </w:tc>
        <w:tc>
          <w:tcPr>
            <w:tcW w:w="6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24,061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123,200</w:t>
            </w:r>
          </w:p>
        </w:tc>
        <w:tc>
          <w:tcPr>
            <w:tcW w:w="28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123,200</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43,400</w:t>
            </w:r>
          </w:p>
        </w:tc>
        <w:tc>
          <w:tcPr>
            <w:tcW w:w="280" w:type="dxa"/>
            <w:vAlign w:val="bottom"/>
          </w:tcPr>
          <w:p>
            <w:pPr>
              <w:spacing w:after="0"/>
              <w:rPr>
                <w:sz w:val="18"/>
                <w:szCs w:val="18"/>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Company’s financial assets consist mainly of money market funds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32" w:gutter="0" w:footer="0" w:header="0"/>
        </w:sectPr>
      </w:pPr>
    </w:p>
    <w:bookmarkStart w:id="5" w:name="page6"/>
    <w:bookmarkEnd w:id="5"/>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six months ended June 30, 2018 (in thousands):</w:t>
      </w:r>
    </w:p>
    <w:p>
      <w:pPr>
        <w:spacing w:after="0" w:line="162"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Other Liabilities:</w:t>
      </w:r>
    </w:p>
    <w:p>
      <w:pPr>
        <w:jc w:val="center"/>
        <w:ind w:left="8980"/>
        <w:spacing w:after="0" w:line="226" w:lineRule="auto"/>
        <w:rPr>
          <w:sz w:val="20"/>
          <w:szCs w:val="20"/>
          <w:color w:val="auto"/>
        </w:rPr>
      </w:pPr>
      <w:r>
        <w:rPr>
          <w:rFonts w:ascii="Arial" w:cs="Arial" w:eastAsia="Arial" w:hAnsi="Arial"/>
          <w:sz w:val="14"/>
          <w:szCs w:val="14"/>
          <w:b w:val="1"/>
          <w:bCs w:val="1"/>
          <w:color w:val="auto"/>
        </w:rPr>
        <w:t>Contingent</w:t>
      </w:r>
    </w:p>
    <w:p>
      <w:pPr>
        <w:spacing w:after="0" w:line="1"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-3175</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(21,033)</w:t>
            </w:r>
          </w:p>
        </w:tc>
      </w:tr>
      <w:tr>
        <w:trPr>
          <w:trHeight w:val="210"/>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was primarily an income approach. The Company may be required to pay future consideration of up to $162.5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second quarter of 2018, the Company announced the failure of its clinical trial (“METRIC”) in metastatic triple-negative breast cancer to meet its primary endpoint and decision to discontinue the glembatumumab vedotin (“Glemba”) program. During the three and six months ended June 30, 2018, the Company recorded a $7.4 million and $21.0 million gain on fair value remeasurement of contingent consideration, respectively, primarily due to discontinuation of the Glemba and CDX-014 programs and updated assumptions for the varlilumab program. During the three and six months ended June 30, 2017, the Company recorded a $1.0 million and $4.4 million loss on fair value remeasurement of contingent consideration, respectively, primarily due to changes in discount rates and the passage of time.</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securities, classified as available-for-sale: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0"/>
                <w:szCs w:val="10"/>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636"/>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6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year or less)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19,362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50,759</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340"/>
              <w:spacing w:after="0"/>
              <w:rPr>
                <w:sz w:val="20"/>
                <w:szCs w:val="20"/>
                <w:color w:val="auto"/>
              </w:rPr>
            </w:pPr>
            <w:r>
              <w:rPr>
                <w:rFonts w:ascii="Arial" w:cs="Arial" w:eastAsia="Arial" w:hAnsi="Arial"/>
                <w:sz w:val="18"/>
                <w:szCs w:val="18"/>
                <w:color w:val="auto"/>
              </w:rPr>
              <w:t>Total Marketable Securities</w:t>
            </w: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70,121</w:t>
            </w:r>
          </w:p>
        </w:tc>
        <w:tc>
          <w:tcPr>
            <w:tcW w:w="300" w:type="dxa"/>
            <w:vAlign w:val="bottom"/>
            <w:vMerge w:val="continue"/>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70,115</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or less)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26,164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73,007</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99,171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June 30, 2018 and December 31, 2017. The unrealized losses are attributable to changes in interest rates and the Company does not believe any unrealized losses represent other-than-temporary impairments.</w:t>
      </w:r>
    </w:p>
    <w:p>
      <w:pPr>
        <w:spacing w:after="0" w:line="18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Marketable securities include $0.2 million and $0.3 million in accrued interest at June 30, 2018 and December 31, 2017,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information for the Company’s finite-lived intangible assets that are subject to amortization and indefinite-lived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Impairments</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6"/>
          </w:tcPr>
          <w:p>
            <w:pPr>
              <w:jc w:val="right"/>
              <w:ind w:right="13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Rights (16 year life)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IPR&amp;D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60,490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Intangible Assets, Net</w:t>
            </w:r>
          </w:p>
        </w:tc>
        <w:tc>
          <w:tcPr>
            <w:tcW w:w="1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3"/>
              </w:rPr>
              <w:t>74,990</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License Rights (16 year life)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rPr>
              <w:t>14,500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IPR&amp;D</w:t>
            </w:r>
          </w:p>
        </w:tc>
        <w:tc>
          <w:tcPr>
            <w:tcW w:w="48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60,490</w:t>
            </w:r>
          </w:p>
        </w:tc>
        <w:tc>
          <w:tcPr>
            <w:tcW w:w="500" w:type="dxa"/>
            <w:vAlign w:val="bottom"/>
          </w:tcPr>
          <w:p>
            <w:pPr>
              <w:spacing w:after="0"/>
              <w:rPr>
                <w:sz w:val="18"/>
                <w:szCs w:val="18"/>
                <w:color w:val="auto"/>
              </w:rPr>
            </w:pPr>
          </w:p>
        </w:tc>
        <w:tc>
          <w:tcPr>
            <w:tcW w:w="180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60,490</w:t>
            </w: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74,990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Finite-lived intangible assets consist solely of license rights amended under a 2009 agreement with Amgen Fremont related to developing and commercializing Glemba. As a result of the discontinuation of the Glemba program, the Company recorded a non-cash impairment charge of $6.9 million during the first quarter of 2018. Amortization expense related to this finite-lived intangible asset was $0.0 million and $0.2 million for the three and six month periods ended June 30, 2018, respectively, and $0.2 million and $0.4 million for the three and six month periods ended June 30, 2017, respectively.</w:t>
      </w:r>
    </w:p>
    <w:p>
      <w:pPr>
        <w:spacing w:after="0" w:line="15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Indefinite-lived intangible assets consist of acquired in-process research and development (“IPR&amp;D”) related to the development of Glemba, CDX-3379, the anti-KIT program and the TAM program. The Company performs an impairment test on IPR&amp;D assets at least annually, or more frequently if events or changes in circumstances indicate that IPR&amp;D assets may be impaired. As a result of the discontinuation of the Glemba program, the Company recorded a non-cash impairment charge of $11.8 million during the first quarter of 2018. CDX-3379 is in Phase 2 development. The anti-KIT and TAM programs are in preclinical development. As of June 30, 2018, none of the remaining IPR&amp;D assets had reached technological feasibility nor did any have alternative future uses.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2018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Goodwill</w:t>
            </w:r>
          </w:p>
        </w:tc>
      </w:tr>
      <w:tr>
        <w:trPr>
          <w:trHeight w:val="142"/>
        </w:trPr>
        <w:tc>
          <w:tcPr>
            <w:tcW w:w="9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(90,976)</w:t>
            </w:r>
          </w:p>
        </w:tc>
      </w:tr>
      <w:tr>
        <w:trPr>
          <w:trHeight w:val="210"/>
        </w:trPr>
        <w:tc>
          <w:tcPr>
            <w:tcW w:w="9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evaluated goodwill for potential impairment due to the METRIC failure.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4"/>
          </w:tcPr>
          <w:p>
            <w:pPr>
              <w:jc w:val="right"/>
              <w:ind w:right="9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6,402</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Contingent Milestones (Note 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22,367</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43,400</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35,132</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(4,784)</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(6,566)</w:t>
            </w: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Long-Term Portion</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30,348</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November 2015, December 2014, January 2014 and January 2013, the Company received approval from the New Jersey Economic Development Authority and agreed to sell New Jersey tax benefits of $9.8 million, $1.9 million, $1.1 million and $0.8 million to an independent third party for $9.2 million, $1.8 million, $1.0 million and $0.8 million, respectively. Under the agreement, the Company must maintain a base of operations in New Jersey for five years or the tax benefits must be paid back on a pro-rata basis based on the number of years completed. The Company recognized $0.0 million and $0.4 million in other income related to the sale of these tax benefits during the three and six months ended June 30, 2018, respectively, and $0.0 million and $0.5 million during the three and six months ended June 30,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six months ended June 30, 2018, the Company issued 17,953,046 shares of common stock under this controlled equity offering sales agreement with Cantor resulting in net proceeds of $20.0 million after deducting commission and offering expenses. At June 30, 2018, the Company had $47.0 million remaining in aggregate gross offering price available under the Cantor agreement. In July 2018, the Company issued 5,685,350 shares of its common stock resulting in net proceeds to the Company of $2.8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Expenses</w:t>
      </w:r>
    </w:p>
    <w:p>
      <w:pPr>
        <w:sectPr>
          <w:pgSz w:w="11900" w:h="16838" w:orient="portrait"/>
          <w:cols w:equalWidth="0" w:num="1">
            <w:col w:w="11420"/>
          </w:cols>
          <w:pgMar w:left="240" w:top="140" w:right="239" w:bottom="225" w:gutter="0" w:footer="0" w:header="0"/>
        </w:sectPr>
      </w:pPr>
    </w:p>
    <w:bookmarkStart w:id="7" w:name="page8"/>
    <w:bookmarkEnd w:id="7"/>
    <w:p>
      <w:pPr>
        <w:ind w:right="100" w:firstLine="648"/>
        <w:spacing w:after="0" w:line="264" w:lineRule="auto"/>
        <w:rPr>
          <w:sz w:val="20"/>
          <w:szCs w:val="20"/>
          <w:color w:val="auto"/>
        </w:rPr>
      </w:pPr>
      <w:r>
        <w:rPr>
          <w:rFonts w:ascii="Arial" w:cs="Arial" w:eastAsia="Arial" w:hAnsi="Arial"/>
          <w:sz w:val="18"/>
          <w:szCs w:val="18"/>
          <w:color w:val="auto"/>
        </w:rPr>
        <w:t>As a result of the METRIC failure and discontinuation of the Glemba program, the Company approved a reduction in its workforce to reduce operating costs and recorded severance expense of $1.2 million in the second quarter of 2018. At June 30, 2018, the Company recorded accrued severance of $0.5 million related to this workforce reduction.</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the second quarter of 2018, the Company decided not to occupy the first floor of its Hampton, New Jersey facility. The Company recorded lease restructuring expense of $0.4 million in the second quarter of 2018 related to this lease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265"/>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26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left="285"/>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0" w:type="dxa"/>
            <w:vAlign w:val="bottom"/>
          </w:tcPr>
          <w:p>
            <w:pPr>
              <w:jc w:val="center"/>
              <w:ind w:left="285"/>
              <w:spacing w:after="0" w:line="149" w:lineRule="exact"/>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285"/>
              <w:spacing w:after="0"/>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10,856,212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9.40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5,046,867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0.61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2.80</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(1,832,387)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8.19</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13,966,192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6.43</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2018</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6"/>
              </w:rPr>
              <w:t>6.59</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13,544,093</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6,482,436</w:t>
            </w: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11.18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60" w:type="dxa"/>
            <w:vAlign w:val="bottom"/>
          </w:tcPr>
          <w:p>
            <w:pPr>
              <w:jc w:val="right"/>
              <w:spacing w:after="0"/>
              <w:rPr>
                <w:sz w:val="20"/>
                <w:szCs w:val="20"/>
                <w:color w:val="auto"/>
              </w:rPr>
            </w:pPr>
            <w:r>
              <w:rPr>
                <w:rFonts w:ascii="Arial" w:cs="Arial" w:eastAsia="Arial" w:hAnsi="Arial"/>
                <w:sz w:val="18"/>
                <w:szCs w:val="18"/>
                <w:color w:val="auto"/>
              </w:rPr>
              <w:t>4,370,007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and six month periods ended June 30, 2018 was $0.44. Stock-based compensation expense for the three and six month periods ended June 30, 2018 and 2017 was recorded as follows: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6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3"/>
          </w:tcPr>
          <w:p>
            <w:pPr>
              <w:jc w:val="right"/>
              <w:ind w:right="525"/>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18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6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tcPr>
          <w:p>
            <w:pPr>
              <w:spacing w:after="0"/>
              <w:rPr>
                <w:sz w:val="18"/>
                <w:szCs w:val="18"/>
                <w:color w:val="auto"/>
              </w:rPr>
            </w:pP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six month periods ended June 30, 2018 and 2017 were valued using the Black-Scholes option pricing model with the following assumptions: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28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60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6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439"/>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 – 77%</w:t>
            </w:r>
          </w:p>
        </w:tc>
        <w:tc>
          <w:tcPr>
            <w:tcW w:w="12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6.0 Years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6.0 Years</w:t>
            </w:r>
          </w:p>
        </w:tc>
        <w:tc>
          <w:tcPr>
            <w:tcW w:w="16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6.0 Years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6.0 Years</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2.0 – 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3.0%</w:t>
            </w: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2.0 – 2.3%</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None</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None</w:t>
            </w:r>
          </w:p>
        </w:tc>
        <w:tc>
          <w:tcPr>
            <w:tcW w:w="164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None</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accumulated other comprehensive income, which is reported as a component of stockholders’ equity,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 are summarized below:</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2018</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40" w:type="dxa"/>
            <w:vAlign w:val="bottom"/>
          </w:tcPr>
          <w:p>
            <w:pPr>
              <w:spacing w:after="0"/>
              <w:rPr>
                <w:sz w:val="12"/>
                <w:szCs w:val="12"/>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-454025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-179705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125" w:right="239" w:bottom="0" w:gutter="0" w:footer="0" w:header="0"/>
          <w:type w:val="continuous"/>
        </w:sectPr>
      </w:pP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amounts were reclassified out of accumulated other comprehensive income during the three or six months ended June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On January 1, 2018, the Company adopted a new revenue accounting standard,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Upon adoption using the modified retrospective application, the Company recognized a $1.3 million decrease to accumulated deficit, a $0.8 million decrease in deferred revenue and $0.5 million increase in accounts receivable due to the cumulative impact of adopting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This impact was driven by the acceleration of revenue using a percentage-of-completion method of accounting under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for an open contract that had previously been accounted for using the Contingency Adjusted Performance Model (“CAPM”) under previous guidance.</w:t>
      </w:r>
    </w:p>
    <w:p>
      <w:pPr>
        <w:sectPr>
          <w:pgSz w:w="11900" w:h="16838" w:orient="portrait"/>
          <w:cols w:equalWidth="0" w:num="1">
            <w:col w:w="11420"/>
          </w:cols>
          <w:pgMar w:left="240" w:top="125" w:right="239" w:bottom="0" w:gutter="0" w:footer="0" w:header="0"/>
          <w:type w:val="continuous"/>
        </w:sectPr>
      </w:pPr>
    </w:p>
    <w:bookmarkStart w:id="8" w:name="page9"/>
    <w:bookmarkEnd w:id="8"/>
    <w:p>
      <w:pPr>
        <w:ind w:right="80" w:firstLine="648"/>
        <w:spacing w:after="0" w:line="302" w:lineRule="auto"/>
        <w:rPr>
          <w:sz w:val="20"/>
          <w:szCs w:val="20"/>
          <w:color w:val="auto"/>
        </w:rPr>
      </w:pPr>
      <w:r>
        <w:rPr>
          <w:rFonts w:ascii="Arial" w:cs="Arial" w:eastAsia="Arial" w:hAnsi="Arial"/>
          <w:sz w:val="16"/>
          <w:szCs w:val="16"/>
          <w:color w:val="auto"/>
        </w:rPr>
        <w:t xml:space="preserve">Results for reporting periods beginning after January 1, 2018 are presented under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while prior period amounts were not adjusted and continue to be reported in accordance with historic accounting under previous guidance. There was not a material impact to revenues as a result of applying </w:t>
      </w:r>
      <w:r>
        <w:rPr>
          <w:rFonts w:ascii="Arial" w:cs="Arial" w:eastAsia="Arial" w:hAnsi="Arial"/>
          <w:sz w:val="16"/>
          <w:szCs w:val="16"/>
          <w:i w:val="1"/>
          <w:iCs w:val="1"/>
          <w:color w:val="auto"/>
        </w:rPr>
        <w:t xml:space="preserve">ASC 606 </w:t>
      </w:r>
      <w:r>
        <w:rPr>
          <w:rFonts w:ascii="Arial" w:cs="Arial" w:eastAsia="Arial" w:hAnsi="Arial"/>
          <w:sz w:val="16"/>
          <w:szCs w:val="16"/>
          <w:color w:val="auto"/>
        </w:rPr>
        <w:t>for the three and six month periods ended June 30, 2018, and there have not been significant changes to the Company’s business processes,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or internal controls as a result of adopting the new standard. The Company expects revenue recognition to remain largely unchanged under the new standard.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 At January 1, 2018 and June 30, 2018, the Company’s right to consideration under all contracts was considered unconditional, and as such, there were no recorded contract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contract liabilities result from arrangements where the Company has received payment in advance of performance under the contract. These amounts are included as deferred revenue within other long-term liabilities and current portion of long-term liabilities on the condensed consolidated balance sheets. Revenue recognized from contract liabilities as of January 1, 2018 during the three and six months ended June 30, 2018 was $1.0 million and $1.5 million, respectively. Revenue expected to be recognized in the future from contract liabilities as performance obligations are satisfied are not expected to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primary product development and licensing revenue is associated with a clinical collaboration agreement with BMS entered into in 2014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this agreement, BMS made an upfront payment to Celldex of $5.0 million and provides funding for 50% of the external costs incurred by the Company in connection with the clinical trial. The Company recorded $1.7 million and $2.6 million in revenue related to this agreement during the three and six months ended June 30,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2017, the Company entered into fixed-fee manufacturing and research and development arrangements with both the International AIDS Vaccine Initiative (IAVI) and Frontier Biotechnologies, Inc (Frontier). The Company recognized $0.4 million and $2.7 million in revenue under these agreements during the three and six months ended June 30, 2018, respectively, and $2.3 million during both the three and six months ended June 30, 2017.</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2013, the Company entered into an agreement, as amended, with Rockefeller University pursuant to which the Company performs manufacturing and research and development services for Rockefeller University. The Company recognized $0.6 million and $1.3 million in revenue for labor hours and direct costs incurred related to the Rockefeller University agreement during the three and six months ended June 30, 2018, respectively, and $0.3 million and $1.1 million during the three and six months ended June 30,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ectPr>
          <w:pgSz w:w="11900" w:h="16838" w:orient="portrait"/>
          <w:cols w:equalWidth="0" w:num="1">
            <w:col w:w="11400"/>
          </w:cols>
          <w:pgMar w:left="240" w:top="125" w:right="259" w:bottom="0" w:gutter="0" w:footer="0" w:header="0"/>
        </w:sectPr>
      </w:pPr>
    </w:p>
    <w:bookmarkStart w:id="9" w:name="page10"/>
    <w:bookmarkEnd w:id="9"/>
    <w:p>
      <w:pPr>
        <w:ind w:right="160" w:firstLine="648"/>
        <w:spacing w:after="0" w:line="264" w:lineRule="auto"/>
        <w:rPr>
          <w:sz w:val="20"/>
          <w:szCs w:val="20"/>
          <w:color w:val="auto"/>
        </w:rPr>
      </w:pPr>
      <w:r>
        <w:rPr>
          <w:rFonts w:ascii="Arial" w:cs="Arial" w:eastAsia="Arial" w:hAnsi="Arial"/>
          <w:sz w:val="18"/>
          <w:szCs w:val="18"/>
          <w:color w:val="auto"/>
        </w:rPr>
        <w:t xml:space="preserve">On December 22, 2017, the Tax Cuts and Jobs Act (“TCJA”) was enacted and led to significant changes to U.S. tax law. Also on December 22, 2017, the SEC staff issued SAB 118, allowing companies to record the effects of the TCJA on a provisional basis during a measurement period not to extend beyond one year of the enactment date. SAB 118 was codified into </w:t>
      </w:r>
      <w:r>
        <w:rPr>
          <w:rFonts w:ascii="Arial" w:cs="Arial" w:eastAsia="Arial" w:hAnsi="Arial"/>
          <w:sz w:val="18"/>
          <w:szCs w:val="18"/>
          <w:i w:val="1"/>
          <w:iCs w:val="1"/>
          <w:color w:val="auto"/>
        </w:rPr>
        <w:t>ASC 740</w:t>
      </w:r>
      <w:r>
        <w:rPr>
          <w:rFonts w:ascii="Arial" w:cs="Arial" w:eastAsia="Arial" w:hAnsi="Arial"/>
          <w:sz w:val="18"/>
          <w:szCs w:val="18"/>
          <w:color w:val="auto"/>
        </w:rPr>
        <w:t xml:space="preserve"> by ASU 2018-05.</w:t>
      </w:r>
    </w:p>
    <w:p>
      <w:pPr>
        <w:spacing w:after="0" w:line="181"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Company recognized an income tax benefit of $19.1 million related to implementing applicable provisions of the TCJA during the year ended December 31, 2017. In accordance with SAB 118, the Company considered this adjustment to be a provisional amount based on the Company’s best estimates at December 31, 2017. During the six months ended June 30, 2018, there was no further information or change in estimates related to the provisional amount recognized during the year ended December 31, 2017. However, updated guidance, interpretations or assumptions could lead the Company to make further adjustments to income tax benefit (provision) in the future. The Company’s accounting for the tax effects of the TCJA will be completed by December 22, 2018.</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2018 and December 31, 2017.</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net deferred tax liability of $3.0 million and $3.8 million existed at June 30, 2018 and December 31, 2017, respectively, related to the temporary differences associated with the IPR&amp;D intangible assets acquired in previous business combinations and not deductible for tax purposes. As a result of the discontinuation of the Glemba program, the Company recorded a $0.8 million non-cash income tax benefit during the first quarter of 2018.</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100" w:type="dxa"/>
            <w:vAlign w:val="bottom"/>
            <w:gridSpan w:val="4"/>
          </w:tcPr>
          <w:p>
            <w:pPr>
              <w:ind w:left="6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13,966,192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12,088,710</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Restricted Stock</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60,005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96,668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14,026,197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12,185,378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20" w:type="dxa"/>
            <w:vAlign w:val="bottom"/>
            <w:vMerge w:val="restart"/>
          </w:tcPr>
          <w:p>
            <w:pPr>
              <w:jc w:val="right"/>
              <w:ind w:right="2210"/>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2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160" w:hanging="324"/>
        <w:spacing w:after="0" w:line="259"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ectPr>
          <w:pgSz w:w="11900" w:h="16838" w:orient="portrait"/>
          <w:cols w:equalWidth="0" w:num="1">
            <w:col w:w="11460"/>
          </w:cols>
          <w:pgMar w:left="240" w:top="341" w:right="199" w:bottom="0" w:gutter="0" w:footer="0" w:header="0"/>
        </w:sectPr>
      </w:pPr>
    </w:p>
    <w:bookmarkStart w:id="10" w:name="page11"/>
    <w:bookmarkEnd w:id="10"/>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1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regain compliance with applicable NASDAQ listing standards for continued listing of our common stock on the NASDAQ Global Market;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and cost-savings from the restructuring we announced in April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 and to operate the combined business efficiently;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20" w:hanging="324"/>
        <w:spacing w:after="0" w:line="264"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rFonts w:ascii="Arial" w:cs="Arial" w:eastAsia="Arial" w:hAnsi="Arial"/>
          <w:sz w:val="18"/>
          <w:szCs w:val="18"/>
          <w:color w:val="auto"/>
        </w:rPr>
      </w:pPr>
    </w:p>
    <w:p>
      <w:pPr>
        <w:ind w:left="980" w:right="20" w:hanging="324"/>
        <w:spacing w:after="0" w:line="286" w:lineRule="auto"/>
        <w:tabs>
          <w:tab w:leader="none" w:pos="94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2017 and other reports that we file with the Securities and Exchange Commission</w:t>
      </w:r>
      <w:r>
        <w:rPr>
          <w:rFonts w:ascii="Arial" w:cs="Arial" w:eastAsia="Arial" w:hAnsi="Arial"/>
          <w:sz w:val="17"/>
          <w:szCs w:val="17"/>
          <w:i w:val="1"/>
          <w:iCs w:val="1"/>
          <w:color w:val="auto"/>
        </w:rPr>
        <w:t>.</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In April 2018, we announced that our randomized, Phase 2b METRIC Study of glembatumumab vedotin compared to Xeloda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(capecitabine) in patients with metastatic triple-negative breast cancers that overexpress gpNMB failed to meet its primary endpoint of improving progression-free survival (PFS). We stated that based on this result, we would prioritize our pipeline and evaluate our operational and workforce needs to extend our financial resources and direct them to continued pipeline advancement. These efforts have been completed and are reflected below.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20" w:hanging="324"/>
        <w:spacing w:after="0" w:line="258"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CDX-1140, an agonist human monoclonal antibody targeted to CD40, a key activator of immune response, currently in a Phase 1 dose-escalation study in multiple types of solid tumors;</w:t>
      </w:r>
    </w:p>
    <w:p>
      <w:pPr>
        <w:spacing w:after="0" w:line="1" w:lineRule="exact"/>
        <w:rPr>
          <w:rFonts w:ascii="Arial" w:cs="Arial" w:eastAsia="Arial" w:hAnsi="Arial"/>
          <w:sz w:val="18"/>
          <w:szCs w:val="18"/>
          <w:color w:val="auto"/>
        </w:rPr>
      </w:pPr>
    </w:p>
    <w:p>
      <w:pPr>
        <w:ind w:left="980" w:right="40" w:hanging="324"/>
        <w:spacing w:after="0" w:line="220"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CDX-3379, a human monoclonal antibody designed to block the activity of ErbB3 (HER3), currently in an early Phase 2 study in advanced head and neck squamous cell cancer in combination with Erbitux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80" w:hanging="324"/>
        <w:spacing w:after="0" w:line="249"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CDX-301, a dendritic cell growth factor, currently being evaluated in an investigator-initiated pilot study and planned for combination study with CDX-1140; and</w:t>
      </w:r>
    </w:p>
    <w:p>
      <w:pPr>
        <w:ind w:left="980" w:right="340" w:hanging="324"/>
        <w:spacing w:after="0" w:line="275"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Varlilumab, an immune modulating antibody targeting CD27 designed to enhance a patient’s immune response against cancer that is being studied in multiple investigator initiated research studies and is currently completing a Phase 1/2 study across multiple solid tumors in combination with Opdivo</w:t>
      </w:r>
      <w:r>
        <w:rPr>
          <w:rFonts w:ascii="Arial" w:cs="Arial" w:eastAsia="Arial" w:hAnsi="Arial"/>
          <w:sz w:val="20"/>
          <w:szCs w:val="20"/>
          <w:color w:val="auto"/>
          <w:vertAlign w:val="superscript"/>
        </w:rPr>
        <w:t>®</w:t>
      </w:r>
      <w:r>
        <w:rPr>
          <w:rFonts w:ascii="Arial" w:cs="Arial" w:eastAsia="Arial" w:hAnsi="Arial"/>
          <w:sz w:val="16"/>
          <w:szCs w:val="16"/>
          <w:color w:val="auto"/>
        </w:rPr>
        <w:t>. We are conducting the study in collaboration with Bristol-Myers Squibb Company (BMS). We intend to explore varlilumab externally through several investigator-initiated studies and internally through inclusion in combination studies.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previously disclosed, to conserve resources, we discontinued development of our antibody drug conjugate programs, glembatumumab vedotin and CDX-014, and our antibody fusion protein, CDX-1401, in the second quarter of 2018.</w:t>
      </w:r>
    </w:p>
    <w:p>
      <w:pPr>
        <w:spacing w:after="0" w:line="170" w:lineRule="exact"/>
        <w:rPr>
          <w:sz w:val="20"/>
          <w:szCs w:val="20"/>
          <w:color w:val="auto"/>
        </w:rPr>
      </w:pPr>
    </w:p>
    <w:p>
      <w:pPr>
        <w:ind w:right="780" w:firstLine="648"/>
        <w:spacing w:after="0" w:line="264"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five studies ongoing with our prioritized drug candidates and additional studies currently under consideration.</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ectPr>
          <w:pgSz w:w="11900" w:h="16838" w:orient="portrait"/>
          <w:cols w:equalWidth="0" w:num="1">
            <w:col w:w="11420"/>
          </w:cols>
          <w:pgMar w:left="240" w:top="125" w:right="239" w:bottom="29" w:gutter="0" w:footer="0" w:header="0"/>
        </w:sectPr>
      </w:pPr>
    </w:p>
    <w:bookmarkStart w:id="11" w:name="page12"/>
    <w:bookmarkEnd w:id="11"/>
    <w:p>
      <w:pPr>
        <w:spacing w:after="0" w:line="6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take five years or more, and for total development costs to exceed $100 million for each drug candidate. We estimate that clinical trials of the type we generally conduct are typically completed over the following timelines: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4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8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past five years through December 31, 2017, we incurred an aggregate of $470.9 million in research and development expenses. The following table indicates the amount incurred for each of our significant research programs and for other identified research and development activities during the six months ended June 30, 2018 and 2017. The amounts disclosed in the following table reflect direct research and development costs, license fees associated with the underlying technology and an allocation of indirect research and development costs to each program.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298"/>
              <w:spacing w:after="0"/>
              <w:rPr>
                <w:sz w:val="20"/>
                <w:szCs w:val="20"/>
                <w:color w:val="auto"/>
              </w:rPr>
            </w:pPr>
            <w:r>
              <w:rPr>
                <w:rFonts w:ascii="Arial" w:cs="Arial" w:eastAsia="Arial" w:hAnsi="Arial"/>
                <w:sz w:val="14"/>
                <w:szCs w:val="14"/>
                <w:b w:val="1"/>
                <w:bCs w:val="1"/>
                <w:color w:val="auto"/>
                <w:w w:val="97"/>
              </w:rPr>
              <w:t>Six Months Ended</w:t>
            </w:r>
          </w:p>
        </w:tc>
        <w:tc>
          <w:tcPr>
            <w:tcW w:w="2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438"/>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r>
      <w:tr>
        <w:trPr>
          <w:trHeight w:val="142"/>
        </w:trPr>
        <w:tc>
          <w:tcPr>
            <w:tcW w:w="4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3"/>
          </w:tcPr>
          <w:p>
            <w:pPr>
              <w:jc w:val="right"/>
              <w:ind w:right="121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3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2,325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CDX-3379</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58"/>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1,164</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58"/>
              <w:spacing w:after="0"/>
              <w:rPr>
                <w:sz w:val="20"/>
                <w:szCs w:val="20"/>
                <w:color w:val="auto"/>
              </w:rPr>
            </w:pPr>
            <w:r>
              <w:rPr>
                <w:rFonts w:ascii="Arial" w:cs="Arial" w:eastAsia="Arial" w:hAnsi="Arial"/>
                <w:sz w:val="18"/>
                <w:szCs w:val="18"/>
                <w:color w:val="auto"/>
              </w:rPr>
              <w:t>5,660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18"/>
                <w:szCs w:val="18"/>
                <w:color w:val="auto"/>
              </w:rPr>
            </w:pPr>
          </w:p>
        </w:tc>
      </w:tr>
      <w:tr>
        <w:trPr>
          <w:trHeight w:val="165"/>
        </w:trPr>
        <w:tc>
          <w:tcPr>
            <w:tcW w:w="424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00"/>
          </w:cols>
          <w:pgMar w:left="240" w:top="125" w:right="259" w:bottom="0" w:gutter="0" w:footer="0" w:header="0"/>
        </w:sectPr>
      </w:pPr>
    </w:p>
    <w:bookmarkStart w:id="12" w:name="page13"/>
    <w:bookmarkEnd w:id="12"/>
    <w:p>
      <w:pPr>
        <w:spacing w:after="0" w:line="59"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Anti-KIT Program</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TAM Program</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3,056</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CDX-014</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Programs</w:t>
            </w: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2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Borders>
              <w:bottom w:val="single" w:sz="8" w:color="CCEEFF"/>
            </w:tcBorders>
          </w:tcPr>
          <w:p>
            <w:pPr>
              <w:spacing w:after="0"/>
              <w:rPr>
                <w:sz w:val="18"/>
                <w:szCs w:val="18"/>
                <w:color w:val="auto"/>
              </w:rPr>
            </w:pPr>
          </w:p>
        </w:tc>
      </w:tr>
      <w:tr>
        <w:trPr>
          <w:trHeight w:val="210"/>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43,323</w:t>
            </w: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initiated a Phase 1 study of CDX-1140 in November 2017. This study, which is expected to enroll up to approximately 105 patients with recurrent, locally advanced or metastatic solid tumors,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To this end, we recently amended the Phase 1 study protocol to explore CDX-1140 in combination with CDX-301 and are considering additional combinations, including with varlilumab.</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w:t>
      </w:r>
    </w:p>
    <w:p>
      <w:pPr>
        <w:spacing w:after="0" w:line="167"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(n=16), Tarceva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(n=8), Zelboraf</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(n=9) and Herceptin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was considered refractory, as well as an unconfirmed partial response in a patient with thyroid cancer. Initial data were presented at the 2016 American Society of Clinical Oncology (ASCO) Annual Meeting.</w:t>
      </w:r>
    </w:p>
    <w:p>
      <w:pPr>
        <w:spacing w:after="0" w:line="20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April 2018, results from a window-of-opportunity study evaluating the effect of CDX-3379 on potential biomarkers in patients with head and neck squamous cell carcinoma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significant tumor shrinkage (92% in primary tumor; 26% in metastatic lesion). CDX-3379 was well-tolerated, and no treatment-related adverse events were observed.</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Preclinical data from the combination of CDX-3379 and Erbitux in xenograft models of head and neck squamous cell carcinoma were also presented at the AACR Annual Meeting in April 2018. Combining CDX-3379 and Erbitux inhibited tumor growth more potently than Erbitux alone. Mechanistic studies demonstrated a reduction of PD-L1 expression from the combination.</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primary objective of the study is objective response rate. Secondary objectives include assessments of clinical benefit response (CBR), duration of response (DOR), PFS and overall survival (OS), and safety and pharmacokinetics associated with the combination.</w:t>
      </w:r>
    </w:p>
    <w:p>
      <w:pPr>
        <w:sectPr>
          <w:pgSz w:w="11900" w:h="16897" w:orient="portrait"/>
          <w:cols w:equalWidth="0" w:num="1">
            <w:col w:w="11400"/>
          </w:cols>
          <w:pgMar w:left="240" w:top="140"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We have entered into license agreements with the University of Southampton, UK for intellectual property to use anti-CD27 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Single-Agent Phase 1 Study: </w:t>
      </w:r>
      <w:r>
        <w:rPr>
          <w:rFonts w:ascii="Arial" w:cs="Arial" w:eastAsia="Arial" w:hAnsi="Arial"/>
          <w:sz w:val="17"/>
          <w:szCs w:val="17"/>
          <w:color w:val="auto"/>
        </w:rPr>
        <w:t>In an open-label Phase 1 study of varlilumab in patients with selected malignant solid tumors or hematologic cancers,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an MTD. The majority of adverse events, or AEs, related to treatment were mild to moderate (Grade 1/2) in severity, and no significant immune-mediated adverse events typically associated with checkpoint blockade were observed. Durable, multi-year clinical benefit was demonstrated in select patients without additional anti-cancer therapy. Final results from the study in patients with solid tumors were published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April 2017.</w:t>
      </w:r>
    </w:p>
    <w:p>
      <w:pPr>
        <w:spacing w:after="0" w:line="17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Phase 1/2 Varlilumab/Opdivo Combination Study: </w:t>
      </w:r>
      <w:r>
        <w:rPr>
          <w:rFonts w:ascii="Arial" w:cs="Arial" w:eastAsia="Arial" w:hAnsi="Arial"/>
          <w:sz w:val="17"/>
          <w:szCs w:val="17"/>
          <w:color w:val="auto"/>
        </w:rPr>
        <w:t>In 2014, we entered into a clinical trial collaboration with BMS to evaluate the safety,</w:t>
      </w:r>
      <w:r>
        <w:rPr>
          <w:rFonts w:ascii="Arial" w:cs="Arial" w:eastAsia="Arial" w:hAnsi="Arial"/>
          <w:sz w:val="17"/>
          <w:szCs w:val="17"/>
          <w:b w:val="1"/>
          <w:bCs w:val="1"/>
          <w:color w:val="auto"/>
        </w:rPr>
        <w:t xml:space="preserve"> </w:t>
      </w:r>
      <w:r>
        <w:rPr>
          <w:rFonts w:ascii="Arial" w:cs="Arial" w:eastAsia="Arial" w:hAnsi="Arial"/>
          <w:sz w:val="17"/>
          <w:szCs w:val="17"/>
          <w:color w:val="auto"/>
        </w:rPr>
        <w:t>tolerability and preliminary efficacy of varlilumab and Opdivo, BMS’ PD-1 immune checkpoint inhibitor, in a Phase 1/2 study. The Phase 1 portion of the study was initiated in January 2015 and conducted in adult patients with multiple solid tumors to assess the safety and tolerability of varlilumab at varying doses when administered with Opdivo. It was followed by a Phase 2 expansion to evaluate the activity of the combination in disease specific cohorts. Enrollment to the Phase 2 portion of the study was completed in January 2018 with cohorts in colorectal cancer (n=21), ovarian cancer (n=58), head and neck squamous cell carcinoma (n=24), renal cell carcinoma (n=14) and glioblastoma (n=22). The primary objective of the Phase 2 cohorts is objective response rate, or ORR, except glioblastoma, where the primary objective is the rate of 12-month OS.</w:t>
      </w:r>
    </w:p>
    <w:p>
      <w:pPr>
        <w:spacing w:after="0" w:line="176"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Data from the ovarian and colorectal cancer cohorts were presented in an oral presentation at the 2018 ASCO Annual Meeting. Sixty-six patients with ovarian cancer were treated in the study (8 patients in Phase 1; 58 patients in Phase 2). Patients had a median of three prior lines of therapy, 91% had Stage IV disease and 66% had PD-L1 negative tumors. The overall response rate was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14% (n=9; 7 confirmed, 2 unconfirmed) across 64 response-evaluable patients. For patients with paired tumor samples (n=24) from before and during treatment, increases in tumor expression of PD-L1 and CD8+ TIL levels were observed. These increases were associated with improved clinical outcome, including improved progression-free survival (PFS) and response rate.</w:t>
      </w:r>
    </w:p>
    <w:p>
      <w:pPr>
        <w:spacing w:after="0" w:line="181" w:lineRule="exact"/>
        <w:rPr>
          <w:sz w:val="20"/>
          <w:szCs w:val="20"/>
          <w:color w:val="auto"/>
        </w:rPr>
      </w:pPr>
    </w:p>
    <w:p>
      <w:pPr>
        <w:ind w:firstLine="689"/>
        <w:spacing w:after="0" w:line="272" w:lineRule="auto"/>
        <w:rPr>
          <w:sz w:val="20"/>
          <w:szCs w:val="20"/>
          <w:color w:val="auto"/>
        </w:rPr>
      </w:pPr>
      <w:r>
        <w:rPr>
          <w:rFonts w:ascii="Arial" w:cs="Arial" w:eastAsia="Arial" w:hAnsi="Arial"/>
          <w:sz w:val="17"/>
          <w:szCs w:val="17"/>
          <w:color w:val="auto"/>
        </w:rPr>
        <w:t>Forty-two patients with colorectal cancer were treated in the study (21 patients in Phase 1; 21 patients in Phase 2). Patients had a median of four prior lines of therapy, 100% had Stage IV disease and 87% had PD-L1 negative tumors. One patient had disease that was MSI-high and 21 patients had disease that was MSI-low/mismatch repair (MMR) proficient; MSI status for the remaining 20 patients was unknown. One patient with PD-L1 negative, MSI-high disease experienced a confirmed partial response in the Phase 2 study portion. Of note, a patient with PD-L1 negative disease, initially considered MMR proficient as determined by standard screening laboratory analysis, achieved a near complete response in the Phase 1 portion of the study, which continued at last follow-up at 35 months. This patient’s tumor had a high mutational burden and mutations in genes regulating DNA repair, which together likely contributed to the response. Disease control rate for the response-evaluable population was 20% (8/41).</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recently reviewed preliminary data from the head and neck squamous cell carcinoma (HNSCC) and renal cell carcinoma (RCC) cohorts. Twenty-seven patients with HNSCC were treated in the study (3 patients in Phase 1; 24 patients in Phase 2). Patients had a median of two prior lines of therapy, 96% had Stage IV disease, 63% had PD-L1 negative tumors and 52% had HPV positive tumors. The overall response rate was 15% (n=4 confirmed) across 27 response-evaluable patients. In this small sample size, no correlation between PDL-1 status and clinical outcome was observed. Given the changing treatment paradigm in renal cell carcinoma, only fourteen patients with RCC were treated in the study, all in Phase 2. All patients had experienced prior angiogenic therapy, with a range of 1 to 4 prior treatments, 100% had Stage IV disease and 50% had PD-L1 negative tumors. 39% of patients experienced stable disease.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present data from the GBM cohort at a medical meeting later this year.</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Future development of varlilumab is focused on inclusion in internal combination studies, including potentially in the ongoing Phase 1 trial of CDX-1140, and several external investigator-initiated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CDX-301 is in clinical development for multiple cancers in combination with treatments that release tumor antigens, such as radiation therapy. We licensed CDX-301 from Amgen Inc. and believe CDX-301 may hold significant opportunity for synergistic development in combination with other proprietary molecules in our portfolio, as well as with approved or investigational therapies for the treatment of cancer.</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w:t>
      </w:r>
      <w:r>
        <w:rPr>
          <w:rFonts w:ascii="Arial" w:cs="Arial" w:eastAsia="Arial" w:hAnsi="Arial"/>
          <w:sz w:val="18"/>
          <w:szCs w:val="18"/>
          <w:i w:val="1"/>
          <w:iCs w:val="1"/>
          <w:color w:val="auto"/>
        </w:rPr>
        <w:t>Bone Marrow Transplantation</w:t>
      </w:r>
      <w:r>
        <w:rPr>
          <w:rFonts w:ascii="Arial" w:cs="Arial" w:eastAsia="Arial" w:hAnsi="Arial"/>
          <w:sz w:val="18"/>
          <w:szCs w:val="18"/>
          <w:color w:val="auto"/>
        </w:rPr>
        <w:t xml:space="preserve"> in 2015.</w:t>
      </w:r>
    </w:p>
    <w:p>
      <w:pPr>
        <w:sectPr>
          <w:pgSz w:w="11900" w:h="16838" w:orient="portrait"/>
          <w:cols w:equalWidth="0" w:num="1">
            <w:col w:w="11420"/>
          </w:cols>
          <w:pgMar w:left="240" w:top="341" w:right="239" w:bottom="61" w:gutter="0" w:footer="0" w:header="0"/>
        </w:sectPr>
      </w:pPr>
    </w:p>
    <w:bookmarkStart w:id="14" w:name="page15"/>
    <w:bookmarkEnd w:id="14"/>
    <w:p>
      <w:pPr>
        <w:ind w:right="60" w:firstLine="648"/>
        <w:spacing w:after="0" w:line="277" w:lineRule="auto"/>
        <w:rPr>
          <w:sz w:val="20"/>
          <w:szCs w:val="20"/>
          <w:color w:val="auto"/>
        </w:rPr>
      </w:pPr>
      <w:r>
        <w:rPr>
          <w:rFonts w:ascii="Arial" w:cs="Arial" w:eastAsia="Arial" w:hAnsi="Arial"/>
          <w:sz w:val="18"/>
          <w:szCs w:val="18"/>
          <w:color w:val="auto"/>
        </w:rPr>
        <w:t>CDX-301 is being studied in ongoing and planned investigator-sponsored and collaborative studies and is planned for combination study with CDX-1140 in the ongoing Phase 1 trial of CDX-1140.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Glembatumumab vedotin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On April 16, 2018, we announced that our randomized, Phase 2b METRIC Study of glembatumumab vedotin compared to Xeloda (capecitabine) in patients with metastatic triple-negative breast cancers that overexpress gpNMB failed to meet its primary endpoint, progression-free survival (PFS) as assessed by an independent, central reading of patient scans (Hazard ratio = 0.95; median PFS: glembatumumab vedotin 2.9 months vs. Xeloda 2.8 months; p=0.76). Based on these results, we also made the decision to discontinue the glembatumumab vedotin program across all indications.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CDX-014</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CDX-014 is a human monoclonal ADC that targets T cell immunoglobulin and mucin domain 1, or TIM-1, and uses Seattle Genetics’ MMAE toxin and linker technology. CDX-014 was being studied in a Phase 1/2 trial in patients with both clear cell and papillary renal cell carcinoma and ovarian clear cell carcinoma. To conserve resources, as part of our pipeline prioritization conducted in April 2018, we discontinued development of CDX-014. Study closure activities are in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CDX-1401</w:t>
      </w:r>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CDX-1401 is an NY-ESO-1-antibody fusion protein for immunotherapy in multiple solid tumors. Its potential activity was being explored in investigator-sponsored and collaborative studies. To conserve resources, as part of our pipeline prioritization conducted in April 2018, we discontinued development of CDX-1401.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See Note 3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2017 for a discussion of our critical accounting policies. There have been no material changes to such critical accounting policies except for the adoption of the updated revenue recognition standard on January 1, 2018. We believe our most critical accounting policies include accounting for business combinations, revenue recognition, intangible and long-lived assets, research and development expenses and 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with Three Months Ended June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694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973</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6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21,448</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24,999</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(3,551)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(Gain)/Loss on Fair Value Remeasurement of Contingent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Consideration</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(7,433)</w:t>
            </w:r>
          </w:p>
        </w:tc>
        <w:tc>
          <w:tcPr>
            <w:tcW w:w="5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8,433</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19,636</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3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(40)%</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$12.2 million decrease in net loss for the three months ended June 30, 2018, as compared to the three months ended June 30, 2017, was primarily the result of the gain on fair value remeasurement of contingent consideration and a decrease in research and development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The $1.0 million increase in product development and licensing agreements revenue for the three months ended June 30, 2018, as compared to the three months ended June 30, 2017, was primarily due to an increase in revenue related to our BMS agreement. The $2.0 million decrease in contracts and grants revenue for the three months ended June 30, 2018, as compared to the three months ended June 30, 2017, was primarily related to a decrease in services performed under our contract manufacturing and research and development agreement with the International AIDS Vaccine Initiative.</w:t>
      </w:r>
    </w:p>
    <w:p>
      <w:pPr>
        <w:sectPr>
          <w:pgSz w:w="11900" w:h="16838" w:orient="portrait"/>
          <w:cols w:equalWidth="0" w:num="1">
            <w:col w:w="11420"/>
          </w:cols>
          <w:pgMar w:left="240" w:top="125" w:right="239" w:bottom="28"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 w:gutter="0" w:footer="0" w:header="0"/>
          <w:type w:val="continuous"/>
        </w:sectPr>
      </w:pPr>
    </w:p>
    <w:bookmarkStart w:id="15" w:name="page16"/>
    <w:bookmarkEnd w:id="1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8"/>
              </w:rPr>
              <w:t>Increase/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7,719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(1,404)</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7,576</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(2,128)</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$1.4 million decrease in personnel expenses for the three months ended June 30, 2018, as compared to the three months ended June 30, 2017, was primarily due to a decrease in headcount and lower stock-based compensation expense partially offset by severance expense of $1.0 million. We expect personnel expenses to decrease over the next twelve months due to the Company’s restructuring in April 2018.</w:t>
      </w:r>
    </w:p>
    <w:p>
      <w:pPr>
        <w:spacing w:after="0" w:line="187"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$0.1 million decrease in laboratory supply expenses for the three months ended June 30, 2018, as compared to the three months ended</w:t>
      </w:r>
    </w:p>
    <w:p>
      <w:pPr>
        <w:ind w:right="20"/>
        <w:spacing w:after="0" w:line="261" w:lineRule="auto"/>
        <w:rPr>
          <w:sz w:val="20"/>
          <w:szCs w:val="20"/>
          <w:color w:val="auto"/>
        </w:rPr>
      </w:pPr>
      <w:r>
        <w:rPr>
          <w:rFonts w:ascii="Arial" w:cs="Arial" w:eastAsia="Arial" w:hAnsi="Arial"/>
          <w:sz w:val="18"/>
          <w:szCs w:val="18"/>
          <w:color w:val="auto"/>
        </w:rPr>
        <w:t>June 30, 2017, was primarily due to lower laboratory materials and supplies purchases. We expect laboratory supplies expenses to remain relatively consistent over the next twelve months, although there may be fluctuations on a quarterly basis.</w:t>
      </w:r>
    </w:p>
    <w:p>
      <w:pPr>
        <w:spacing w:after="0" w:line="18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decrease in facility expenses for the three months ended June 30, 2018, as compared to the three months ended June 30, 2017, was primarily due to lower repairs and utilities expense. We expect facility expenses to remain relatively consistent over the next twelve months, although there may be fluctuations on a quarterly basis.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License fee expenses include annual license maintenance fees and milestone payments due upon the achievement of certain development, regulatory and/or commercial milestones. The $0.1 million decrease in license fee expenses for the three months ended June 30, 2018, as compared to the three months ended June 30, 2017,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$2.1 million decrease in product development expenses for the three months ended June 30, 2018, as compared to the three months ended June 30, 2017, was primarily due to a decrease in clinical trial expenses of $1.3 million and a decrease in contract manufacturing expenses of $0.7 million. The amount of product development expenses incurred over the next twelve months is expected to decrease due to the discontinuation of the Glemba and CDX-014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$0.9 million decrease in general and administrative expenses for the three months ended June 30, 2018, as compared to the three months ended June 30, 2017, was primarily due to a decrease in headcount and lower stock-based compensation expense and marketing expense. The amount of general and administrative expenses incurred over the next twelve months is expected to decrease due to the Company’s restructuring in April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$7.4 million gain on fair value remeasurement of contingent consideration for the three months ended June 30, 2018 was due to a reduction in fair value as a result of discontinuation of the CDX-014 program and updated assumptions for the varlilumab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decrease in amortization expense for the three months ended June 30, 2018, as compared to the three months ended June 30, 2017, was the result of impairing the remaining balance of our intangible assets subject to amortization during the first quarter of 2018 due to the discontinuation of the Glemba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$0.1 million increase in investment and other income, net for the three months ended June 30, 2018, as compared to the three months ended June 30, 2017, was primarily due to higher interest rates on fixed income investments. We anticipate investment income to decrease over the next twelve months due to lower levels of cash and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jc w:val="center"/>
              <w:ind w:right="388"/>
              <w:spacing w:after="0"/>
              <w:rPr>
                <w:sz w:val="20"/>
                <w:szCs w:val="20"/>
                <w:color w:val="auto"/>
              </w:rPr>
            </w:pPr>
            <w:r>
              <w:rPr>
                <w:rFonts w:ascii="Arial" w:cs="Arial" w:eastAsia="Arial" w:hAnsi="Arial"/>
                <w:sz w:val="14"/>
                <w:szCs w:val="14"/>
                <w:b w:val="1"/>
                <w:bCs w:val="1"/>
                <w:color w:val="auto"/>
                <w:w w:val="93"/>
              </w:rPr>
              <w:t>Six Months Ended</w:t>
            </w:r>
          </w:p>
        </w:tc>
        <w:tc>
          <w:tcPr>
            <w:tcW w:w="440" w:type="dxa"/>
            <w:vAlign w:val="bottom"/>
          </w:tcPr>
          <w:p>
            <w:pPr>
              <w:spacing w:after="0"/>
              <w:rPr>
                <w:sz w:val="13"/>
                <w:szCs w:val="13"/>
                <w:color w:val="auto"/>
              </w:rPr>
            </w:pPr>
          </w:p>
        </w:tc>
        <w:tc>
          <w:tcPr>
            <w:tcW w:w="178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Increase/</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178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(Decrease)</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center"/>
              <w:ind w:left="48"/>
              <w:spacing w:after="0" w:line="142" w:lineRule="exact"/>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tcPr>
          <w:p>
            <w:pPr>
              <w:jc w:val="center"/>
              <w:ind w:left="4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97"/>
        </w:trPr>
        <w:tc>
          <w:tcPr>
            <w:tcW w:w="48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368"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2,662</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1,412</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4,113</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3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7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27%</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43,323</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50,792</w:t>
            </w:r>
          </w:p>
        </w:tc>
        <w:tc>
          <w:tcPr>
            <w:tcW w:w="4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(7,469)</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13,763</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4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90,976</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90,976</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n/a</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18,677</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18,677</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(Gain)/Loss on Fair Value Remeasurement of Contingent</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Consideration</w:t>
            </w:r>
          </w:p>
        </w:tc>
        <w:tc>
          <w:tcPr>
            <w:tcW w:w="4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(21,033)</w:t>
            </w:r>
          </w:p>
        </w:tc>
        <w:tc>
          <w:tcPr>
            <w:tcW w:w="4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4,400</w:t>
            </w:r>
          </w:p>
        </w:tc>
        <w:tc>
          <w:tcPr>
            <w:tcW w:w="480" w:type="dxa"/>
            <w:vAlign w:val="bottom"/>
          </w:tcPr>
          <w:p>
            <w:pPr>
              <w:spacing w:after="0"/>
              <w:rPr>
                <w:sz w:val="20"/>
                <w:szCs w:val="20"/>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25,433</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578%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143,382</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73,979</w:t>
            </w:r>
          </w:p>
        </w:tc>
        <w:tc>
          <w:tcPr>
            <w:tcW w:w="7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107%</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4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1,245</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48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(135,303)</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765</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n/a</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(134,538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71,711</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r>
      <w:tr>
        <w:trPr>
          <w:trHeight w:val="20"/>
        </w:trPr>
        <w:tc>
          <w:tcPr>
            <w:tcW w:w="4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$71.7 million increase in net loss for the six months ended June 30, 2018, as compared to the six months ended June 30, 2017, was primarily the result of the non-cash charges related to fully impairing our goodwill asset and Glemba-related intangible assets. This increase was partially offset by the gain on fair value remeasurement of contingent consideration and a decrease in research and development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$1.4 million increase in product development and licensing agreements revenue for the six months ended June 30, 2018, as compared to the six months ended June 30, 2017, was primarily due to an increase in revenue related to our BMS agreement. The $0.1 million increase in contracts and grants revenue for the six months ended June 30, 2018, as compared to the six months ended June 30, 2017, was primarily related to an increase in services performed under our contract manufacturing and research and development agreement with Frontier Biotechnologies,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88"/>
              </w:rPr>
              <w:t>Increase/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16,776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2,469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4,082</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14,925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(4,724)</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$2.4 million decrease in personnel expenses for the six months ended June 30, 2018, as compared to the six months ended June 30, 2017, was primarily due to a decrease in headcount and lower stock-based compensation expense partially offset by severance expense of $1.0 million.</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$0.2 million increase in laboratory supply expenses for the six months ended June 30, 2018, as compared to the six months ended June 30, 2017, was primarily due to higher laboratory materials and supplies purchases.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$0.5 million decrease in facility expenses for the six months ended June 30, 2018, as compared to the six months ended June 30, 2017, was primarily due to lower depreciation expense.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License fee expenses include annual license maintenance fees and milestone payments due upon the achievement of certain development, regulatory and/or commercial milestones. The $0.2 million decrease in license fee expenses for the six months ended June 30, 2018, as compared to the six months ended June 30, 2017, was due to the timing of certain development and/or regulatory milestones achieved by our drug candidates.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$4.7 million decrease in product development expenses for the six months ended June 30, 2018, as compared to the six months ended June 30, 2017, was primarily due to a decrease in clinical trial expenses of $2.6 million and a decrease in contract research expenses of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ectPr>
          <w:pgSz w:w="11900" w:h="16838" w:orient="portrait"/>
          <w:cols w:equalWidth="0" w:num="1">
            <w:col w:w="11420"/>
          </w:cols>
          <w:pgMar w:left="240" w:top="125" w:right="239" w:bottom="208" w:gutter="0" w:footer="0" w:header="0"/>
        </w:sectPr>
      </w:pPr>
    </w:p>
    <w:bookmarkStart w:id="17" w:name="page18"/>
    <w:bookmarkEnd w:id="17"/>
    <w:p>
      <w:pPr>
        <w:ind w:right="400" w:firstLine="648"/>
        <w:spacing w:after="0" w:line="342" w:lineRule="auto"/>
        <w:rPr>
          <w:sz w:val="20"/>
          <w:szCs w:val="20"/>
          <w:color w:val="auto"/>
        </w:rPr>
      </w:pPr>
      <w:r>
        <w:rPr>
          <w:rFonts w:ascii="Arial" w:cs="Arial" w:eastAsia="Arial" w:hAnsi="Arial"/>
          <w:sz w:val="16"/>
          <w:szCs w:val="16"/>
          <w:color w:val="auto"/>
        </w:rPr>
        <w:t>The $2.5 million decrease in general and administrative expenses for the six months ended June 30, 2018, as compared to the six months ended June 30, 2017, was primarily due to a decrease in headcount and lower stock-based compensation expense and marketing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$21.0 million gain on fair value remeasurement of contingent consideration for the six months ended June 30, 2018 was due to discontinuation of the Glemba and CDX-014 programs and updated assumptions for the varlilumab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decrease in amortization expense for the six months ended June 30, 2018, as compared to the six months ended June 30, 2017, was the result of impairing the remaining balance of our intangible assets subject to amortization during the first quarter of 2018 due to the discontinuation of the Glemba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and other income, net for the six months ended June 30, 2018 was consistent with the six months ended June 30,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At June 30, 2018, our principal sources of liquidity consisted of cash, cash equivalents and marketable securities of $114.0 million. We have had recurring losses and incurred a loss of $134.5 million for the six months ended June 30, 2018. Net cash used in operations for the six months ended June 30, 2018 was $45.4 million. We believe that the cash, cash equivalents and marketable securities at June 30, 2018, combined with the anticipated proceeds from future sales of our common stock under the Cantor agreement, are sufficient to meet estimated working capital requirements and fund planned operations through 2020. This could be impacted if we elected to pay Kolltan contingent milestones, if any, in cash.</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Net cash used in operating activities was $45.4 million for the six months ended June 30, 2018 as compared to $56.0 million for the six months ended June 30, 2017. The decrease in net cash used in operating activities was primarily due to an increase in revenue and decreases in both general and administrative and research and development expenses. We expect that cash used in operating activities will decrease over the next twelve months primarily due to the restructuring we announced in April 2018 and the pipeline prioritization initiative, although there may be fluctuations on a quarterly basis.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Net cash provided by investing activities was $28.7 million for the six months ended June 30, 2018 as compared to $58.2 million for the six months ended June 30, 2017. The decrease in net cash provided by investing activities was primarily due to net sales and maturities of marketable securities for the six months ended June 30, 2018 of $29.3 million as compared to $59.5 million for the six months ended June 30, 2017.</w:t>
      </w:r>
    </w:p>
    <w:p>
      <w:pPr>
        <w:sectPr>
          <w:pgSz w:w="11900" w:h="16838" w:orient="portrait"/>
          <w:cols w:equalWidth="0" w:num="1">
            <w:col w:w="11380"/>
          </w:cols>
          <w:pgMar w:left="240" w:top="125" w:right="279" w:bottom="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Net cash provided by financing activities was $20.3 million for the six months ended June 30, 2018 as compared to $21.6 million for the six months ended June 30, 2017. Net proceeds from stock issuances pursuant to employee benefit plans were $0.4 million during the six months ended June 30, 2018 as compared to $0.1 million for the six months ended June 30, 2017.</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six months ended June 30, 2018, we issued 17,953,046 shares of common stock under this controlled equity offering sales agreement with Cantor resulting in net proceeds of $20.0 million after deducting commission and offering expenses. At June 30, 2018, we had $47.0 million remaining in aggregate gross offering price available under the Cantor agreement. In July 2018, we issued 5,685,350 shares of its common stock resulting in net proceeds to us of $2.8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2017 which was filed with the SEC on March 7, 2018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2018 due to the short-term maturities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2018,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2018.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the risks described below and our condensed financial statements and accompanying notes, and the additional information in the other reports we file with the Securities and Exchange Commission along with the risks described in our Annual Report on Form 10-K for the fiscal year ended December 31, 2017.</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risks described below and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ectPr>
          <w:pgSz w:w="11900" w:h="16838" w:orient="portrait"/>
          <w:cols w:equalWidth="0" w:num="1">
            <w:col w:w="11420"/>
          </w:cols>
          <w:pgMar w:left="240" w:top="125" w:right="239" w:bottom="0" w:gutter="0" w:footer="0" w:header="0"/>
        </w:sectPr>
      </w:pPr>
    </w:p>
    <w:bookmarkStart w:id="19" w:name="page20"/>
    <w:bookmarkEnd w:id="19"/>
    <w:p>
      <w:pPr>
        <w:ind w:right="700" w:firstLine="648"/>
        <w:spacing w:after="0" w:line="342" w:lineRule="auto"/>
        <w:rPr>
          <w:sz w:val="20"/>
          <w:szCs w:val="20"/>
          <w:color w:val="auto"/>
        </w:rPr>
      </w:pPr>
      <w:r>
        <w:rPr>
          <w:rFonts w:ascii="Arial" w:cs="Arial" w:eastAsia="Arial" w:hAnsi="Arial"/>
          <w:sz w:val="16"/>
          <w:szCs w:val="16"/>
          <w:color w:val="auto"/>
        </w:rPr>
        <w:t>Except as set forth below, there have been no material changes to the risk factors previously disclosed and included in our Annual Report on Form 10-K for the fiscal year ended December 31, 2017 and as updated in our quarterly report on Form 10-Q for the quarter ended March 31, 2018.</w:t>
      </w:r>
    </w:p>
    <w:p>
      <w:pPr>
        <w:spacing w:after="0" w:line="124" w:lineRule="exact"/>
        <w:rPr>
          <w:sz w:val="20"/>
          <w:szCs w:val="20"/>
          <w:color w:val="auto"/>
        </w:rPr>
      </w:pPr>
    </w:p>
    <w:p>
      <w:pPr>
        <w:jc w:val="both"/>
        <w:ind w:right="460"/>
        <w:spacing w:after="0" w:line="340" w:lineRule="auto"/>
        <w:rPr>
          <w:sz w:val="20"/>
          <w:szCs w:val="20"/>
          <w:color w:val="auto"/>
        </w:rPr>
      </w:pPr>
      <w:r>
        <w:rPr>
          <w:rFonts w:ascii="Arial" w:cs="Arial" w:eastAsia="Arial" w:hAnsi="Arial"/>
          <w:sz w:val="15"/>
          <w:szCs w:val="15"/>
          <w:b w:val="1"/>
          <w:bCs w:val="1"/>
          <w:i w:val="1"/>
          <w:iCs w:val="1"/>
          <w:color w:val="auto"/>
        </w:rPr>
        <w:t>We are not currently in compliance with the continued listing requirements for NASDAQ. If the price of our common stock continues to trade below $1.00 per share for a sustained period or we do not meet other continued listing requirements, our common stock may be delisted from the NASDAQ Global Market, which could affect the market price and liquidity for our common stock and reduce our ability to raise additional capital.</w:t>
      </w:r>
    </w:p>
    <w:p>
      <w:pPr>
        <w:spacing w:after="0" w:line="13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common stock is listed on the NASDAQ Global Market. In order to maintain that listing, we must satisfy minimum financial and other requirements including, without limitation, a requirement that our closing bid price be at least $1.00 per share. On May 29, 2018, we received a written notice from NASDAQ indicating that we are not in compliance with the minimum bid price requirement for continued listing on the NASDAQ Global Market. We have 180 calendar days in which to regain compliance. We can regain compliance if at any time during this 180 day period the bid price of our common stock closes at or above $1.00 per share for a minimum of ten consecutive business days.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At our annual meeting of stockholders in June 2018, our stockholders approved a proposal to grant discretionary authority to our board of directors to amend our certificate of incorporation to effect a reverse split of our outstanding shares of common stock within a range of one share of common stock for every ten shares of common stock to one share of common stock for every fifteen shares of common stock, with the exact reverse split ratio to be decided and publicly announced by the board of directors prior to the effective time of the amendment to our certificate of incorporation. </w:t>
      </w:r>
      <w:r>
        <w:rPr>
          <w:rFonts w:ascii="Arial" w:cs="Arial" w:eastAsia="Arial" w:hAnsi="Arial"/>
          <w:sz w:val="16"/>
          <w:szCs w:val="16"/>
          <w:color w:val="auto"/>
        </w:rPr>
        <w:t>We intend to monitor the closing</w:t>
      </w:r>
      <w:r>
        <w:rPr>
          <w:rFonts w:ascii="Arial" w:cs="Arial" w:eastAsia="Arial" w:hAnsi="Arial"/>
          <w:sz w:val="17"/>
          <w:szCs w:val="17"/>
          <w:color w:val="auto"/>
        </w:rPr>
        <w:t xml:space="preserve"> </w:t>
      </w:r>
      <w:r>
        <w:rPr>
          <w:rFonts w:ascii="Arial" w:cs="Arial" w:eastAsia="Arial" w:hAnsi="Arial"/>
          <w:sz w:val="16"/>
          <w:szCs w:val="16"/>
          <w:color w:val="auto"/>
        </w:rPr>
        <w:t>bid price of our common stock and consider our available options to resolve our noncompliance with the minimum bid price requirement. No determination regarding our response has been made at this time. There can be no assurance that we will be able to regain compliance with the minimum bid price requirement or we will otherwise be in compliance with other NASDAQ listing criteria. If we fail to regain compliance with the minimum bid requirement or to meet the other applicable continued listing requirements for the NASDAQ Global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80" w:type="dxa"/>
            <w:vAlign w:val="bottom"/>
            <w:gridSpan w:val="8"/>
          </w:tcPr>
          <w:p>
            <w:pPr>
              <w:jc w:val="right"/>
              <w:ind w:right="128"/>
              <w:spacing w:after="0"/>
              <w:rPr>
                <w:sz w:val="20"/>
                <w:szCs w:val="20"/>
                <w:color w:val="auto"/>
              </w:rPr>
            </w:pPr>
            <w:r>
              <w:rPr>
                <w:rFonts w:ascii="Arial" w:cs="Arial" w:eastAsia="Arial" w:hAnsi="Arial"/>
                <w:sz w:val="18"/>
                <w:szCs w:val="18"/>
                <w:color w:val="auto"/>
              </w:rPr>
              <w:t>28</w:t>
            </w: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20" w:type="dxa"/>
            <w:vAlign w:val="bottom"/>
            <w:gridSpan w:val="17"/>
          </w:tcPr>
          <w:p>
            <w:pPr>
              <w:jc w:val="center"/>
              <w:ind w:right="3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15"/>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8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top w:val="single" w:sz="8" w:color="auto"/>
            </w:tcBorders>
            <w:gridSpan w:val="19"/>
          </w:tcPr>
          <w:p>
            <w:pPr>
              <w:spacing w:after="0" w:line="170" w:lineRule="exact"/>
              <w:rPr>
                <w:rFonts w:ascii="Arial" w:cs="Arial" w:eastAsia="Arial" w:hAnsi="Arial"/>
                <w:sz w:val="18"/>
                <w:szCs w:val="18"/>
                <w:color w:val="0000EE"/>
                <w:w w:val="97"/>
              </w:rPr>
            </w:pPr>
            <w:hyperlink r:id="rId46">
              <w:r>
                <w:rPr>
                  <w:rFonts w:ascii="Arial" w:cs="Arial" w:eastAsia="Arial" w:hAnsi="Arial"/>
                  <w:sz w:val="18"/>
                  <w:szCs w:val="18"/>
                  <w:color w:val="0000EE"/>
                  <w:w w:val="97"/>
                </w:rPr>
                <w:t>Third Restated Certificate of Incorporation of the Company, incorporated by reference to Exhibit 3.1 of the Company’s Registration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Statement on Form S-4 (Reg. No. 333-59215), filed July 16, 1998 with the Securities and Exchange Commission.</w:t>
              </w:r>
            </w:hyperlink>
          </w:p>
        </w:tc>
        <w:tc>
          <w:tcPr>
            <w:tcW w:w="1300" w:type="dxa"/>
            <w:vAlign w:val="bottom"/>
            <w:tcBorders>
              <w:top w:val="single" w:sz="8" w:color="0000EE"/>
            </w:tcBorders>
            <w:gridSpan w:val="5"/>
          </w:tcPr>
          <w:p>
            <w:pPr>
              <w:spacing w:after="0"/>
              <w:rPr>
                <w:sz w:val="17"/>
                <w:szCs w:val="17"/>
                <w:color w:val="auto"/>
              </w:rPr>
            </w:pPr>
          </w:p>
        </w:tc>
        <w:tc>
          <w:tcPr>
            <w:tcW w:w="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00" w:type="dxa"/>
            <w:vAlign w:val="bottom"/>
            <w:gridSpan w:val="21"/>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Certificate of Amendment of Third Restated Certificate of Incorporation of the Company, incorporated by reference to Exhibit 3.1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Company’s Registration Statement on Form S-4 (Reg. No. 333-59215), filed July 16, 1998 with the Securities and Exchange Commission.</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10160" w:type="dxa"/>
            <w:vAlign w:val="bottom"/>
            <w:tcBorders>
              <w:bottom w:val="single" w:sz="8" w:color="0000EE"/>
            </w:tcBorders>
            <w:gridSpan w:val="19"/>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Second Certificate of Amendment of Third Restated Certificate of Incorporation of the Company, incorporated by reference to Exhibit 3.2 of</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the Company’s Registration Statement on Form S-4 (Reg. No. 333-59215), filed July 16, 1998 with the Securities and Exchange</w:t>
              </w:r>
            </w:hyperlink>
          </w:p>
        </w:tc>
        <w:tc>
          <w:tcPr>
            <w:tcW w:w="9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Commission.</w:t>
              </w:r>
            </w:hyperlink>
          </w:p>
        </w:tc>
        <w:tc>
          <w:tcPr>
            <w:tcW w:w="92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0200" w:type="dxa"/>
            <w:vAlign w:val="bottom"/>
            <w:gridSpan w:val="21"/>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Third Certificate of Amendment of Third Restated Certificate of Incorporation of the Company, incorporated by reference to Exhibit 3.1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the Company’s Quarterly Report on Form 10-Q, filed May 10, 2002 with the Securities and Exchange Commission.</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10200" w:type="dxa"/>
            <w:vAlign w:val="bottom"/>
            <w:gridSpan w:val="21"/>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Fourth Certificate of Amendment of Third Restated Certificate of Incorporation of the Company, incorporated by reference to Exhibit 3.1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the Company’s Current Report on Form 8-K, filed on March 11, 2008 with the Securities and Exchange Commission.</w:t>
              </w:r>
            </w:hyperlink>
          </w:p>
        </w:tc>
        <w:tc>
          <w:tcPr>
            <w:tcW w:w="162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9980" w:type="dxa"/>
            <w:vAlign w:val="bottom"/>
            <w:tcBorders>
              <w:bottom w:val="single" w:sz="8" w:color="0000EE"/>
            </w:tcBorders>
            <w:gridSpan w:val="15"/>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Fifth Certificate of Amendment of Third Restated Certificate of Incorporation of the Company, incorporated by reference to Exhibit 3.2 of</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the Company’s Current Report on Form 8-K, filed on March 11, 2008 with the Securities and Exchange Commission.</w:t>
              </w:r>
            </w:hyperlink>
          </w:p>
        </w:tc>
        <w:tc>
          <w:tcPr>
            <w:tcW w:w="1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10200" w:type="dxa"/>
            <w:vAlign w:val="bottom"/>
            <w:gridSpan w:val="21"/>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Sixth Certificate of Amendment of Third Restated Certificate of Incorporation of the Company, incorporated by reference to Exhibit 3.7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the Company’s Quarterly Report on Form 10-Q, filed November 10, 2008 with the Securities and Exchange Commission.</w:t>
              </w:r>
            </w:hyperlink>
          </w:p>
        </w:tc>
        <w:tc>
          <w:tcPr>
            <w:tcW w:w="1220" w:type="dxa"/>
            <w:vAlign w:val="bottom"/>
            <w:tcBorders>
              <w:top w:val="single" w:sz="8" w:color="0000EE"/>
            </w:tcBorders>
            <w:gridSpan w:val="5"/>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Form of Non-Employee Director Stock Option Agreement</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President and Chief Executive Officer</w:t>
              </w:r>
            </w:hyperlink>
          </w:p>
        </w:tc>
        <w:tc>
          <w:tcPr>
            <w:tcW w:w="320" w:type="dxa"/>
            <w:vAlign w:val="bottom"/>
            <w:tcBorders>
              <w:top w:val="single" w:sz="8" w:color="0000EE"/>
            </w:tcBorders>
          </w:tcPr>
          <w:p>
            <w:pPr>
              <w:spacing w:after="0"/>
              <w:rPr>
                <w:sz w:val="24"/>
                <w:szCs w:val="24"/>
                <w:color w:val="auto"/>
              </w:rPr>
            </w:pPr>
          </w:p>
        </w:tc>
        <w:tc>
          <w:tcPr>
            <w:tcW w:w="59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47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Senior Vice President and Chief Financial Officer</w:t>
              </w:r>
            </w:hyperlink>
          </w:p>
        </w:tc>
        <w:tc>
          <w:tcPr>
            <w:tcW w:w="5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Section 1350 Certifications</w:t>
              </w:r>
            </w:hyperlink>
          </w:p>
        </w:tc>
        <w:tc>
          <w:tcPr>
            <w:tcW w:w="82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-4958080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-4958080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370"/>
              <w:spacing w:after="0"/>
              <w:rPr>
                <w:sz w:val="20"/>
                <w:szCs w:val="20"/>
                <w:color w:val="auto"/>
              </w:rPr>
            </w:pPr>
            <w:r>
              <w:rPr>
                <w:rFonts w:ascii="Arial" w:cs="Arial" w:eastAsia="Arial" w:hAnsi="Arial"/>
                <w:sz w:val="18"/>
                <w:szCs w:val="18"/>
                <w:color w:val="auto"/>
                <w:w w:val="91"/>
              </w:rPr>
              <w:t>*101</w:t>
            </w:r>
          </w:p>
        </w:tc>
        <w:tc>
          <w:tcPr>
            <w:tcW w:w="4980" w:type="dxa"/>
            <w:vAlign w:val="bottom"/>
          </w:tcPr>
          <w:p>
            <w:pPr>
              <w:ind w:left="44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jc w:val="right"/>
              <w:ind w:right="370"/>
              <w:spacing w:after="0"/>
              <w:rPr>
                <w:sz w:val="20"/>
                <w:szCs w:val="20"/>
                <w:color w:val="auto"/>
              </w:rPr>
            </w:pPr>
            <w:r>
              <w:rPr>
                <w:rFonts w:ascii="Arial" w:cs="Arial" w:eastAsia="Arial" w:hAnsi="Arial"/>
                <w:sz w:val="18"/>
                <w:szCs w:val="18"/>
                <w:color w:val="auto"/>
                <w:w w:val="91"/>
              </w:rPr>
              <w:t>*101</w:t>
            </w:r>
          </w:p>
        </w:tc>
        <w:tc>
          <w:tcPr>
            <w:tcW w:w="4980" w:type="dxa"/>
            <w:vAlign w:val="bottom"/>
          </w:tcPr>
          <w:p>
            <w:pPr>
              <w:ind w:left="4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20" w:type="dxa"/>
            <w:vAlign w:val="bottom"/>
          </w:tcPr>
          <w:p>
            <w:pPr>
              <w:jc w:val="right"/>
              <w:ind w:right="370"/>
              <w:spacing w:after="0"/>
              <w:rPr>
                <w:sz w:val="20"/>
                <w:szCs w:val="20"/>
                <w:color w:val="auto"/>
              </w:rPr>
            </w:pPr>
            <w:r>
              <w:rPr>
                <w:rFonts w:ascii="Arial" w:cs="Arial" w:eastAsia="Arial" w:hAnsi="Arial"/>
                <w:sz w:val="18"/>
                <w:szCs w:val="18"/>
                <w:color w:val="auto"/>
                <w:w w:val="91"/>
              </w:rPr>
              <w:t>*101</w:t>
            </w:r>
          </w:p>
        </w:tc>
        <w:tc>
          <w:tcPr>
            <w:tcW w:w="4980" w:type="dxa"/>
            <w:vAlign w:val="bottom"/>
          </w:tcPr>
          <w:p>
            <w:pPr>
              <w:ind w:left="4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20" w:type="dxa"/>
            <w:vAlign w:val="bottom"/>
          </w:tcPr>
          <w:p>
            <w:pPr>
              <w:jc w:val="right"/>
              <w:ind w:right="370"/>
              <w:spacing w:after="0"/>
              <w:rPr>
                <w:sz w:val="20"/>
                <w:szCs w:val="20"/>
                <w:color w:val="auto"/>
              </w:rPr>
            </w:pPr>
            <w:r>
              <w:rPr>
                <w:rFonts w:ascii="Arial" w:cs="Arial" w:eastAsia="Arial" w:hAnsi="Arial"/>
                <w:sz w:val="18"/>
                <w:szCs w:val="18"/>
                <w:color w:val="auto"/>
                <w:w w:val="91"/>
              </w:rPr>
              <w:t>*101</w:t>
            </w:r>
          </w:p>
        </w:tc>
        <w:tc>
          <w:tcPr>
            <w:tcW w:w="4980" w:type="dxa"/>
            <w:vAlign w:val="bottom"/>
          </w:tcPr>
          <w:p>
            <w:pPr>
              <w:ind w:left="4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20" w:type="dxa"/>
            <w:vAlign w:val="bottom"/>
          </w:tcPr>
          <w:p>
            <w:pPr>
              <w:jc w:val="right"/>
              <w:ind w:right="370"/>
              <w:spacing w:after="0"/>
              <w:rPr>
                <w:sz w:val="20"/>
                <w:szCs w:val="20"/>
                <w:color w:val="auto"/>
              </w:rPr>
            </w:pPr>
            <w:r>
              <w:rPr>
                <w:rFonts w:ascii="Arial" w:cs="Arial" w:eastAsia="Arial" w:hAnsi="Arial"/>
                <w:sz w:val="18"/>
                <w:szCs w:val="18"/>
                <w:color w:val="auto"/>
                <w:w w:val="91"/>
              </w:rPr>
              <w:t>*101</w:t>
            </w:r>
          </w:p>
        </w:tc>
        <w:tc>
          <w:tcPr>
            <w:tcW w:w="4980" w:type="dxa"/>
            <w:vAlign w:val="bottom"/>
          </w:tcPr>
          <w:p>
            <w:pPr>
              <w:ind w:left="4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20" w:type="dxa"/>
            <w:vAlign w:val="bottom"/>
          </w:tcPr>
          <w:p>
            <w:pPr>
              <w:jc w:val="right"/>
              <w:ind w:right="370"/>
              <w:spacing w:after="0"/>
              <w:rPr>
                <w:sz w:val="20"/>
                <w:szCs w:val="20"/>
                <w:color w:val="auto"/>
              </w:rPr>
            </w:pPr>
            <w:r>
              <w:rPr>
                <w:rFonts w:ascii="Arial" w:cs="Arial" w:eastAsia="Arial" w:hAnsi="Arial"/>
                <w:sz w:val="18"/>
                <w:szCs w:val="18"/>
                <w:color w:val="auto"/>
                <w:w w:val="91"/>
              </w:rPr>
              <w:t>*101</w:t>
            </w:r>
          </w:p>
        </w:tc>
        <w:tc>
          <w:tcPr>
            <w:tcW w:w="4980" w:type="dxa"/>
            <w:vAlign w:val="bottom"/>
          </w:tcPr>
          <w:p>
            <w:pPr>
              <w:ind w:left="4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60" w:hanging="99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99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8, 2018</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SAM MARTIN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8, 2018</w:t>
      </w:r>
      <w:r>
        <w:rPr>
          <w:sz w:val="20"/>
          <w:szCs w:val="20"/>
          <w:color w:val="auto"/>
        </w:rPr>
        <w:tab/>
      </w:r>
      <w:r>
        <w:rPr>
          <w:rFonts w:ascii="Arial" w:cs="Arial" w:eastAsia="Arial" w:hAnsi="Arial"/>
          <w:sz w:val="16"/>
          <w:szCs w:val="16"/>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21" w:name="page22"/>
    <w:bookmarkEnd w:id="21"/>
    <w:p>
      <w:pPr>
        <w:spacing w:after="0" w:line="12"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spacing w:after="0"/>
        <w:tabs>
          <w:tab w:leader="none" w:pos="8840" w:val="left"/>
        </w:tabs>
        <w:rPr>
          <w:sz w:val="20"/>
          <w:szCs w:val="20"/>
          <w:color w:val="auto"/>
        </w:rPr>
      </w:pPr>
      <w:r>
        <w:rPr>
          <w:rFonts w:ascii="Arial" w:cs="Arial" w:eastAsia="Arial" w:hAnsi="Arial"/>
          <w:sz w:val="18"/>
          <w:szCs w:val="18"/>
          <w:u w:val="single" w:color="auto"/>
          <w:color w:val="auto"/>
        </w:rPr>
        <w:t>No. of shares subject to option</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sz w:val="20"/>
          <w:szCs w:val="20"/>
          <w:color w:val="auto"/>
        </w:rPr>
        <w:tab/>
      </w:r>
      <w:r>
        <w:rPr>
          <w:rFonts w:ascii="Arial" w:cs="Arial" w:eastAsia="Arial" w:hAnsi="Arial"/>
          <w:sz w:val="17"/>
          <w:szCs w:val="17"/>
          <w:u w:val="single" w:color="auto"/>
          <w:color w:val="auto"/>
        </w:rPr>
        <w:t>Option No</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i w:val="1"/>
          <w:iCs w:val="1"/>
          <w:color w:val="auto"/>
        </w:rPr>
        <w:t>«GrantNo»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29" w:lineRule="exact"/>
        <w:rPr>
          <w:sz w:val="20"/>
          <w:szCs w:val="20"/>
          <w:color w:val="auto"/>
        </w:rPr>
      </w:pPr>
    </w:p>
    <w:p>
      <w:pPr>
        <w:ind w:right="440" w:firstLine="635"/>
        <w:spacing w:after="0" w:line="277" w:lineRule="auto"/>
        <w:rPr>
          <w:sz w:val="20"/>
          <w:szCs w:val="20"/>
          <w:color w:val="auto"/>
        </w:rPr>
      </w:pPr>
      <w:r>
        <w:rPr>
          <w:rFonts w:ascii="Arial" w:cs="Arial" w:eastAsia="Arial" w:hAnsi="Arial"/>
          <w:sz w:val="18"/>
          <w:szCs w:val="18"/>
          <w:color w:val="auto"/>
        </w:rPr>
        <w:t xml:space="preserve">THIS AGREEMENT dated as of </w:t>
      </w:r>
      <w:r>
        <w:rPr>
          <w:rFonts w:ascii="Arial" w:cs="Arial" w:eastAsia="Arial" w:hAnsi="Arial"/>
          <w:sz w:val="18"/>
          <w:szCs w:val="18"/>
          <w:i w:val="1"/>
          <w:iCs w:val="1"/>
          <w:color w:val="auto"/>
        </w:rPr>
        <w:t>«OptDate»</w:t>
      </w:r>
      <w:r>
        <w:rPr>
          <w:rFonts w:ascii="Arial" w:cs="Arial" w:eastAsia="Arial" w:hAnsi="Arial"/>
          <w:sz w:val="18"/>
          <w:szCs w:val="18"/>
          <w:color w:val="auto"/>
        </w:rPr>
        <w:t xml:space="preserve"> (the “Effective Date”), between CELLDEX THERAPEUTICS, INC., a Delaware corporation (the “Company”), and </w:t>
      </w:r>
      <w:r>
        <w:rPr>
          <w:rFonts w:ascii="Arial" w:cs="Arial" w:eastAsia="Arial" w:hAnsi="Arial"/>
          <w:sz w:val="18"/>
          <w:szCs w:val="18"/>
          <w:i w:val="1"/>
          <w:iCs w:val="1"/>
          <w:color w:val="auto"/>
        </w:rPr>
        <w:t>«FirstName» «LastName»</w:t>
      </w:r>
      <w:r>
        <w:rPr>
          <w:rFonts w:ascii="Arial" w:cs="Arial" w:eastAsia="Arial" w:hAnsi="Arial"/>
          <w:sz w:val="18"/>
          <w:szCs w:val="18"/>
          <w:color w:val="auto"/>
        </w:rPr>
        <w:t xml:space="preserve"> (the “Optionee”).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660" w:right="8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xml:space="preserve"> Pursuant to the provisions of the Celldex Therapeutics, Inc. 2008 Stock Option and Incentive Plan (the “Plan”), the Company hereby grants to Optionee, subject to the terms and conditions herein set forth, the right and option (the “Option”) to purchase from the Company all or any part of an aggregate of </w:t>
      </w:r>
      <w:r>
        <w:rPr>
          <w:rFonts w:ascii="Arial" w:cs="Arial" w:eastAsia="Arial" w:hAnsi="Arial"/>
          <w:sz w:val="18"/>
          <w:szCs w:val="18"/>
          <w:i w:val="1"/>
          <w:iCs w:val="1"/>
          <w:color w:val="auto"/>
        </w:rPr>
        <w:t>«Shares»</w:t>
      </w:r>
      <w:r>
        <w:rPr>
          <w:rFonts w:ascii="Arial" w:cs="Arial" w:eastAsia="Arial" w:hAnsi="Arial"/>
          <w:sz w:val="18"/>
          <w:szCs w:val="18"/>
          <w:color w:val="auto"/>
        </w:rPr>
        <w:t xml:space="preserve"> shares of Common Stock, $.001 par value (“Common Stock”), of the Company at the purchase price of </w:t>
      </w:r>
      <w:r>
        <w:rPr>
          <w:rFonts w:ascii="Arial" w:cs="Arial" w:eastAsia="Arial" w:hAnsi="Arial"/>
          <w:sz w:val="18"/>
          <w:szCs w:val="18"/>
          <w:i w:val="1"/>
          <w:iCs w:val="1"/>
          <w:color w:val="auto"/>
        </w:rPr>
        <w:t xml:space="preserve">«OptPrice» </w:t>
      </w:r>
      <w:r>
        <w:rPr>
          <w:rFonts w:ascii="Arial" w:cs="Arial" w:eastAsia="Arial" w:hAnsi="Arial"/>
          <w:sz w:val="18"/>
          <w:szCs w:val="18"/>
          <w:color w:val="auto"/>
        </w:rPr>
        <w:t>per share.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xml:space="preserve"> It is understood and agreed that the Option is subject to the following terms and conditions:</w:t>
      </w:r>
    </w:p>
    <w:p>
      <w:pPr>
        <w:spacing w:after="0" w:line="225" w:lineRule="exact"/>
        <w:rPr>
          <w:rFonts w:ascii="Arial" w:cs="Arial" w:eastAsia="Arial" w:hAnsi="Arial"/>
          <w:sz w:val="18"/>
          <w:szCs w:val="18"/>
          <w:color w:val="auto"/>
        </w:rPr>
      </w:pPr>
    </w:p>
    <w:p>
      <w:pPr>
        <w:ind w:left="1300" w:right="320" w:hanging="662"/>
        <w:spacing w:after="0" w:line="277" w:lineRule="auto"/>
        <w:tabs>
          <w:tab w:leader="none" w:pos="1293"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Option Expiration Date.</w:t>
      </w:r>
      <w:r>
        <w:rPr>
          <w:rFonts w:ascii="Arial" w:cs="Arial" w:eastAsia="Arial" w:hAnsi="Arial"/>
          <w:sz w:val="18"/>
          <w:szCs w:val="18"/>
          <w:color w:val="auto"/>
        </w:rPr>
        <w:t xml:space="preserve"> The Option shall expire ten years after the Effective Date (such date being herein referred to as the “Expiration Date”) except as otherwise provided in paragraph (d) of this Section 2.</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7"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Vesting of Option.</w:t>
      </w:r>
      <w:r>
        <w:rPr>
          <w:rFonts w:ascii="Arial" w:cs="Arial" w:eastAsia="Arial" w:hAnsi="Arial"/>
          <w:sz w:val="18"/>
          <w:szCs w:val="18"/>
          <w:color w:val="auto"/>
        </w:rPr>
        <w:t xml:space="preserve"> Except as otherwise provided in this Agreement, Optionee may purchase from the Company pursuant to the Option,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of the shares subject to the Option at any time after the first anniversary of the Effective Date.</w:t>
      </w:r>
    </w:p>
    <w:p>
      <w:pPr>
        <w:spacing w:after="0" w:line="225" w:lineRule="exact"/>
        <w:rPr>
          <w:sz w:val="20"/>
          <w:szCs w:val="20"/>
          <w:color w:val="auto"/>
        </w:rPr>
      </w:pPr>
    </w:p>
    <w:p>
      <w:pPr>
        <w:ind w:left="1320" w:hanging="682"/>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Exercise of Option; Payment of Purchase Price; Tax Withholding.</w:t>
      </w:r>
    </w:p>
    <w:p>
      <w:pPr>
        <w:spacing w:after="0" w:line="225" w:lineRule="exact"/>
        <w:rPr>
          <w:rFonts w:ascii="Arial" w:cs="Arial" w:eastAsia="Arial" w:hAnsi="Arial"/>
          <w:sz w:val="18"/>
          <w:szCs w:val="18"/>
          <w:color w:val="auto"/>
        </w:rPr>
      </w:pPr>
    </w:p>
    <w:p>
      <w:pPr>
        <w:ind w:left="1960" w:hanging="655"/>
        <w:spacing w:after="0" w:line="277" w:lineRule="auto"/>
        <w:tabs>
          <w:tab w:leader="none" w:pos="1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Option shall be exercised by Optionee by notice to the Company stating the number of shares with respect to which the Option is being exercised.</w:t>
      </w:r>
    </w:p>
    <w:p>
      <w:pPr>
        <w:spacing w:after="0" w:line="170" w:lineRule="exact"/>
        <w:rPr>
          <w:rFonts w:ascii="Arial" w:cs="Arial" w:eastAsia="Arial" w:hAnsi="Arial"/>
          <w:sz w:val="18"/>
          <w:szCs w:val="18"/>
          <w:color w:val="auto"/>
        </w:rPr>
      </w:pPr>
    </w:p>
    <w:p>
      <w:pPr>
        <w:ind w:left="1960" w:hanging="655"/>
        <w:spacing w:after="0" w:line="290" w:lineRule="auto"/>
        <w:tabs>
          <w:tab w:leader="none" w:pos="19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At the time of any exercise, the purchase price of the shares as to which the Option shall be exercised shall be paid to the Company in U.S. Dollars in cash or by check; by delivery of whole shares of common stock of the Company (“Optionee Stock”) which have been owned by the Optionee free of any substantial restriction for at least six (6) months, valued at their fair market value, as determined under Section 5(d)(ii) of the Plan, as of the first business day preceding the notice of election equal to the purchase price; by delivering a properly executed exercise notice in a form approved by the Administrator together with irrevocable instructions to a broker to promptly deliver to the Corporation the amount of applicable sale or loan proceeds to pay such purchase price; or by a combination of the foregoing. Any shares of Optionee Stock being delivered must be accompanied by a duly executed assignment to the Company in blank or with stock power attached, together with a written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1960" w:right="160"/>
        <w:spacing w:after="0" w:line="277" w:lineRule="auto"/>
        <w:rPr>
          <w:rFonts w:ascii="Arial" w:cs="Arial" w:eastAsia="Arial" w:hAnsi="Arial"/>
          <w:sz w:val="16"/>
          <w:szCs w:val="16"/>
          <w:color w:val="auto"/>
        </w:rPr>
      </w:pPr>
      <w:r>
        <w:rPr>
          <w:rFonts w:ascii="Arial" w:cs="Arial" w:eastAsia="Arial" w:hAnsi="Arial"/>
          <w:sz w:val="18"/>
          <w:szCs w:val="18"/>
          <w:color w:val="auto"/>
        </w:rPr>
        <w:t>representation that such shares of Optionee Stock are owned by the Optionee free and clear of all liens, claims and encumbrances and such other representations as the Company shall determine.</w:t>
      </w:r>
    </w:p>
    <w:p>
      <w:pPr>
        <w:spacing w:after="0" w:line="170" w:lineRule="exact"/>
        <w:rPr>
          <w:rFonts w:ascii="Arial" w:cs="Arial" w:eastAsia="Arial" w:hAnsi="Arial"/>
          <w:sz w:val="16"/>
          <w:szCs w:val="16"/>
          <w:color w:val="auto"/>
        </w:rPr>
      </w:pPr>
    </w:p>
    <w:p>
      <w:pPr>
        <w:ind w:left="1960" w:right="400" w:hanging="655"/>
        <w:spacing w:after="0" w:line="277" w:lineRule="auto"/>
        <w:tabs>
          <w:tab w:leader="none" w:pos="19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Upon any exercise of the Option, the Optionee shall make appropriate arrangements to meet any withholding requirements of Federal, state, local or foreign tax laws.</w:t>
      </w:r>
    </w:p>
    <w:p>
      <w:pPr>
        <w:spacing w:after="0" w:line="170" w:lineRule="exact"/>
        <w:rPr>
          <w:rFonts w:ascii="Arial" w:cs="Arial" w:eastAsia="Arial" w:hAnsi="Arial"/>
          <w:sz w:val="18"/>
          <w:szCs w:val="18"/>
          <w:color w:val="auto"/>
        </w:rPr>
      </w:pPr>
    </w:p>
    <w:p>
      <w:pPr>
        <w:ind w:left="1300" w:hanging="66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Exercise Upon Death, Disability or Termination of Service.</w:t>
      </w:r>
    </w:p>
    <w:p>
      <w:pPr>
        <w:spacing w:after="0" w:line="225" w:lineRule="exact"/>
        <w:rPr>
          <w:rFonts w:ascii="Arial" w:cs="Arial" w:eastAsia="Arial" w:hAnsi="Arial"/>
          <w:sz w:val="18"/>
          <w:szCs w:val="18"/>
          <w:color w:val="auto"/>
        </w:rPr>
      </w:pPr>
    </w:p>
    <w:p>
      <w:pPr>
        <w:ind w:left="1960" w:right="20" w:hanging="655"/>
        <w:spacing w:after="0" w:line="302" w:lineRule="auto"/>
        <w:tabs>
          <w:tab w:leader="none" w:pos="1981"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the event of the death of Optionee while in the service of the Company, the Option may be exercised, to the extent that Optionee was entitled to do so at the date of Optionee’s termination of service, by the person or persons to whom Optionee’s rights under the Option pass by will or applicable law, or if no such person has such right, by Optionee’s executors or administrators, at any time, or from time to time, within one (1) year after the date of Optionee’s death, but in no event later than the Expiration Date.</w:t>
      </w:r>
    </w:p>
    <w:p>
      <w:pPr>
        <w:spacing w:after="0" w:line="154" w:lineRule="exact"/>
        <w:rPr>
          <w:rFonts w:ascii="Arial" w:cs="Arial" w:eastAsia="Arial" w:hAnsi="Arial"/>
          <w:sz w:val="16"/>
          <w:szCs w:val="16"/>
          <w:color w:val="auto"/>
        </w:rPr>
      </w:pPr>
    </w:p>
    <w:p>
      <w:pPr>
        <w:ind w:left="1960" w:right="320" w:hanging="655"/>
        <w:spacing w:after="0" w:line="291" w:lineRule="auto"/>
        <w:tabs>
          <w:tab w:leader="none" w:pos="19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Optionee’s service to the Company shall terminate because of permanent disability, Optionee may exercise the Option to the extent that Optionee was entitled to do so at the date of termination of service, at any time, or from time to time, within one</w:t>
      </w:r>
    </w:p>
    <w:p>
      <w:pPr>
        <w:ind w:left="1960"/>
        <w:spacing w:after="0"/>
        <w:rPr>
          <w:rFonts w:ascii="Arial" w:cs="Arial" w:eastAsia="Arial" w:hAnsi="Arial"/>
          <w:sz w:val="16"/>
          <w:szCs w:val="16"/>
          <w:color w:val="auto"/>
        </w:rPr>
      </w:pPr>
      <w:r>
        <w:rPr>
          <w:rFonts w:ascii="Arial" w:cs="Arial" w:eastAsia="Arial" w:hAnsi="Arial"/>
          <w:sz w:val="18"/>
          <w:szCs w:val="18"/>
          <w:color w:val="auto"/>
        </w:rPr>
        <w:t>(1) year of the date of termination of service, but in no event later than the Expiration Date.</w:t>
      </w:r>
    </w:p>
    <w:p>
      <w:pPr>
        <w:spacing w:after="0" w:line="210" w:lineRule="exact"/>
        <w:rPr>
          <w:rFonts w:ascii="Arial" w:cs="Arial" w:eastAsia="Arial" w:hAnsi="Arial"/>
          <w:sz w:val="16"/>
          <w:szCs w:val="16"/>
          <w:color w:val="auto"/>
        </w:rPr>
      </w:pPr>
    </w:p>
    <w:p>
      <w:pPr>
        <w:ind w:left="1960" w:right="60" w:hanging="655"/>
        <w:spacing w:after="0" w:line="277" w:lineRule="auto"/>
        <w:tabs>
          <w:tab w:leader="none" w:pos="2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Optionee’s service to the Company is terminated for “cause,” as determined by the Administrator, Optionee’s ability to exercise the Option shall terminate on the date of termination of service.</w:t>
      </w:r>
    </w:p>
    <w:p>
      <w:pPr>
        <w:spacing w:after="0" w:line="170" w:lineRule="exact"/>
        <w:rPr>
          <w:rFonts w:ascii="Arial" w:cs="Arial" w:eastAsia="Arial" w:hAnsi="Arial"/>
          <w:sz w:val="18"/>
          <w:szCs w:val="18"/>
          <w:color w:val="auto"/>
        </w:rPr>
      </w:pPr>
    </w:p>
    <w:p>
      <w:pPr>
        <w:ind w:left="1960" w:right="80" w:hanging="655"/>
        <w:spacing w:after="0" w:line="259" w:lineRule="auto"/>
        <w:tabs>
          <w:tab w:leader="none" w:pos="19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Optionee’s service to the Company shall terminate for any reason other than death, permanent disability or “cause,” as provided for above, Optionee may exercise the Option, to the extent that Optionee could have done so at the date of termination of service, at any time, or from time to time, within three (3) months of the date of termination of service, but in no event later than the Expiration Date.</w:t>
      </w:r>
    </w:p>
    <w:p>
      <w:pPr>
        <w:spacing w:after="0" w:line="186" w:lineRule="exact"/>
        <w:rPr>
          <w:rFonts w:ascii="Arial" w:cs="Arial" w:eastAsia="Arial" w:hAnsi="Arial"/>
          <w:sz w:val="18"/>
          <w:szCs w:val="18"/>
          <w:color w:val="auto"/>
        </w:rPr>
      </w:pPr>
    </w:p>
    <w:p>
      <w:pPr>
        <w:ind w:left="1300" w:right="100" w:hanging="662"/>
        <w:spacing w:after="0" w:line="277" w:lineRule="auto"/>
        <w:tabs>
          <w:tab w:leader="none" w:pos="130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xml:space="preserve"> The Option shall not be transferable other than by will or by the law of descent and distribution. During the lifetime of Optionee, the Option shall be exercisable only by the Optionee.</w:t>
      </w:r>
    </w:p>
    <w:p>
      <w:pPr>
        <w:spacing w:after="0" w:line="170" w:lineRule="exact"/>
        <w:rPr>
          <w:rFonts w:ascii="Arial" w:cs="Arial" w:eastAsia="Arial" w:hAnsi="Arial"/>
          <w:sz w:val="18"/>
          <w:szCs w:val="18"/>
          <w:color w:val="auto"/>
        </w:rPr>
      </w:pPr>
    </w:p>
    <w:p>
      <w:pPr>
        <w:ind w:left="1300" w:right="40" w:hanging="66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as defined in the Plan, the portion of this Option which the Optionee is not entitled to exercise shall be accelerated with the occurrence of the Change of Control and the Optionee shall have the right to exercise such portion of this Option, subject to the exceptions and terms provided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-4653915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0" w:orient="portrait"/>
          <w:cols w:equalWidth="0" w:num="1">
            <w:col w:w="11420"/>
          </w:cols>
          <w:pgMar w:left="240" w:top="121" w:right="239" w:bottom="0" w:gutter="0" w:footer="0" w:header="0"/>
        </w:sectPr>
      </w:pPr>
    </w:p>
    <w:bookmarkStart w:id="22" w:name="page23"/>
    <w:bookmarkEnd w:id="22"/>
    <w:p>
      <w:pPr>
        <w:ind w:left="1300" w:right="580" w:hanging="662"/>
        <w:spacing w:after="0" w:line="277" w:lineRule="auto"/>
        <w:tabs>
          <w:tab w:leader="none" w:pos="131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xml:space="preserve"> Optionee shall have no rights as a stockholder with respect to any shares of Common Stock subject to the Option prior to the date of issuance of a certificate or certificates for such shares.</w:t>
      </w:r>
    </w:p>
    <w:p>
      <w:pPr>
        <w:spacing w:after="0" w:line="170" w:lineRule="exact"/>
        <w:rPr>
          <w:rFonts w:ascii="Arial" w:cs="Arial" w:eastAsia="Arial" w:hAnsi="Arial"/>
          <w:sz w:val="18"/>
          <w:szCs w:val="18"/>
          <w:color w:val="auto"/>
        </w:rPr>
      </w:pPr>
    </w:p>
    <w:p>
      <w:pPr>
        <w:ind w:left="1300" w:right="100" w:hanging="662"/>
        <w:spacing w:after="0" w:line="342" w:lineRule="auto"/>
        <w:tabs>
          <w:tab w:leader="none" w:pos="1303"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 Right to Continued Service.</w:t>
      </w:r>
      <w:r>
        <w:rPr>
          <w:rFonts w:ascii="Arial" w:cs="Arial" w:eastAsia="Arial" w:hAnsi="Arial"/>
          <w:sz w:val="16"/>
          <w:szCs w:val="16"/>
          <w:color w:val="auto"/>
        </w:rPr>
        <w:t xml:space="preserve"> Neither the Option nor this Agreement shall confer upon Optionee any right with respect to continuance of service to the Company, nor shall it interfere in any way with the right of the Company to terminate Optionee’s service at any time.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300" w:right="40" w:hanging="662"/>
        <w:spacing w:after="0" w:line="269" w:lineRule="auto"/>
        <w:tabs>
          <w:tab w:leader="none" w:pos="1317"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Compliance with Law and Regulations.</w:t>
      </w:r>
      <w:r>
        <w:rPr>
          <w:rFonts w:ascii="Arial" w:cs="Arial" w:eastAsia="Arial" w:hAnsi="Arial"/>
          <w:sz w:val="17"/>
          <w:szCs w:val="17"/>
          <w:color w:val="auto"/>
        </w:rPr>
        <w:t xml:space="preserve"> The Option and the obligation of the Company to sell and deliver shares hereunder shall be subject to all applicable federal and state laws, rules and regulations and to such approvals by any government or regulatory agency as may be required. If at any time the Administrator shall determine in its discretion that the listing, registration or qualification of the shares covered by the Option upon any national securities exchange or under any federal or state law, or the consent or approval of any governmental regulatory body, is necessary or desirable as a condition of, or in connection with, the sale or purchase of shares, no shares will be delivered to Optionee unless and until such listing, registration, qualification, consent or approval shall have been effected or obtained, or otherwise provided for, free of any conditions not acceptable to the Administrator. If shares are not required to be registered, but are exempt from registration, upon exercising all or any portion of the Option, Optionee shall represent that the shares being acquired are being acquired for investment only and not with a view to their sale or distribution thereof, and shall make such other representations as deemed appropriate by counsel to the Company. Stock certificates evidencing unregistered shares acquired upon exercise of the option shall be subject to stop transfer instructions by the Company to the transfer agent for the shares and shall bear any legend required by applicable state securities laws.</w:t>
      </w:r>
    </w:p>
    <w:p>
      <w:pPr>
        <w:spacing w:after="0" w:line="179" w:lineRule="exact"/>
        <w:rPr>
          <w:rFonts w:ascii="Arial" w:cs="Arial" w:eastAsia="Arial" w:hAnsi="Arial"/>
          <w:sz w:val="17"/>
          <w:szCs w:val="17"/>
          <w:color w:val="auto"/>
        </w:rPr>
      </w:pPr>
    </w:p>
    <w:p>
      <w:pPr>
        <w:ind w:left="1300" w:right="60" w:hanging="662"/>
        <w:spacing w:after="0" w:line="276" w:lineRule="auto"/>
        <w:tabs>
          <w:tab w:leader="none" w:pos="1303"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xml:space="preserve"> As used in this Agreement, “cause” means (i) dishonest statements or acts of the Optionee with respect to the Company or any affiliate of the Company; (ii) the commission by or indictment of the Optionee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or willful misconduct of the Optionee with respect to the Company or any affiliate of the Company.</w:t>
      </w:r>
    </w:p>
    <w:p>
      <w:pPr>
        <w:spacing w:after="0" w:line="172" w:lineRule="exact"/>
        <w:rPr>
          <w:rFonts w:ascii="Arial" w:cs="Arial" w:eastAsia="Arial" w:hAnsi="Arial"/>
          <w:sz w:val="17"/>
          <w:szCs w:val="17"/>
          <w:color w:val="auto"/>
        </w:rPr>
      </w:pPr>
    </w:p>
    <w:p>
      <w:pPr>
        <w:ind w:left="660" w:right="3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Optionee Bound by Plan.</w:t>
      </w:r>
      <w:r>
        <w:rPr>
          <w:rFonts w:ascii="Arial" w:cs="Arial" w:eastAsia="Arial" w:hAnsi="Arial"/>
          <w:sz w:val="18"/>
          <w:szCs w:val="18"/>
          <w:color w:val="auto"/>
        </w:rPr>
        <w:t xml:space="preserve"> Optionee hereby acknowledges that this Option is subject to all the terms and provisions of the Plan. Capitalized terms used in this Agreement but not defined have the meanings set forth in the Plan.</w:t>
      </w:r>
    </w:p>
    <w:p>
      <w:pPr>
        <w:spacing w:after="0" w:line="170"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Status of Option.</w:t>
      </w:r>
      <w:r>
        <w:rPr>
          <w:rFonts w:ascii="Arial" w:cs="Arial" w:eastAsia="Arial" w:hAnsi="Arial"/>
          <w:sz w:val="18"/>
          <w:szCs w:val="18"/>
          <w:color w:val="auto"/>
        </w:rPr>
        <w:t xml:space="preserve"> The Option is not intended to qualify as an incentive stock option within the meaning of Section 422 of the Internal Revenue Code of 1986, as amended.</w:t>
      </w:r>
    </w:p>
    <w:p>
      <w:pPr>
        <w:spacing w:after="0" w:line="170" w:lineRule="exact"/>
        <w:rPr>
          <w:rFonts w:ascii="Arial" w:cs="Arial" w:eastAsia="Arial" w:hAnsi="Arial"/>
          <w:sz w:val="18"/>
          <w:szCs w:val="18"/>
          <w:color w:val="auto"/>
        </w:rPr>
      </w:pPr>
    </w:p>
    <w:p>
      <w:pPr>
        <w:ind w:left="660" w:right="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hereunder to the Company shall be addressed to it at its office, 119 Fourth Avenue, Needham, Massachusetts, 02494-2725; Attention: Controller, and any notice hereunder to Optionee shall be addressed to Optionee at the address below, subject to the right of either party to designate at any time hereafter in writing some other address.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has been executed in two counterparts each of which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-4488815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day set forth above.</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920" w:type="dxa"/>
            <w:vAlign w:val="bottom"/>
            <w:gridSpan w:val="3"/>
          </w:tcPr>
          <w:p>
            <w:pPr>
              <w:ind w:left="7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2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5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28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4"/>
                <w:szCs w:val="24"/>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4560" w:type="dxa"/>
            <w:vAlign w:val="bottom"/>
            <w:tcBorders>
              <w:top w:val="single" w:sz="8" w:color="auto"/>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9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840" w:type="dxa"/>
            <w:vAlign w:val="bottom"/>
          </w:tcPr>
          <w:p>
            <w:pPr>
              <w:ind w:left="20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40" w:type="dxa"/>
            <w:vAlign w:val="bottom"/>
          </w:tcPr>
          <w:p>
            <w:pPr>
              <w:ind w:left="20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2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Sam Martin</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20" w:type="dxa"/>
            <w:vAlign w:val="bottom"/>
          </w:tcPr>
          <w:p>
            <w:pPr>
              <w:ind w:left="20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840" w:type="dxa"/>
            <w:vAlign w:val="bottom"/>
          </w:tcPr>
          <w:p>
            <w:pPr>
              <w:ind w:left="20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40" w:type="dxa"/>
            <w:vAlign w:val="bottom"/>
          </w:tcPr>
          <w:p>
            <w:pPr>
              <w:spacing w:after="0"/>
              <w:rPr>
                <w:sz w:val="16"/>
                <w:szCs w:val="16"/>
                <w:color w:val="auto"/>
              </w:rPr>
            </w:pPr>
          </w:p>
        </w:tc>
        <w:tc>
          <w:tcPr>
            <w:tcW w:w="28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40" w:type="dxa"/>
            <w:vAlign w:val="bottom"/>
          </w:tcPr>
          <w:p>
            <w:pPr>
              <w:spacing w:after="0"/>
              <w:rPr>
                <w:sz w:val="20"/>
                <w:szCs w:val="20"/>
                <w:color w:val="auto"/>
              </w:rPr>
            </w:pPr>
          </w:p>
        </w:tc>
        <w:tc>
          <w:tcPr>
            <w:tcW w:w="2840" w:type="dxa"/>
            <w:vAlign w:val="bottom"/>
          </w:tcPr>
          <w:p>
            <w:pPr>
              <w:ind w:left="20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840" w:type="dxa"/>
            <w:vAlign w:val="bottom"/>
          </w:tcPr>
          <w:p>
            <w:pPr>
              <w:ind w:left="20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640" w:type="dxa"/>
            <w:vAlign w:val="bottom"/>
          </w:tcPr>
          <w:p>
            <w:pPr>
              <w:spacing w:after="0"/>
              <w:rPr>
                <w:sz w:val="16"/>
                <w:szCs w:val="16"/>
                <w:color w:val="auto"/>
              </w:rPr>
            </w:pPr>
          </w:p>
        </w:tc>
        <w:tc>
          <w:tcPr>
            <w:tcW w:w="284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640" w:type="dxa"/>
            <w:vAlign w:val="bottom"/>
          </w:tcPr>
          <w:p>
            <w:pPr>
              <w:spacing w:after="0"/>
              <w:rPr>
                <w:sz w:val="20"/>
                <w:szCs w:val="20"/>
                <w:color w:val="auto"/>
              </w:rPr>
            </w:pPr>
          </w:p>
        </w:tc>
        <w:tc>
          <w:tcPr>
            <w:tcW w:w="2840" w:type="dxa"/>
            <w:vAlign w:val="bottom"/>
          </w:tcPr>
          <w:p>
            <w:pPr>
              <w:ind w:left="20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
    <w:nsid w:val="DED7263"/>
    <w:multiLevelType w:val="hybridMultilevel"/>
    <w:lvl w:ilvl="0">
      <w:lvlJc w:val="left"/>
      <w:lvlText w:val="(%1)"/>
      <w:numFmt w:val="lowerLetter"/>
      <w:start w:val="3"/>
    </w:lvl>
    <w:lvl w:ilvl="1">
      <w:lvlJc w:val="left"/>
      <w:lvlText w:val="(%2)"/>
      <w:numFmt w:val="lowerRoman"/>
      <w:start w:val="1"/>
    </w:lvl>
  </w:abstractNum>
  <w:abstractNum w:abstractNumId="12">
    <w:nsid w:val="7FDCC233"/>
    <w:multiLevelType w:val="hybridMultilevel"/>
    <w:lvl w:ilvl="0">
      <w:lvlJc w:val="left"/>
      <w:lvlText w:val="%1"/>
      <w:numFmt w:val="decimal"/>
      <w:start w:val="1"/>
    </w:lvl>
    <w:lvl w:ilvl="1">
      <w:lvlJc w:val="left"/>
      <w:lvlText w:val="(%2)"/>
      <w:numFmt w:val="lowerLetter"/>
      <w:start w:val="7"/>
    </w:lvl>
  </w:abstractNum>
  <w:abstractNum w:abstractNumId="13">
    <w:nsid w:val="1BEFD79F"/>
    <w:multiLevelType w:val="hybridMultilevel"/>
    <w:lvl w:ilvl="0">
      <w:lvlJc w:val="left"/>
      <w:lvlText w:val="%1."/>
      <w:numFmt w:val="decimal"/>
      <w:start w:val="3"/>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46" Type="http://schemas.openxmlformats.org/officeDocument/2006/relationships/hyperlink" Target="http://www.sec.gov/Archives/edgar/data/744218/0001029869-98-000936-index.html" TargetMode="External"/><Relationship Id="rId47" Type="http://schemas.openxmlformats.org/officeDocument/2006/relationships/hyperlink" Target="http://www.sec.gov/Archives/edgar/data/744218/000110465902001892/j3484_ex3d1.htm" TargetMode="External"/><Relationship Id="rId48" Type="http://schemas.openxmlformats.org/officeDocument/2006/relationships/hyperlink" Target="http://www.sec.gov/Archives/edgar/data/744218/000110465908016816/a08-7923_1ex3d1.htm" TargetMode="External"/><Relationship Id="rId49" Type="http://schemas.openxmlformats.org/officeDocument/2006/relationships/hyperlink" Target="http://www.sec.gov/Archives/edgar/data/744218/000110465908016816/a08-7923_1ex3d2.htm" TargetMode="External"/><Relationship Id="rId50" Type="http://schemas.openxmlformats.org/officeDocument/2006/relationships/hyperlink" Target="http://www.sec.gov/Archives/edgar/data/744218/000110465908069812/a08-25757_1ex3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2019-12-28T19:40:38Z</dcterms:created>
  <dcterms:modified xsi:type="dcterms:W3CDTF">2019-12-28T19:40:38Z</dcterms:modified>
</cp:coreProperties>
</file>