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8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2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33" w:right="25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80"/>
          </w:cols>
          <w:pgMar w:left="240" w:top="233" w:right="25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2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81" w:lineRule="exact"/>
        <w:rPr>
          <w:sz w:val="24"/>
          <w:szCs w:val="24"/>
          <w:color w:val="auto"/>
        </w:rPr>
      </w:pPr>
    </w:p>
    <w:tbl>
      <w:tblPr>
        <w:tblLayout w:type="fixed"/>
        <w:tblInd w:w="1140" w:type="dxa"/>
        <w:tblCellMar>
          <w:top w:w="0" w:type="dxa"/>
          <w:left w:w="0" w:type="dxa"/>
          <w:bottom w:w="0" w:type="dxa"/>
          <w:right w:w="0" w:type="dxa"/>
        </w:tblCellMar>
      </w:tblPr>
      <w:tr>
        <w:trPr>
          <w:trHeight w:val="230"/>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0"/>
              </w:rPr>
              <w:t>Large accelerated filer o</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3"/>
              </w:rPr>
              <w:t>Accelerated filer x</w:t>
            </w:r>
          </w:p>
        </w:tc>
      </w:tr>
      <w:tr>
        <w:trPr>
          <w:trHeight w:val="418"/>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Non-accelerated filer o</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Smaller reporting company o</w:t>
            </w:r>
          </w:p>
        </w:tc>
      </w:tr>
      <w:tr>
        <w:trPr>
          <w:trHeight w:val="230"/>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(Do not check if a smaller reporting company)</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Emerging growth company o</w:t>
            </w:r>
          </w:p>
        </w:tc>
      </w:tr>
    </w:tbl>
    <w:p>
      <w:pPr>
        <w:spacing w:after="0" w:line="20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30, 2017, 125,104,714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March 31, 2017</w:t>
      </w:r>
    </w:p>
    <w:p>
      <w:pPr>
        <w:sectPr>
          <w:pgSz w:w="11900" w:h="16838" w:orient="portrait"/>
          <w:cols w:equalWidth="0" w:num="1">
            <w:col w:w="11400"/>
          </w:cols>
          <w:pgMar w:left="240" w:top="233" w:right="259" w:bottom="0" w:gutter="0" w:footer="0" w:header="0"/>
          <w:type w:val="continuous"/>
        </w:sectPr>
      </w:pPr>
    </w:p>
    <w:bookmarkStart w:id="1" w:name="page2"/>
    <w:bookmarkEnd w:id="1"/>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Page</w:t>
            </w:r>
          </w:p>
        </w:tc>
      </w:tr>
      <w:tr>
        <w:trPr>
          <w:trHeight w:val="385"/>
        </w:trPr>
        <w:tc>
          <w:tcPr>
            <w:tcW w:w="1074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I—Financial Information</w:t>
              </w:r>
            </w:hyperlink>
          </w:p>
        </w:tc>
        <w:tc>
          <w:tcPr>
            <w:tcW w:w="6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56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60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March 31, 2017 and December 31, 2016</w:t>
              </w:r>
            </w:hyperlink>
          </w:p>
        </w:tc>
        <w:tc>
          <w:tcPr>
            <w:tcW w:w="4480" w:type="dxa"/>
            <w:vAlign w:val="bottom"/>
            <w:gridSpan w:val="4"/>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412"/>
        </w:trPr>
        <w:tc>
          <w:tcPr>
            <w:tcW w:w="180" w:type="dxa"/>
            <w:vAlign w:val="bottom"/>
          </w:tcPr>
          <w:p>
            <w:pPr>
              <w:spacing w:after="0"/>
              <w:rPr>
                <w:sz w:val="24"/>
                <w:szCs w:val="24"/>
                <w:color w:val="auto"/>
              </w:rPr>
            </w:pPr>
          </w:p>
        </w:tc>
        <w:tc>
          <w:tcPr>
            <w:tcW w:w="95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Loss for the Three Months Ended March 31, 2017 and 2016</w:t>
              </w:r>
            </w:hyperlink>
          </w:p>
        </w:tc>
        <w:tc>
          <w:tcPr>
            <w:tcW w:w="104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412"/>
        </w:trPr>
        <w:tc>
          <w:tcPr>
            <w:tcW w:w="180" w:type="dxa"/>
            <w:vAlign w:val="bottom"/>
          </w:tcPr>
          <w:p>
            <w:pPr>
              <w:spacing w:after="0"/>
              <w:rPr>
                <w:sz w:val="24"/>
                <w:szCs w:val="24"/>
                <w:color w:val="auto"/>
              </w:rPr>
            </w:pPr>
          </w:p>
        </w:tc>
        <w:tc>
          <w:tcPr>
            <w:tcW w:w="105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Cash Flows for the Three Months Ended March 31, 2017 and 2016</w:t>
              </w:r>
            </w:hyperlink>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12"/>
        </w:trPr>
        <w:tc>
          <w:tcPr>
            <w:tcW w:w="18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2900" w:type="dxa"/>
            <w:vAlign w:val="bottom"/>
            <w:tcBorders>
              <w:top w:val="single" w:sz="8" w:color="0000EE"/>
            </w:tcBorders>
            <w:gridSpan w:val="4"/>
          </w:tcPr>
          <w:p>
            <w:pPr>
              <w:spacing w:after="0"/>
              <w:rPr>
                <w:sz w:val="24"/>
                <w:szCs w:val="24"/>
                <w:color w:val="auto"/>
              </w:rPr>
            </w:pPr>
          </w:p>
        </w:tc>
        <w:tc>
          <w:tcPr>
            <w:tcW w:w="2860" w:type="dxa"/>
            <w:vAlign w:val="bottom"/>
            <w:gridSpan w:val="2"/>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12"/>
        </w:trPr>
        <w:tc>
          <w:tcPr>
            <w:tcW w:w="18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10">
              <w:r>
                <w:rPr>
                  <w:rFonts w:ascii="Arial" w:cs="Arial" w:eastAsia="Arial" w:hAnsi="Arial"/>
                  <w:sz w:val="18"/>
                  <w:szCs w:val="18"/>
                  <w:color w:val="0000EE"/>
                  <w:w w:val="94"/>
                </w:rPr>
                <w:t>Item 2.</w:t>
              </w:r>
            </w:hyperlink>
          </w:p>
        </w:tc>
        <w:tc>
          <w:tcPr>
            <w:tcW w:w="10020" w:type="dxa"/>
            <w:vAlign w:val="bottom"/>
            <w:gridSpan w:val="15"/>
          </w:tcPr>
          <w:p>
            <w:pPr>
              <w:ind w:left="20"/>
              <w:spacing w:after="0"/>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3.</w:t>
              </w:r>
            </w:hyperlink>
          </w:p>
        </w:tc>
        <w:tc>
          <w:tcPr>
            <w:tcW w:w="6480" w:type="dxa"/>
            <w:vAlign w:val="bottom"/>
            <w:tcBorders>
              <w:top w:val="single" w:sz="8" w:color="0000EE"/>
            </w:tcBorders>
            <w:gridSpan w:val="12"/>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3540" w:type="dxa"/>
            <w:vAlign w:val="bottom"/>
            <w:gridSpan w:val="3"/>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7"/>
          </w:tcPr>
          <w:p>
            <w:pPr>
              <w:ind w:left="20"/>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3"/>
          </w:tcPr>
          <w:p>
            <w:pPr>
              <w:spacing w:after="0"/>
              <w:rPr>
                <w:sz w:val="24"/>
                <w:szCs w:val="24"/>
                <w:color w:val="auto"/>
              </w:rPr>
            </w:pPr>
          </w:p>
        </w:tc>
        <w:tc>
          <w:tcPr>
            <w:tcW w:w="5640" w:type="dxa"/>
            <w:vAlign w:val="bottom"/>
            <w:gridSpan w:val="5"/>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412"/>
        </w:trPr>
        <w:tc>
          <w:tcPr>
            <w:tcW w:w="10740" w:type="dxa"/>
            <w:vAlign w:val="bottom"/>
            <w:gridSpan w:val="17"/>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 Other Information</w:t>
              </w:r>
            </w:hyperlink>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16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1A. Risk Factors</w:t>
              </w:r>
            </w:hyperlink>
          </w:p>
        </w:tc>
        <w:tc>
          <w:tcPr>
            <w:tcW w:w="460" w:type="dxa"/>
            <w:vAlign w:val="bottom"/>
            <w:tcBorders>
              <w:top w:val="single" w:sz="8" w:color="0000EE"/>
            </w:tcBorders>
          </w:tcPr>
          <w:p>
            <w:pPr>
              <w:spacing w:after="0"/>
              <w:rPr>
                <w:sz w:val="24"/>
                <w:szCs w:val="24"/>
                <w:color w:val="auto"/>
              </w:rPr>
            </w:pPr>
          </w:p>
        </w:tc>
        <w:tc>
          <w:tcPr>
            <w:tcW w:w="8500" w:type="dxa"/>
            <w:vAlign w:val="bottom"/>
            <w:gridSpan w:val="10"/>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412"/>
        </w:trPr>
        <w:tc>
          <w:tcPr>
            <w:tcW w:w="18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6.</w:t>
              </w:r>
            </w:hyperlink>
          </w:p>
        </w:tc>
        <w:tc>
          <w:tcPr>
            <w:tcW w:w="10020" w:type="dxa"/>
            <w:vAlign w:val="bottom"/>
            <w:gridSpan w:val="15"/>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412"/>
        </w:trPr>
        <w:tc>
          <w:tcPr>
            <w:tcW w:w="180" w:type="dxa"/>
            <w:vAlign w:val="bottom"/>
          </w:tcPr>
          <w:p>
            <w:pPr>
              <w:spacing w:after="0"/>
              <w:rPr>
                <w:sz w:val="24"/>
                <w:szCs w:val="24"/>
                <w:color w:val="auto"/>
              </w:rPr>
            </w:pPr>
          </w:p>
        </w:tc>
        <w:tc>
          <w:tcPr>
            <w:tcW w:w="1160" w:type="dxa"/>
            <w:vAlign w:val="bottom"/>
            <w:tcBorders>
              <w:top w:val="single" w:sz="8" w:color="0000EE"/>
            </w:tcBorders>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9400" w:type="dxa"/>
            <w:vAlign w:val="bottom"/>
            <w:gridSpan w:val="12"/>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560" w:type="dxa"/>
            <w:vAlign w:val="bottom"/>
            <w:gridSpan w:val="1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0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Exhibit Index</w:t>
              </w:r>
            </w:hyperlink>
          </w:p>
        </w:tc>
        <w:tc>
          <w:tcPr>
            <w:tcW w:w="9560" w:type="dxa"/>
            <w:vAlign w:val="bottom"/>
            <w:gridSpan w:val="13"/>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453"/>
        </w:trPr>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40" w:type="dxa"/>
            <w:vAlign w:val="bottom"/>
            <w:gridSpan w:val="11"/>
          </w:tcPr>
          <w:p>
            <w:pPr>
              <w:ind w:left="494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124,526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147,315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and Other Receivables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5,056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173,463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1,935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360,048</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383,358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2,660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Current Portion of Long-Term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4,940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ind w:left="180"/>
              <w:spacing w:after="0" w:line="201" w:lineRule="exact"/>
              <w:rPr>
                <w:sz w:val="20"/>
                <w:szCs w:val="20"/>
                <w:color w:val="auto"/>
              </w:rPr>
            </w:pPr>
            <w:r>
              <w:rPr>
                <w:rFonts w:ascii="Arial" w:cs="Arial" w:eastAsia="Arial" w:hAnsi="Arial"/>
                <w:sz w:val="18"/>
                <w:szCs w:val="18"/>
                <w:color w:val="auto"/>
                <w:w w:val="93"/>
              </w:rPr>
              <w:t>Convertible Preferred Stock, $.01 Par Value; 3,000,000 Shares Authorized; No Shares Issued and</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360"/>
              <w:spacing w:after="0"/>
              <w:rPr>
                <w:sz w:val="20"/>
                <w:szCs w:val="20"/>
                <w:color w:val="auto"/>
              </w:rPr>
            </w:pPr>
            <w:r>
              <w:rPr>
                <w:rFonts w:ascii="Arial" w:cs="Arial" w:eastAsia="Arial" w:hAnsi="Arial"/>
                <w:sz w:val="18"/>
                <w:szCs w:val="18"/>
                <w:color w:val="auto"/>
              </w:rPr>
              <w:t>Outstanding at March 31, 2017 and December 31, 2016</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Common Stock, $.001 Par Value; 297,000,000 Shares Authorized; 124,173,729 and 120,516,654</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5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1"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Shares Issued and Outstanding at March 31, 2017 and December 31, 2016, respectively</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998,897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982,255</w:t>
            </w:r>
          </w:p>
        </w:tc>
        <w:tc>
          <w:tcPr>
            <w:tcW w:w="80" w:type="dxa"/>
            <w:vAlign w:val="bottom"/>
          </w:tcPr>
          <w:p>
            <w:pPr>
              <w:spacing w:after="0"/>
              <w:rPr>
                <w:sz w:val="18"/>
                <w:szCs w:val="18"/>
                <w:color w:val="auto"/>
              </w:rPr>
            </w:pPr>
          </w:p>
        </w:tc>
      </w:tr>
      <w:tr>
        <w:trPr>
          <w:trHeight w:val="216"/>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w:t>
            </w: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(753,747)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(719,486)</w:t>
            </w:r>
          </w:p>
        </w:tc>
      </w:tr>
      <w:tr>
        <w:trPr>
          <w:trHeight w:val="210"/>
        </w:trPr>
        <w:tc>
          <w:tcPr>
            <w:tcW w:w="72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5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247,836</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26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58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360,048</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31, 2017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15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7,229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9,307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on Fair Value Remeasurement of Contingent Consideration</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Calculating Basic and Diluted Net Loss per Share</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Loss</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(34,261)</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r>
      <w:tr>
        <w:trPr>
          <w:trHeight w:val="149"/>
        </w:trPr>
        <w:tc>
          <w:tcPr>
            <w:tcW w:w="7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7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March 31, 2017</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2016</w:t>
            </w: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(34,261)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(34,673)</w:t>
            </w:r>
          </w:p>
        </w:tc>
      </w:tr>
      <w:tr>
        <w:trPr>
          <w:trHeight w:val="216"/>
        </w:trPr>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1,366</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r>
      <w:tr>
        <w:trPr>
          <w:trHeight w:val="216"/>
        </w:trPr>
        <w:tc>
          <w:tcPr>
            <w:tcW w:w="7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7040" w:type="dxa"/>
            <w:vAlign w:val="bottom"/>
          </w:tcPr>
          <w:p>
            <w:pPr>
              <w:ind w:left="380"/>
              <w:spacing w:after="0"/>
              <w:rPr>
                <w:sz w:val="20"/>
                <w:szCs w:val="20"/>
                <w:color w:val="auto"/>
              </w:rPr>
            </w:pPr>
            <w:r>
              <w:rPr>
                <w:rFonts w:ascii="Arial" w:cs="Arial" w:eastAsia="Arial" w:hAnsi="Arial"/>
                <w:sz w:val="18"/>
                <w:szCs w:val="18"/>
                <w:color w:val="auto"/>
              </w:rPr>
              <w:t>Amortization and Premium of Marketable Securities, Net</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r>
      <w:tr>
        <w:trPr>
          <w:trHeight w:val="216"/>
        </w:trPr>
        <w:tc>
          <w:tcPr>
            <w:tcW w:w="7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on Sale or Disposal of 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7040" w:type="dxa"/>
            <w:vAlign w:val="bottom"/>
          </w:tcPr>
          <w:p>
            <w:pPr>
              <w:ind w:left="380"/>
              <w:spacing w:after="0"/>
              <w:rPr>
                <w:sz w:val="20"/>
                <w:szCs w:val="20"/>
                <w:color w:val="auto"/>
              </w:rPr>
            </w:pPr>
            <w:r>
              <w:rPr>
                <w:rFonts w:ascii="Arial" w:cs="Arial" w:eastAsia="Arial" w:hAnsi="Arial"/>
                <w:sz w:val="18"/>
                <w:szCs w:val="18"/>
                <w:color w:val="auto"/>
              </w:rPr>
              <w:t>Loss on Fair Value Remeasurement of Contingent Consideration</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3,400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w:t>
            </w:r>
          </w:p>
        </w:tc>
      </w:tr>
      <w:tr>
        <w:trPr>
          <w:trHeight w:val="216"/>
        </w:trPr>
        <w:tc>
          <w:tcPr>
            <w:tcW w:w="7040" w:type="dxa"/>
            <w:vAlign w:val="bottom"/>
          </w:tcPr>
          <w:p>
            <w:pPr>
              <w:ind w:left="380"/>
              <w:spacing w:after="0"/>
              <w:rPr>
                <w:sz w:val="20"/>
                <w:szCs w:val="20"/>
                <w:color w:val="auto"/>
              </w:rPr>
            </w:pPr>
            <w:r>
              <w:rPr>
                <w:rFonts w:ascii="Arial" w:cs="Arial" w:eastAsia="Arial" w:hAnsi="Arial"/>
                <w:sz w:val="18"/>
                <w:szCs w:val="18"/>
                <w:color w:val="auto"/>
              </w:rPr>
              <w:t>Non-Cash Expense</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1,638</w:t>
            </w:r>
          </w:p>
        </w:tc>
      </w:tr>
      <w:tr>
        <w:trPr>
          <w:trHeight w:val="216"/>
        </w:trPr>
        <w:tc>
          <w:tcPr>
            <w:tcW w:w="7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80" w:type="dxa"/>
            <w:vAlign w:val="bottom"/>
          </w:tcPr>
          <w:p>
            <w:pPr>
              <w:ind w:left="540"/>
              <w:spacing w:after="0"/>
              <w:rPr>
                <w:sz w:val="20"/>
                <w:szCs w:val="20"/>
                <w:color w:val="auto"/>
              </w:rPr>
            </w:pPr>
            <w:r>
              <w:rPr>
                <w:rFonts w:ascii="Arial" w:cs="Arial" w:eastAsia="Arial" w:hAnsi="Arial"/>
                <w:sz w:val="18"/>
                <w:szCs w:val="18"/>
                <w:color w:val="auto"/>
              </w:rPr>
              <w:t>Accounts and Other Receivables</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and Other Current Assets</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 and Accrued Expenses</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540"/>
              <w:spacing w:after="0"/>
              <w:rPr>
                <w:sz w:val="20"/>
                <w:szCs w:val="20"/>
                <w:color w:val="auto"/>
              </w:rPr>
            </w:pPr>
            <w:r>
              <w:rPr>
                <w:rFonts w:ascii="Arial" w:cs="Arial" w:eastAsia="Arial" w:hAnsi="Arial"/>
                <w:sz w:val="18"/>
                <w:szCs w:val="18"/>
                <w:color w:val="auto"/>
              </w:rPr>
              <w:t>Other Liabilities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(802)</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7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(35,262)</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73,736</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(50,961)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Investing Activities</w:t>
            </w:r>
          </w:p>
        </w:tc>
        <w:tc>
          <w:tcPr>
            <w:tcW w:w="7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80"/>
              <w:spacing w:after="0"/>
              <w:rPr>
                <w:sz w:val="20"/>
                <w:szCs w:val="20"/>
                <w:color w:val="auto"/>
              </w:rPr>
            </w:pPr>
            <w:r>
              <w:rPr>
                <w:rFonts w:ascii="Arial" w:cs="Arial" w:eastAsia="Arial" w:hAnsi="Arial"/>
                <w:sz w:val="18"/>
                <w:szCs w:val="18"/>
                <w:color w:val="auto"/>
              </w:rPr>
              <w:t>Net Proceeds from Stock Issuances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12,821</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Stock from Employee Benefit Plans</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12,897</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42,461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72,108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42,497</w:t>
            </w:r>
          </w:p>
        </w:tc>
        <w:tc>
          <w:tcPr>
            <w:tcW w:w="28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i w:val="1"/>
                <w:iCs w:val="1"/>
                <w:color w:val="auto"/>
              </w:rPr>
              <w:t>Non-cash Investing Activities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 included in Accounts Payable and Accrued Expenses</w:t>
            </w:r>
          </w:p>
        </w:tc>
        <w:tc>
          <w:tcPr>
            <w:tcW w:w="11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i w:val="1"/>
                <w:iCs w:val="1"/>
                <w:color w:val="auto"/>
              </w:rPr>
              <w:t>Non-cash Supplemental Disclosure</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to former Kolltan executive for settlement of severance</w:t>
            </w:r>
          </w:p>
        </w:tc>
        <w:tc>
          <w:tcPr>
            <w:tcW w:w="11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subsidiaries. All intercompany balances and transactions have been eliminated in consolidation.</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2016, which are included in the Company’s Annual Report on Form 10-K filed with the Securities and Exchange Commission (“SEC”) on March 14, 2017.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2017.</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At March 31, 2017, the Company had cash, cash equivalents and marketable securities of $167.0 million. The Company has had recurring losses and incurred a loss of $34.3 million for the three months ended March 31, 2017. Net cash used in operations for the three months ended March 31, 2017 was $35.3 million. The Company believes that the cash, cash equivalents and marketable securities at May 9, 2017 will be sufficient to meet estimated working capital requirements and fund planned operations for at least the next twelve months from the date of issuance of these financial statements.</w:t>
      </w:r>
    </w:p>
    <w:p>
      <w:pPr>
        <w:spacing w:after="0" w:line="15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During the next twelve months and beyond, the Company will take further steps to raise additional capital to meet its liquidity needs. These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into and beyond twelve months from the issuance date is also dependent on the timing and manner of payment of future contingent milestones from the Kolltan acquisition, in the event that the Company achieves the drug candidate milestones related to those payments. The Company may decide to pay those milestone payments in cash. Further, if the Company does not obtain shareholder approval to issue shares in lieu of cash payments, the Company would need to make those payments in cash in order to meet its NASDAQ listing requirements. If the Company is unable to raise the funds necessary to meet its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ectPr>
          <w:pgSz w:w="11900" w:h="16838" w:orient="portrait"/>
          <w:cols w:equalWidth="0" w:num="1">
            <w:col w:w="11420"/>
          </w:cols>
          <w:pgMar w:left="240" w:top="125" w:right="239" w:bottom="0" w:gutter="0" w:footer="0" w:header="0"/>
        </w:sectPr>
      </w:pPr>
    </w:p>
    <w:bookmarkStart w:id="4" w:name="page5"/>
    <w:bookmarkEnd w:id="4"/>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260" w:firstLine="630"/>
        <w:spacing w:after="0" w:line="286"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three months ended March 31, 2017 are consistent with those discussed in Note 2 to the financial statements in our Annual Report on Form 10-K for the year ended December 31, 2016, except for the adoption of new accounting standards during the first three months of 2017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During the three months ended March 31, 2017, the Company adopted a new U.S. GAAP accounting standard which involves several aspects of the accounting for share-based payment transactions, including the income tax consequences, classification of awards as either equity or liabilities and classification on the statement of cash flows. </w:t>
      </w:r>
      <w:r>
        <w:rPr>
          <w:rFonts w:ascii="Arial" w:cs="Arial" w:eastAsia="Arial" w:hAnsi="Arial"/>
          <w:sz w:val="15"/>
          <w:szCs w:val="15"/>
          <w:color w:val="auto"/>
        </w:rPr>
        <w:t>The Company</w:t>
      </w:r>
      <w:r>
        <w:rPr>
          <w:rFonts w:ascii="Arial" w:cs="Arial" w:eastAsia="Arial" w:hAnsi="Arial"/>
          <w:sz w:val="16"/>
          <w:szCs w:val="16"/>
          <w:color w:val="auto"/>
        </w:rPr>
        <w:t xml:space="preserve"> elected to continue to estimate forfeitures expected to occur to determine stock-based compensation expense. Upon adoption, the Company’s gross deferred tax assets and corresponding valuation allowance each increased by $17.7 million related to tax deductions from the exercise of stock options that previously would have been credited to additional paid-in-capital when realized.</w:t>
      </w:r>
    </w:p>
    <w:p>
      <w:pPr>
        <w:spacing w:after="0" w:line="15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During the three months ended March 31, 2017, the Company adopted a new U.S. GAAP accounting standard which simplifies how an entity is required to test goodwill for impairment. A goodwill impairment will be measured by the amount by which a reporting unit’s carrying value exceeds its fair value, with the amount of impairment not to exceed the carrying amount of goodwill.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120" w:type="dxa"/>
            <w:vAlign w:val="bottom"/>
            <w:gridSpan w:val="4"/>
          </w:tcPr>
          <w:p>
            <w:pPr>
              <w:ind w:left="5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10,159,130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8,157,550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10,209,130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8,167,300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Loss</w:t>
      </w:r>
    </w:p>
    <w:p>
      <w:pPr>
        <w:spacing w:after="0" w:line="229"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The changes in accumulated other comprehensive income (loss) by component for the three months ended March 31, 2017 and 2016 are summarized below. No amounts were reclassified out of accumulated other comprehensive income during the three months ended March 31, 2017 and 2016.</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Securities, net of tax</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Currency Items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(In thousands )</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current-period other comprehensive income</w:t>
            </w:r>
          </w:p>
        </w:tc>
        <w:tc>
          <w:tcPr>
            <w:tcW w:w="1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March 31, 2016</w:t>
            </w:r>
          </w:p>
        </w:tc>
        <w:tc>
          <w:tcPr>
            <w:tcW w:w="16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2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2,596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current-period other comprehensive income</w:t>
            </w:r>
          </w:p>
        </w:tc>
        <w:tc>
          <w:tcPr>
            <w:tcW w:w="16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1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60" w:type="dxa"/>
            <w:vAlign w:val="bottom"/>
            <w:vMerge w:val="restart"/>
          </w:tcPr>
          <w:p>
            <w:pPr>
              <w:jc w:val="right"/>
              <w:ind w:right="57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74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jc w:val="right"/>
              <w:ind w:right="879"/>
              <w:spacing w:after="0"/>
              <w:rPr>
                <w:sz w:val="20"/>
                <w:szCs w:val="20"/>
                <w:color w:val="auto"/>
              </w:rPr>
            </w:pPr>
            <w:r>
              <w:rPr>
                <w:rFonts w:ascii="Arial" w:cs="Arial" w:eastAsia="Arial" w:hAnsi="Arial"/>
                <w:sz w:val="14"/>
                <w:szCs w:val="14"/>
                <w:b w:val="1"/>
                <w:bCs w:val="1"/>
                <w:color w:val="auto"/>
              </w:rPr>
              <w:t>As of</w:t>
            </w:r>
          </w:p>
        </w:tc>
        <w:tc>
          <w:tcPr>
            <w:tcW w:w="14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3"/>
                <w:szCs w:val="13"/>
                <w:color w:val="auto"/>
              </w:rPr>
            </w:pPr>
          </w:p>
        </w:tc>
        <w:tc>
          <w:tcPr>
            <w:tcW w:w="1380" w:type="dxa"/>
            <w:vAlign w:val="bottom"/>
            <w:vMerge w:val="restart"/>
          </w:tcPr>
          <w:p>
            <w:pPr>
              <w:jc w:val="right"/>
              <w:ind w:right="736"/>
              <w:spacing w:after="0"/>
              <w:rPr>
                <w:sz w:val="20"/>
                <w:szCs w:val="20"/>
                <w:color w:val="auto"/>
              </w:rPr>
            </w:pPr>
            <w:r>
              <w:rPr>
                <w:rFonts w:ascii="Arial" w:cs="Arial" w:eastAsia="Arial" w:hAnsi="Arial"/>
                <w:sz w:val="14"/>
                <w:szCs w:val="14"/>
                <w:b w:val="1"/>
                <w:bCs w:val="1"/>
                <w:color w:val="auto"/>
              </w:rPr>
              <w:t>Level 2</w:t>
            </w:r>
          </w:p>
        </w:tc>
        <w:tc>
          <w:tcPr>
            <w:tcW w:w="13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jc w:val="right"/>
              <w:ind w:right="459"/>
              <w:spacing w:after="0"/>
              <w:rPr>
                <w:sz w:val="20"/>
                <w:szCs w:val="20"/>
                <w:color w:val="auto"/>
              </w:rPr>
            </w:pPr>
            <w:r>
              <w:rPr>
                <w:rFonts w:ascii="Arial" w:cs="Arial" w:eastAsia="Arial" w:hAnsi="Arial"/>
                <w:sz w:val="14"/>
                <w:szCs w:val="14"/>
                <w:b w:val="1"/>
                <w:bCs w:val="1"/>
                <w:color w:val="auto"/>
                <w:w w:val="93"/>
              </w:rPr>
              <w:t>December 31, 2016</w:t>
            </w:r>
          </w:p>
        </w:tc>
        <w:tc>
          <w:tcPr>
            <w:tcW w:w="14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2"/>
          </w:tcPr>
          <w:p>
            <w:pPr>
              <w:ind w:left="900"/>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color w:val="auto"/>
              </w:rPr>
              <w:t>Money market funds and cash equivalents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99"/>
              <w:spacing w:after="0"/>
              <w:rPr>
                <w:sz w:val="20"/>
                <w:szCs w:val="20"/>
                <w:color w:val="auto"/>
              </w:rPr>
            </w:pPr>
            <w:r>
              <w:rPr>
                <w:rFonts w:ascii="Arial" w:cs="Arial" w:eastAsia="Arial" w:hAnsi="Arial"/>
                <w:sz w:val="18"/>
                <w:szCs w:val="18"/>
                <w:color w:val="auto"/>
              </w:rPr>
              <w:t>20,445</w:t>
            </w:r>
          </w:p>
        </w:tc>
        <w:tc>
          <w:tcPr>
            <w:tcW w:w="1420" w:type="dxa"/>
            <w:vAlign w:val="bottom"/>
          </w:tcPr>
          <w:p>
            <w:pPr>
              <w:ind w:left="11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76"/>
              <w:spacing w:after="0"/>
              <w:rPr>
                <w:sz w:val="20"/>
                <w:szCs w:val="20"/>
                <w:color w:val="auto"/>
              </w:rPr>
            </w:pPr>
            <w:r>
              <w:rPr>
                <w:rFonts w:ascii="Arial" w:cs="Arial" w:eastAsia="Arial" w:hAnsi="Arial"/>
                <w:sz w:val="18"/>
                <w:szCs w:val="18"/>
                <w:color w:val="auto"/>
              </w:rPr>
              <w:t>20,445</w:t>
            </w:r>
          </w:p>
        </w:tc>
        <w:tc>
          <w:tcPr>
            <w:tcW w:w="13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200"/>
              <w:spacing w:after="0" w:line="205" w:lineRule="exact"/>
              <w:rPr>
                <w:sz w:val="20"/>
                <w:szCs w:val="20"/>
                <w:color w:val="auto"/>
              </w:rPr>
            </w:pPr>
            <w:r>
              <w:rPr>
                <w:rFonts w:ascii="Arial" w:cs="Arial" w:eastAsia="Arial" w:hAnsi="Arial"/>
                <w:sz w:val="18"/>
                <w:szCs w:val="18"/>
                <w:color w:val="auto"/>
              </w:rPr>
              <w:t>Marketable securities</w:t>
            </w:r>
          </w:p>
        </w:tc>
        <w:tc>
          <w:tcPr>
            <w:tcW w:w="96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99"/>
              <w:spacing w:after="0" w:line="205" w:lineRule="exact"/>
              <w:rPr>
                <w:sz w:val="20"/>
                <w:szCs w:val="20"/>
                <w:color w:val="auto"/>
              </w:rPr>
            </w:pPr>
            <w:r>
              <w:rPr>
                <w:rFonts w:ascii="Arial" w:cs="Arial" w:eastAsia="Arial" w:hAnsi="Arial"/>
                <w:sz w:val="18"/>
                <w:szCs w:val="18"/>
                <w:color w:val="auto"/>
              </w:rPr>
              <w:t>147,315</w:t>
            </w:r>
          </w:p>
        </w:tc>
        <w:tc>
          <w:tcPr>
            <w:tcW w:w="1420" w:type="dxa"/>
            <w:vAlign w:val="bottom"/>
            <w:shd w:val="clear" w:color="auto" w:fill="CCEEFF"/>
          </w:tcPr>
          <w:p>
            <w:pPr>
              <w:ind w:left="1100"/>
              <w:spacing w:after="0" w:line="205"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50"/>
              <w:spacing w:after="0" w:line="205"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6"/>
              <w:spacing w:after="0" w:line="205" w:lineRule="exact"/>
              <w:rPr>
                <w:sz w:val="20"/>
                <w:szCs w:val="20"/>
                <w:color w:val="auto"/>
              </w:rPr>
            </w:pPr>
            <w:r>
              <w:rPr>
                <w:rFonts w:ascii="Arial" w:cs="Arial" w:eastAsia="Arial" w:hAnsi="Arial"/>
                <w:sz w:val="18"/>
                <w:szCs w:val="18"/>
                <w:color w:val="auto"/>
              </w:rPr>
              <w:t>147,315</w:t>
            </w:r>
          </w:p>
        </w:tc>
        <w:tc>
          <w:tcPr>
            <w:tcW w:w="1380" w:type="dxa"/>
            <w:vAlign w:val="bottom"/>
            <w:gridSpan w:val="2"/>
            <w:shd w:val="clear" w:color="auto" w:fill="CCEEFF"/>
          </w:tcPr>
          <w:p>
            <w:pPr>
              <w:ind w:left="1100"/>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00" w:orient="portrait"/>
          <w:cols w:equalWidth="0" w:num="1">
            <w:col w:w="11460"/>
          </w:cols>
          <w:pgMar w:left="240" w:top="337" w:right="199" w:bottom="0" w:gutter="0" w:footer="0" w:header="0"/>
        </w:sectPr>
      </w:pPr>
    </w:p>
    <w:bookmarkStart w:id="5" w:name="page6"/>
    <w:bookmarkEnd w:id="5"/>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167,760</w:t>
            </w: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167,760</w:t>
            </w: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41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7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8"/>
                <w:szCs w:val="18"/>
                <w:color w:val="auto"/>
              </w:rPr>
              <w:t>Kolltan acquisition contingent consideration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44,200</w:t>
            </w: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As of</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2017</w:t>
            </w:r>
          </w:p>
        </w:tc>
        <w:tc>
          <w:tcPr>
            <w:tcW w:w="1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3"/>
          </w:tcPr>
          <w:p>
            <w:pPr>
              <w:ind w:left="980"/>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8"/>
                <w:szCs w:val="18"/>
                <w:color w:val="auto"/>
              </w:rPr>
              <w:t>Money market funds and cash equivalents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28,572</w:t>
            </w: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28,572</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124,526</w:t>
            </w: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124,526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153,098</w:t>
            </w:r>
          </w:p>
        </w:tc>
        <w:tc>
          <w:tcPr>
            <w:tcW w:w="3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153,098</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8"/>
                <w:szCs w:val="18"/>
                <w:color w:val="auto"/>
              </w:rPr>
              <w:t>Kolltan acquisition contingent consideration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47,600</w:t>
            </w: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Contingent consideration liabilities related to acquisitions are classified as Level 3 within the valuation hierarchy and are valued based on various estimates, including probability of success, discount rates and amount of time until the conditions of the milestone payments are met. In connection with the Kolltan acquisition, we may be required to pay future consideration that is contingent upon the achievement of specified development, regulatory approvals or sales-based milestone events. We determine the fair value of these obligations on the acquisition date using various estimates that are not observable in the market and represent a Level 3 measurement within the fair value hierarchy. During the three months ended March 31, 2017, the Company recorded a $3.4 million loss on fair value remeasurement of contingent consideration primarily due to changes in discount rates and the passage of time. The following table represents a roll-forward of our acquisition-related contingent consideration (in thousands):</w:t>
      </w:r>
    </w:p>
    <w:p>
      <w:pPr>
        <w:sectPr>
          <w:pgSz w:w="11900" w:h="16864"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-107315</wp:posOffset>
            </wp:positionV>
            <wp:extent cx="579755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Milestone payments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Changes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-130810</wp:posOffset>
            </wp:positionV>
            <wp:extent cx="57975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14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1420"/>
        <w:spacing w:after="0"/>
        <w:rPr>
          <w:sz w:val="20"/>
          <w:szCs w:val="20"/>
          <w:color w:val="auto"/>
        </w:rPr>
      </w:pPr>
      <w:r>
        <w:rPr>
          <w:rFonts w:ascii="Arial" w:cs="Arial" w:eastAsia="Arial" w:hAnsi="Arial"/>
          <w:sz w:val="14"/>
          <w:szCs w:val="14"/>
          <w:b w:val="1"/>
          <w:bCs w:val="1"/>
          <w:color w:val="auto"/>
        </w:rPr>
        <w:t>March 31, 2017</w:t>
      </w:r>
    </w:p>
    <w:p>
      <w:pPr>
        <w:spacing w:after="0" w:line="9" w:lineRule="exact"/>
        <w:rPr>
          <w:sz w:val="20"/>
          <w:szCs w:val="20"/>
          <w:color w:val="auto"/>
        </w:rPr>
      </w:pPr>
    </w:p>
    <w:p>
      <w:pPr>
        <w:ind w:left="1080" w:hanging="1078"/>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44,200</w:t>
      </w:r>
    </w:p>
    <w:p>
      <w:pPr>
        <w:spacing w:after="0" w:line="30"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420"/>
        <w:spacing w:after="0"/>
        <w:rPr>
          <w:sz w:val="20"/>
          <w:szCs w:val="20"/>
          <w:color w:val="auto"/>
        </w:rPr>
      </w:pPr>
      <w:r>
        <w:rPr>
          <w:rFonts w:ascii="Arial" w:cs="Arial" w:eastAsia="Arial" w:hAnsi="Arial"/>
          <w:sz w:val="18"/>
          <w:szCs w:val="18"/>
          <w:color w:val="auto"/>
        </w:rPr>
        <w:t>3,400</w:t>
      </w:r>
    </w:p>
    <w:p>
      <w:pPr>
        <w:spacing w:after="0" w:line="9" w:lineRule="exact"/>
        <w:rPr>
          <w:sz w:val="20"/>
          <w:szCs w:val="20"/>
          <w:color w:val="auto"/>
        </w:rPr>
      </w:pPr>
    </w:p>
    <w:p>
      <w:pPr>
        <w:ind w:left="1080" w:hanging="1078"/>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47,600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10033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46355</wp:posOffset>
            </wp:positionV>
            <wp:extent cx="10033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-116205</wp:posOffset>
            </wp:positionV>
            <wp:extent cx="10033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22" w:lineRule="exact"/>
        <w:rPr>
          <w:sz w:val="20"/>
          <w:szCs w:val="20"/>
          <w:color w:val="auto"/>
        </w:rPr>
      </w:pPr>
    </w:p>
    <w:p>
      <w:pPr>
        <w:sectPr>
          <w:pgSz w:w="11900" w:h="16864" w:orient="portrait"/>
          <w:cols w:equalWidth="0" w:num="2">
            <w:col w:w="7700" w:space="720"/>
            <w:col w:w="3000"/>
          </w:cols>
          <w:pgMar w:left="240" w:top="140" w:right="239" w:bottom="0" w:gutter="0" w:footer="0" w:header="0"/>
          <w:type w:val="continuous"/>
        </w:sectPr>
      </w:pPr>
    </w:p>
    <w:p>
      <w:pPr>
        <w:spacing w:after="0" w:line="6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There have been no transfers of assets or liabilities between the fair value measurement classifications. The Company’s financial instruments consist mainly of cash and cash equivalents, marketable securities, short-term accounts receivable and accounts payable.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marketable securities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w:t>
            </w:r>
          </w:p>
        </w:tc>
        <w:tc>
          <w:tcPr>
            <w:tcW w:w="1040" w:type="dxa"/>
            <w:vAlign w:val="bottom"/>
          </w:tcPr>
          <w:p>
            <w:pPr>
              <w:jc w:val="center"/>
              <w:ind w:left="274"/>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6"/>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tcPr>
          <w:p>
            <w:pPr>
              <w:jc w:val="center"/>
              <w:ind w:left="25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left="216"/>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1040" w:type="dxa"/>
            <w:vAlign w:val="bottom"/>
          </w:tcPr>
          <w:p>
            <w:pPr>
              <w:jc w:val="center"/>
              <w:ind w:left="274"/>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6"/>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69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56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52,754</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00" w:type="dxa"/>
            <w:vAlign w:val="bottom"/>
            <w:gridSpan w:val="2"/>
          </w:tcPr>
          <w:p>
            <w:pPr>
              <w:jc w:val="right"/>
              <w:ind w:right="87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w:t>
            </w: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53,050</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53,051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56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94,320</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7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94,264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94,320</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(56)</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94,264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147,370</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(68)</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147,315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March 31, 2017</w:t>
            </w: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8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35,515</w:t>
            </w: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56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153</w:t>
            </w:r>
          </w:p>
        </w:tc>
        <w:tc>
          <w:tcPr>
            <w:tcW w:w="104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3"/>
              </w:rPr>
              <w:t>35,668</w:t>
            </w:r>
          </w:p>
        </w:tc>
        <w:tc>
          <w:tcPr>
            <w:tcW w:w="30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60" w:type="dxa"/>
            <w:vAlign w:val="bottom"/>
          </w:tcPr>
          <w:p>
            <w:pPr>
              <w:ind w:left="38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83,864</w:t>
            </w: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200" w:type="dxa"/>
            <w:vAlign w:val="bottom"/>
            <w:gridSpan w:val="2"/>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56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5,028</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3"/>
              </w:rPr>
              <w:t>88,892</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88,859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00"/>
              <w:spacing w:after="0"/>
              <w:rPr>
                <w:sz w:val="20"/>
                <w:szCs w:val="20"/>
                <w:color w:val="auto"/>
              </w:rPr>
            </w:pPr>
            <w:r>
              <w:rPr>
                <w:rFonts w:ascii="Arial" w:cs="Arial" w:eastAsia="Arial" w:hAnsi="Arial"/>
                <w:sz w:val="18"/>
                <w:szCs w:val="18"/>
                <w:color w:val="auto"/>
              </w:rPr>
              <w:t>Total marketable securities</w:t>
            </w:r>
          </w:p>
        </w:tc>
        <w:tc>
          <w:tcPr>
            <w:tcW w:w="5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124,560</w:t>
            </w:r>
          </w:p>
        </w:tc>
        <w:tc>
          <w:tcPr>
            <w:tcW w:w="300" w:type="dxa"/>
            <w:vAlign w:val="bottom"/>
          </w:tcPr>
          <w:p>
            <w:pPr>
              <w:spacing w:after="0"/>
              <w:rPr>
                <w:sz w:val="19"/>
                <w:szCs w:val="19"/>
                <w:color w:val="auto"/>
              </w:rPr>
            </w:pPr>
          </w:p>
        </w:tc>
        <w:tc>
          <w:tcPr>
            <w:tcW w:w="1040" w:type="dxa"/>
            <w:vAlign w:val="bottom"/>
            <w:tcBorders>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64" w:orient="portrait"/>
          <w:cols w:equalWidth="0" w:num="1">
            <w:col w:w="11420"/>
          </w:cols>
          <w:pgMar w:left="240" w:top="140" w:right="239" w:bottom="0" w:gutter="0" w:footer="0" w:header="0"/>
          <w:type w:val="continuous"/>
        </w:sectPr>
      </w:pPr>
    </w:p>
    <w:p>
      <w:pPr>
        <w:spacing w:after="0" w:line="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marketable securities held by the Company were high investment grade and there were no marketable securities that the Company considered to be other-than-temporarily impaired as of March 31, 2017. Marketable securities include $0.5 million and $0.6 million in accrued interest at March 31, 2017 and December 31, 2016, respectively.</w:t>
      </w:r>
    </w:p>
    <w:p>
      <w:pPr>
        <w:sectPr>
          <w:pgSz w:w="11900" w:h="16864" w:orient="portrait"/>
          <w:cols w:equalWidth="0" w:num="1">
            <w:col w:w="11420"/>
          </w:cols>
          <w:pgMar w:left="240" w:top="140"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140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w w:val="92"/>
              </w:rPr>
              <w:t>Estimated</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9"/>
              </w:rPr>
              <w:t>December 31, 2016</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2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0"/>
                <w:szCs w:val="10"/>
                <w:color w:val="auto"/>
              </w:rPr>
            </w:pPr>
          </w:p>
        </w:tc>
        <w:tc>
          <w:tcPr>
            <w:tcW w:w="11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0"/>
                <w:szCs w:val="10"/>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1400" w:type="dxa"/>
            <w:vAlign w:val="bottom"/>
          </w:tcPr>
          <w:p>
            <w:pPr>
              <w:jc w:val="center"/>
              <w:ind w:right="228"/>
              <w:spacing w:after="0"/>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w:t>
            </w: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Pr>
          <w:p>
            <w:pPr>
              <w:ind w:left="200"/>
              <w:spacing w:after="0" w:line="149" w:lineRule="exact"/>
              <w:rPr>
                <w:sz w:val="20"/>
                <w:szCs w:val="20"/>
                <w:color w:val="auto"/>
              </w:rPr>
            </w:pPr>
            <w:r>
              <w:rPr>
                <w:rFonts w:ascii="Arial" w:cs="Arial" w:eastAsia="Arial" w:hAnsi="Arial"/>
                <w:sz w:val="14"/>
                <w:szCs w:val="14"/>
                <w:color w:val="auto"/>
              </w:rPr>
              <w:t>IPR&amp;D</w:t>
            </w: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Indefinite</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73,490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22"/>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73,490</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73,490</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73,490</w:t>
            </w:r>
          </w:p>
        </w:tc>
        <w:tc>
          <w:tcPr>
            <w:tcW w:w="0" w:type="dxa"/>
            <w:vAlign w:val="bottom"/>
          </w:tcPr>
          <w:p>
            <w:pPr>
              <w:spacing w:after="0"/>
              <w:rPr>
                <w:sz w:val="1"/>
                <w:szCs w:val="1"/>
                <w:color w:val="auto"/>
              </w:rPr>
            </w:pPr>
          </w:p>
        </w:tc>
      </w:tr>
      <w:tr>
        <w:trPr>
          <w:trHeight w:val="149"/>
        </w:trPr>
        <w:tc>
          <w:tcPr>
            <w:tcW w:w="2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Amgen Amendment</w:t>
            </w: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16 years</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14,500</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(6,727)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7,773</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14,500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(6,503)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7,997</w:t>
            </w:r>
          </w:p>
        </w:tc>
        <w:tc>
          <w:tcPr>
            <w:tcW w:w="0" w:type="dxa"/>
            <w:vAlign w:val="bottom"/>
          </w:tcPr>
          <w:p>
            <w:pPr>
              <w:spacing w:after="0"/>
              <w:rPr>
                <w:sz w:val="1"/>
                <w:szCs w:val="1"/>
                <w:color w:val="auto"/>
              </w:rPr>
            </w:pPr>
          </w:p>
        </w:tc>
      </w:tr>
      <w:tr>
        <w:trPr>
          <w:trHeight w:val="182"/>
        </w:trPr>
        <w:tc>
          <w:tcPr>
            <w:tcW w:w="20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Intangible Assets</w:t>
            </w:r>
          </w:p>
        </w:tc>
        <w:tc>
          <w:tcPr>
            <w:tcW w:w="14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87,990</w:t>
            </w:r>
          </w:p>
        </w:tc>
        <w:tc>
          <w:tcPr>
            <w:tcW w:w="3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(6,727)</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81,263</w:t>
            </w:r>
          </w:p>
        </w:tc>
        <w:tc>
          <w:tcPr>
            <w:tcW w:w="2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87,990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(6,503)</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81,487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Goodwill</w:t>
            </w:r>
          </w:p>
        </w:tc>
        <w:tc>
          <w:tcPr>
            <w:tcW w:w="14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Indefinite</w:t>
            </w: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90,976</w:t>
            </w:r>
          </w:p>
        </w:tc>
        <w:tc>
          <w:tcPr>
            <w:tcW w:w="3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90,976</w:t>
            </w:r>
          </w:p>
        </w:tc>
        <w:tc>
          <w:tcPr>
            <w:tcW w:w="2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90,976</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08"/>
              <w:spacing w:after="0" w:line="12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90,976</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IPR&amp;D intangible asset recorded in connection with the CuraGen acquisition of $11.8 million relates to the development of glembatumumab vedotin. At the date of acquisition and at March 31, 2017, glembatumumab vedotin had not yet reached technological feasibility nor did it have any alternative future use. Glembatumumab vedotin is in a randomized, Phase 2b study for the treatment of triple negative breast cancer and a Phase 2 study for the treatment of metastatic melanoma.</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 performed an impairment test of the glembatumumab vedotin IPR&amp;D and goodwill assets as of July 1, 2016 and concluded that goodwill was not impaired.</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connection with the Kolltan Acquisition, effective November 29, 2016, the Company recorded IPR&amp;D intangible assets primarily related to the development of the CDX-1058, CDX-3379 and TAM programs with a fair value of $40.0 million, $3.5 million and $18.0 million, respectively. At the date of acquisition and at March 31, 2017, the CDX-1058, CDX-3379 and TAM programs had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not yet reached technological feasibility nor did they have any alternative future use. CDX-0158 is a humanized monoclonal antibody currently in a Phase 1 dose escalation study in refractory gastrointestinal stromal tumors and CDX-3379 is a human monoclonal antibody which recently completed a Phase 1b study in patients with solid tumors. The TAM program is a multi-faceted broad antibody discovery effort to generate antibodies that modulate the TAM family of RTKs, comprised of Tyro3, AXL and MerTK, which are expressed on tumor-infiltrating macrophages, dendritic cells and some tumors.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December 31, 2016</w:t>
            </w:r>
          </w:p>
        </w:tc>
      </w:tr>
      <w:tr>
        <w:trPr>
          <w:trHeight w:val="142"/>
        </w:trPr>
        <w:tc>
          <w:tcPr>
            <w:tcW w:w="56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5"/>
          </w:tcPr>
          <w:p>
            <w:pPr>
              <w:jc w:val="right"/>
              <w:ind w:right="10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Deferred Tax Liability related to IPR&amp;D</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28,054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28,054</w:t>
            </w: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Sale of Tax Benefits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9,436</w:t>
            </w: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Accrued Lease Restructuring</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1,258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1,154</w:t>
            </w: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Long-Term Severance</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Contingent Milestones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47,600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44,200</w:t>
            </w: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3,749</w:t>
            </w:r>
          </w:p>
        </w:tc>
        <w:tc>
          <w:tcPr>
            <w:tcW w:w="80" w:type="dxa"/>
            <w:vAlign w:val="bottom"/>
            <w:shd w:val="clear" w:color="auto" w:fill="CCEEFF"/>
          </w:tcPr>
          <w:p>
            <w:pPr>
              <w:spacing w:after="0"/>
              <w:rPr>
                <w:sz w:val="18"/>
                <w:szCs w:val="18"/>
                <w:color w:val="auto"/>
              </w:rPr>
            </w:pPr>
          </w:p>
        </w:tc>
      </w:tr>
      <w:tr>
        <w:trPr>
          <w:trHeight w:val="210"/>
        </w:trPr>
        <w:tc>
          <w:tcPr>
            <w:tcW w:w="5660" w:type="dxa"/>
            <w:vAlign w:val="bottom"/>
          </w:tcPr>
          <w:p>
            <w:pPr>
              <w:ind w:left="200"/>
              <w:spacing w:after="0"/>
              <w:rPr>
                <w:sz w:val="20"/>
                <w:szCs w:val="20"/>
                <w:color w:val="auto"/>
              </w:rPr>
            </w:pPr>
            <w:r>
              <w:rPr>
                <w:rFonts w:ascii="Arial" w:cs="Arial" w:eastAsia="Arial" w:hAnsi="Arial"/>
                <w:sz w:val="18"/>
                <w:szCs w:val="18"/>
                <w:color w:val="auto"/>
              </w:rPr>
              <w:t>Total</w:t>
            </w:r>
          </w:p>
        </w:tc>
        <w:tc>
          <w:tcPr>
            <w:tcW w:w="2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90,128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(4,826)</w:t>
            </w: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Long-Term Portion</w:t>
            </w:r>
          </w:p>
        </w:tc>
        <w:tc>
          <w:tcPr>
            <w:tcW w:w="24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85,188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November 2015, December 2014, January 2014 and January 2013, the Company received approval from the New Jersey Economic Development Authority and agreed to sell New Jersey tax benefits of $9.8 million, $1.9 million, $1.1 million and $0.8 million to an independent third party for $9.2 million, $1.8 million, $1.0 million and $0.8 million, respectively. Under the agreement, the Company must maintain a base of operations in New Jersey for five years or the tax benefits must be paid back on a pro-rata basis based on the number of years completed. During the three months ended March 31, 2017 and 2016, the Company recorded $0.5 million and $0.6 million to other income related to the sale of these tax benefits, respectively.</w:t>
      </w:r>
    </w:p>
    <w:p>
      <w:pPr>
        <w:spacing w:after="0" w:line="15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December 2016, the Company decided not to occupy the 11,500 square feet of expansion space (“Needham Expansion”) at its Needham, Massachusetts facility. The Company agreed to lease the Needham Expansion in August 2015 and the term of the lease expires in July 2020. The Company is actively trying to sublease the lease obligation. In March 2017, the Company terminated its lease in Branford, CT and consolidated its Connecticut operations in its New Haven, CT facility. The Company recorded restructuring expense of $0.2 million to general and administrative expense related to the Branford, CT lease termination. The activity related to accrued lease restructuring for the three months ended March 31, 2017 is presented below (in thousands):</w:t>
      </w:r>
    </w:p>
    <w:p>
      <w:pPr>
        <w:spacing w:after="0" w:line="137"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March 31, 2017</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May 2016, the Company entered into an agreement with Cantor Fitzgerald &amp; Co. (“Cantor”) to allow the Company to issue and sell shares of its common stock having an aggregate offering price of up to $60.0 million from time to time through Cantor, acting as agent. During three months ended March 31, 2017, Company issued 3,572,608 shares of its common stock under this controlled equity offering sales agreement with Cantor resulting in net</w:t>
      </w:r>
    </w:p>
    <w:p>
      <w:pPr>
        <w:sectPr>
          <w:pgSz w:w="11900" w:h="16838" w:orient="portrait"/>
          <w:cols w:equalWidth="0" w:num="1">
            <w:col w:w="11420"/>
          </w:cols>
          <w:pgMar w:left="240" w:top="337" w:right="239" w:bottom="0" w:gutter="0" w:footer="0" w:header="0"/>
        </w:sectPr>
      </w:pPr>
    </w:p>
    <w:bookmarkStart w:id="7" w:name="page8"/>
    <w:bookmarkEnd w:id="7"/>
    <w:p>
      <w:pPr>
        <w:spacing w:after="0" w:line="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proceeds to the Company of $12.8 million, after deducting commission and offering expenses. At March 31, 2017, the Company had $32.0 million remaining in aggregate gross offering price available under the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three months ended March 31, 2017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ind w:left="306"/>
              <w:spacing w:after="0" w:line="149" w:lineRule="exact"/>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Per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2016</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10,218,710</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11.14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15,100</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3.49</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Canceled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(74,680)</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13.79</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2017</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10,159,130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11.11</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March 31, 2017</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vMerge w:val="restart"/>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84"/>
              </w:rPr>
              <w:t>11.12</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10,069,706</w:t>
            </w:r>
          </w:p>
        </w:tc>
        <w:tc>
          <w:tcPr>
            <w:tcW w:w="3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March 31, 2017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6,340,993</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11.14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380" w:type="dxa"/>
            <w:vAlign w:val="bottom"/>
          </w:tcPr>
          <w:p>
            <w:pPr>
              <w:jc w:val="right"/>
              <w:spacing w:after="0"/>
              <w:rPr>
                <w:sz w:val="20"/>
                <w:szCs w:val="20"/>
                <w:color w:val="auto"/>
              </w:rPr>
            </w:pPr>
            <w:r>
              <w:rPr>
                <w:rFonts w:ascii="Arial" w:cs="Arial" w:eastAsia="Arial" w:hAnsi="Arial"/>
                <w:sz w:val="18"/>
                <w:szCs w:val="18"/>
                <w:color w:val="auto"/>
              </w:rPr>
              <w:t>3,635,563</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three months ended March 31, 2017 was $2.36. Stock-based compensation expense for the three months ended March 31, 2017 and 2016 was recorded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5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6"/>
              </w:rPr>
              <w:t>Three months ended 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3"/>
          </w:tcPr>
          <w:p>
            <w:pPr>
              <w:jc w:val="right"/>
              <w:ind w:right="496"/>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580" w:type="dxa"/>
            <w:vAlign w:val="bottom"/>
            <w:gridSpan w:val="2"/>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1,893</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1,646</w:t>
            </w: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2,125</w:t>
            </w:r>
          </w:p>
        </w:tc>
      </w:tr>
      <w:tr>
        <w:trPr>
          <w:trHeight w:val="210"/>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6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fair values of employee stock options granted during the three months ended March 31, 2017 and 2016 were valued using the Black-Scholes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31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24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76 - 77%</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Expected option term</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 (BMS)</w:t>
      </w:r>
    </w:p>
    <w:p>
      <w:pPr>
        <w:spacing w:after="0" w:line="22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 May 2014, the Company entered into a clinical trial collaboration with BMS to evaluate the safety, tolerability and preliminary efficacy of varlilumab and Opdivo</w:t>
      </w:r>
      <w:r>
        <w:rPr>
          <w:rFonts w:ascii="Arial" w:cs="Arial" w:eastAsia="Arial" w:hAnsi="Arial"/>
          <w:sz w:val="36"/>
          <w:szCs w:val="36"/>
          <w:color w:val="auto"/>
          <w:vertAlign w:val="superscript"/>
        </w:rPr>
        <w:t>®</w:t>
      </w:r>
      <w:r>
        <w:rPr>
          <w:rFonts w:ascii="Arial" w:cs="Arial" w:eastAsia="Arial" w:hAnsi="Arial"/>
          <w:sz w:val="18"/>
          <w:szCs w:val="18"/>
          <w:color w:val="auto"/>
        </w:rPr>
        <w:t>, BMS’s PD-1 immune checkpoint inhibitor, in a Phase 1/2 study. Under the terms of this clinical trial collaboration, BMS made a one-time payment to the Company of $5.0 million and BMS and the Company amended the terms of the Company’s existing license agreement with Medarex, which was acquired by BMS, related to the Company’s CD27 program whereby certain future milestone payments were waived and future royalty rates were reduced that may have been due from the Company to Medarex. In return, BMS was granted a time-limited right of first negotiation if the Company wishes to out-license varlilumab. The companies also agreed to work exclusively with each other to explore anti-PD-1 antagonist antibody and anti-CD27 agonist antibody combination regimens. The clinical trial collaboration provides that the companies share development costs and that the Company will be responsible for conducting the ongoing Phase 1/2 study.</w:t>
      </w:r>
    </w:p>
    <w:p>
      <w:pPr>
        <w:spacing w:after="0" w:line="20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has determined that its performance obligations under the BMS agreement, which primarily include performing research and development, supplying varlilumab and participating in the joint development committee, should be accounted for as a single unit of accounting and estimated that its performance period under the BMS agreement would be 5 years. Accordingly, the $5.0 million up-front payment was initially recorded as deferred revenue and is being recognized as revenue on a straight-line basis over the estimated 5-year performance period using the Contingency Adjusted Performance Model (CAPM). The BMS agreement also provides for BMS to reimburse the Company for 50% of the external costs incurred by the Company in connection with the clinical trial. These BMS payments will be recognized as revenue under the CAPM. The Company recorded $0.5 million and $0.4 million in revenue related to the BMS agreement during the three months ended March 31, 2017 and 2016,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September 2013, the Company entered into an agreement, as amended, with Rockefeller pursuant to which the Company performs research and development services for Rockefeller. The Company bills Rockefeller quarterly for actual time and direct costs incurred and records those amounts to revenue in the quarter the services are performed. The Company recorded $0.8 million and $0.4 million in revenue related to the Rockefeller agreement during the three months ended March 31, 2017 and 2016, respectively.</w:t>
      </w:r>
    </w:p>
    <w:p>
      <w:pPr>
        <w:sectPr>
          <w:pgSz w:w="11900" w:h="16845" w:orient="portrait"/>
          <w:cols w:equalWidth="0" w:num="1">
            <w:col w:w="11420"/>
          </w:cols>
          <w:pgMar w:left="240" w:top="125"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(12) Kolltan Acquisition</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connection with the Kolltan Acquisition, effective November 29, 2016, the Company issued 18,257,996 shares of common stock of the Company in exchange for all of the share and debt interests in Kolltan. The Company also agreed to issue an aggregate of 437,901 shares of its common stock, less tax withholdings, to certain former officers of Kolltan. During the three months ended March 31, 2017, the Company issued 59,182 shares of its common stock and at March 31, 2017 the Company’s remaining obligation is to issue 175,247 shares of its common stock, less tax withholdings, related to this severance obligation. In addition, in the event that certain specified preclinical and clinical development milestones related to Kolltan’s development programs and/or Celldex’s development programs and certain commercial milestones related to Kolltan’s drug candidates are achieved, Celldex will be required to pay Kolltan’s stockholders milestone payments of up to $172.5 million, which milestone payments may be made, at Celldex’s sole election, in cash, in shares of Celldex’s common stock or a combination of both, subject to NASDAQ listing requirements and provisions of the Merger Agreement.</w:t>
      </w:r>
    </w:p>
    <w:p>
      <w:pPr>
        <w:spacing w:after="0" w:line="166"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The Company acquired Kolltan to gain access to Kolltan’s programs including: (i) CLDX-0158 (formerly KTN0158) which is currently in a Phase 1 dose escalation study in patient with refractory gastrointestinal stromal tumors (GIST); (ii) CLDX-3379 (formerly KTN3379) which recently completed a Phase 1b study with combination cohorts where meaningful responses and stable disease were observed in cetuximab (Erbitux</w:t>
      </w:r>
      <w:r>
        <w:rPr>
          <w:rFonts w:ascii="Arial" w:cs="Arial" w:eastAsia="Arial" w:hAnsi="Arial"/>
          <w:sz w:val="23"/>
          <w:szCs w:val="23"/>
          <w:color w:val="auto"/>
          <w:vertAlign w:val="superscript"/>
        </w:rPr>
        <w:t>®</w:t>
      </w:r>
      <w:r>
        <w:rPr>
          <w:rFonts w:ascii="Arial" w:cs="Arial" w:eastAsia="Arial" w:hAnsi="Arial"/>
          <w:sz w:val="18"/>
          <w:szCs w:val="18"/>
          <w:color w:val="auto"/>
        </w:rPr>
        <w:t>) refractory patients in patients with head and neck squamous cell carcinoma and in BRAF-mutant non-small cell lung cancer (NSCLC); and (iii) a multi-faceted TAM program, a broad antibody discovery effort underway to generate antibodies that modulate the TAM family of RTKs, comprised of Tyro3, AXL and MerTK, which are expressed on tumor-infiltrating macrophages, dendritic cells and some tumors.</w:t>
      </w:r>
    </w:p>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transaction was accounted for as a business combination with Celldex treated as the accounting acquirer. All of the assets acquired and liabilities assumed in the transaction are recognized at their acquisition-date fair values, while transaction costs associated with the transaction are expensed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25"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purchase price for Kolltan was based on the acquisition-date fair value of the consideration transferred, which was calculated based on the closing price of the Company’s common stock of $4.02 per share on November 29, 2016. The acquisition-date fair value of the consideration transferred consisted of the following (in thousands):</w:t>
      </w:r>
    </w:p>
    <w:p>
      <w:pPr>
        <w:sectPr>
          <w:pgSz w:w="11900" w:h="16838" w:orient="portrait"/>
          <w:cols w:equalWidth="0" w:num="1">
            <w:col w:w="11420"/>
          </w:cols>
          <w:pgMar w:left="240" w:top="337" w:right="239" w:bottom="208" w:gutter="0" w:footer="0" w:header="0"/>
        </w:sectPr>
      </w:pPr>
    </w:p>
    <w:p>
      <w:pPr>
        <w:spacing w:after="0" w:line="18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Fair value of common stock issued for upfront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-114300</wp:posOffset>
            </wp:positionV>
            <wp:extent cx="57975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Fair value of contingent consideration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Kolltan transaction expenses paid in cash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-116205</wp:posOffset>
            </wp:positionV>
            <wp:extent cx="57975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Total consideration transferred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862" w:hanging="862"/>
        <w:spacing w:after="0"/>
        <w:tabs>
          <w:tab w:leader="none" w:pos="862" w:val="left"/>
        </w:tabs>
        <w:numPr>
          <w:ilvl w:val="0"/>
          <w:numId w:val="5"/>
        </w:numPr>
        <w:rPr>
          <w:rFonts w:ascii="Arial" w:cs="Arial" w:eastAsia="Arial" w:hAnsi="Arial"/>
          <w:sz w:val="16"/>
          <w:szCs w:val="16"/>
          <w:color w:val="auto"/>
        </w:rPr>
      </w:pPr>
      <w:r>
        <w:rPr>
          <w:rFonts w:ascii="Arial" w:cs="Arial" w:eastAsia="Arial" w:hAnsi="Arial"/>
          <w:sz w:val="16"/>
          <w:szCs w:val="16"/>
          <w:color w:val="auto"/>
        </w:rPr>
        <w:t>73,397</w:t>
      </w:r>
    </w:p>
    <w:p>
      <w:pPr>
        <w:spacing w:after="0" w:line="46" w:lineRule="exact"/>
        <w:rPr>
          <w:rFonts w:ascii="Arial" w:cs="Arial" w:eastAsia="Arial" w:hAnsi="Arial"/>
          <w:sz w:val="16"/>
          <w:szCs w:val="16"/>
          <w:color w:val="auto"/>
        </w:rPr>
      </w:pPr>
    </w:p>
    <w:p>
      <w:pPr>
        <w:ind w:left="862"/>
        <w:spacing w:after="0"/>
        <w:rPr>
          <w:rFonts w:ascii="Arial" w:cs="Arial" w:eastAsia="Arial" w:hAnsi="Arial"/>
          <w:sz w:val="16"/>
          <w:szCs w:val="16"/>
          <w:color w:val="auto"/>
        </w:rPr>
      </w:pPr>
      <w:r>
        <w:rPr>
          <w:rFonts w:ascii="Arial" w:cs="Arial" w:eastAsia="Arial" w:hAnsi="Arial"/>
          <w:sz w:val="16"/>
          <w:szCs w:val="16"/>
          <w:color w:val="auto"/>
        </w:rPr>
        <w:t>44,200</w:t>
      </w:r>
    </w:p>
    <w:p>
      <w:pPr>
        <w:spacing w:after="0" w:line="32" w:lineRule="exact"/>
        <w:rPr>
          <w:rFonts w:ascii="Arial" w:cs="Arial" w:eastAsia="Arial" w:hAnsi="Arial"/>
          <w:sz w:val="16"/>
          <w:szCs w:val="16"/>
          <w:color w:val="auto"/>
        </w:rPr>
      </w:pPr>
    </w:p>
    <w:p>
      <w:pPr>
        <w:ind w:left="962"/>
        <w:spacing w:after="0"/>
        <w:rPr>
          <w:rFonts w:ascii="Arial" w:cs="Arial" w:eastAsia="Arial" w:hAnsi="Arial"/>
          <w:sz w:val="16"/>
          <w:szCs w:val="16"/>
          <w:color w:val="auto"/>
        </w:rPr>
      </w:pPr>
      <w:r>
        <w:rPr>
          <w:rFonts w:ascii="Arial" w:cs="Arial" w:eastAsia="Arial" w:hAnsi="Arial"/>
          <w:sz w:val="15"/>
          <w:szCs w:val="15"/>
          <w:color w:val="auto"/>
        </w:rPr>
        <w:t>3,768</w:t>
      </w:r>
    </w:p>
    <w:p>
      <w:pPr>
        <w:spacing w:after="0" w:line="44" w:lineRule="exact"/>
        <w:rPr>
          <w:sz w:val="20"/>
          <w:szCs w:val="20"/>
          <w:color w:val="auto"/>
        </w:rPr>
      </w:pPr>
    </w:p>
    <w:p>
      <w:pPr>
        <w:ind w:left="782" w:hanging="782"/>
        <w:spacing w:after="0"/>
        <w:tabs>
          <w:tab w:leader="none" w:pos="782" w:val="left"/>
        </w:tabs>
        <w:numPr>
          <w:ilvl w:val="0"/>
          <w:numId w:val="6"/>
        </w:numPr>
        <w:rPr>
          <w:rFonts w:ascii="Arial" w:cs="Arial" w:eastAsia="Arial" w:hAnsi="Arial"/>
          <w:sz w:val="16"/>
          <w:szCs w:val="16"/>
          <w:color w:val="auto"/>
        </w:rPr>
      </w:pPr>
      <w:r>
        <w:rPr>
          <w:rFonts w:ascii="Arial" w:cs="Arial" w:eastAsia="Arial" w:hAnsi="Arial"/>
          <w:sz w:val="16"/>
          <w:szCs w:val="16"/>
          <w:color w:val="auto"/>
        </w:rPr>
        <w:t>121,365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866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918" w:space="720"/>
            <w:col w:w="2782"/>
          </w:cols>
          <w:pgMar w:left="240" w:top="337" w:right="239" w:bottom="208" w:gutter="0" w:footer="0" w:header="0"/>
          <w:type w:val="continuous"/>
        </w:sectPr>
      </w:pPr>
    </w:p>
    <w:p>
      <w:pPr>
        <w:spacing w:after="0" w:line="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contingent consideration relates to the achievement of certain regulatory and sales milestones as described in the agreement. The estimate of fair value of contingent consideration of $47.6 million and $44.2 million at March 31, 2017 and December 31, 2016, respectively, was recorded as a noncurrent liability. The Company determined the fair value of these obligations to pay additional milestone payments using various estimates, including probabilities of success, discount rates and amount of time until the conditions of the milestone payments are met. This fair value measurement is based on significant inputs not observable in the market, representing a Level 3 measurement within the fair value hierarchy. The resulting probability-weighted cash flows were discounted using a cost of debt rate ranging from 10-11% for the milestones. The range of estimated milestone payments is from zero, if no milestones are achieved, to $172.5 million if all milestones are met.</w:t>
      </w:r>
    </w:p>
    <w:p>
      <w:pPr>
        <w:spacing w:after="0" w:line="18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the future, if the estimate of the fair value of the contingent consideration changes, the changes in fair value will be recognized in operating earnings. Changes in fair values reflect new information about the probability and timing of meeting the conditions of the milestone payments or changes in discount rates. In the absence of new information, changes in fair value will only reflect the interest component of contingent consideration related to the passage of time as development work progresses towards the achievement of the milestones.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Allocations of Assets and Liabilities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has allocated the consideration transferred for Kolltan to net tangible assets, intangible assets, and goodwill. The difference between the aggregate consideration transferred and the fair value of assets acquired and liabilities assumed was allocated to goodwill. This goodwill relates to the potential synergies from the Kolltan Acquisition and a deferred tax liability related to acquired IPR&amp;D intangible assets. None of the goodwill is expected to be deductible for income tax purposes. The following table summarizes the fair values of the assets acquired and liabilities assumed at the acquisition date (in thousands):</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31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8,160</w:t>
            </w: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Other current and long-term assets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2,072</w:t>
            </w: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In-process research and development (IPR&amp;D)</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61,690</w:t>
            </w: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82,011</w:t>
            </w: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(23,393)</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 assumed liabilities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(9,974)</w:t>
            </w:r>
          </w:p>
        </w:tc>
      </w:tr>
      <w:tr>
        <w:trPr>
          <w:trHeight w:val="210"/>
        </w:trPr>
        <w:tc>
          <w:tcPr>
            <w:tcW w:w="76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The purchase price allocation has been prepared on a preliminary basis and is subject to change as additional information becomes available concerning the fair value and tax basis of the acquired assets and liabilities. Any adjustments to the purchase price allocation will be made as soon as practicable but no later than one year from the acquisition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ectPr>
          <w:pgSz w:w="11900" w:h="16838" w:orient="portrait"/>
          <w:cols w:equalWidth="0" w:num="1">
            <w:col w:w="11420"/>
          </w:cols>
          <w:pgMar w:left="240" w:top="337" w:right="239" w:bottom="208" w:gutter="0" w:footer="0" w:header="0"/>
          <w:type w:val="continuous"/>
        </w:sectPr>
      </w:pPr>
    </w:p>
    <w:bookmarkStart w:id="9" w:name="page10"/>
    <w:bookmarkEnd w:id="9"/>
    <w:p>
      <w:pPr>
        <w:spacing w:after="0" w:line="90"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If the operations of the Company and Kolltan were combined as of January 1, 2016, the unaudited pro forma net loss for the three months ended March 31, 2016 would have been $45.3 million or $(0.39) per share. The unaudited pro forma combined results are not necessarily indicative of the actual results that would have occurred had the acquisition been consummated at that date or of the future operations of the combined entities.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Massachusetts, New Jersey and Connecticut are the three states in which the Company primarily operates or has operated and has income tax nexus. The Company’s wholly-owned subsidiary Celldex Australia Pty Ltd operates in Brisbane, Australia. The Company is not currently under examination by any jurisdictions for any tax year.</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March 31, 2017 and December 31, 2016 against the Company’s net deferred tax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140" w:hanging="324"/>
        <w:spacing w:after="0" w:line="264"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animal, preclinical and clinical studies, and, if we obtain regulatory approval, commercialization of glembatumumab vedotin (also referred to as CDX-011) and other drug candidates and the growth of the markets for those drug candidates;</w:t>
      </w:r>
    </w:p>
    <w:p>
      <w:pPr>
        <w:spacing w:after="0" w:line="181" w:lineRule="exact"/>
        <w:rPr>
          <w:rFonts w:ascii="Arial" w:cs="Arial" w:eastAsia="Arial" w:hAnsi="Arial"/>
          <w:sz w:val="18"/>
          <w:szCs w:val="18"/>
          <w:color w:val="auto"/>
        </w:rPr>
      </w:pPr>
    </w:p>
    <w:p>
      <w:pPr>
        <w:ind w:left="980" w:right="120" w:hanging="324"/>
        <w:spacing w:after="0" w:line="259"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clinical studies and to meet our liquidity needs, on terms acceptable to us, or at all.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6" w:lineRule="exact"/>
        <w:rPr>
          <w:rFonts w:ascii="Arial" w:cs="Arial" w:eastAsia="Arial" w:hAnsi="Arial"/>
          <w:sz w:val="18"/>
          <w:szCs w:val="18"/>
          <w:color w:val="auto"/>
        </w:rPr>
      </w:pPr>
    </w:p>
    <w:p>
      <w:pPr>
        <w:ind w:left="980" w:right="48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approval from our stockholders to issue additional shares of our common stock to Kolltan’s former stockholders if any contingent milestones are achieved;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programs, which may include, glembatumumab vedotin;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integrate our and Kolltan’s businesses and to operate the combined business efficiently;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 timing, scope and results of ongoing safety and efficacy trials of glembatumumab vedotin, and other preclinical and clinical testing;</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 who may be the sole source of supply;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260" w:hanging="324"/>
        <w:spacing w:after="0" w:line="342" w:lineRule="auto"/>
        <w:tabs>
          <w:tab w:leader="none" w:pos="944"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immunotherapeutics;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88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adapt our proprietary antibody-targeted technology, or APC Targeting Technology™, to develop new, safe and effective therapeutics for oncology and infectious disease indications;</w:t>
      </w:r>
    </w:p>
    <w:p>
      <w:pPr>
        <w:sectPr>
          <w:pgSz w:w="11900" w:h="16929" w:orient="portrait"/>
          <w:cols w:equalWidth="0" w:num="1">
            <w:col w:w="11420"/>
          </w:cols>
          <w:pgMar w:left="240" w:top="125" w:right="239" w:bottom="0" w:gutter="0" w:footer="0" w:header="0"/>
        </w:sectPr>
      </w:pPr>
    </w:p>
    <w:bookmarkStart w:id="10" w:name="page11"/>
    <w:bookmarkEnd w:id="10"/>
    <w:p>
      <w:pPr>
        <w:ind w:left="980" w:right="420" w:hanging="324"/>
        <w:spacing w:after="0" w:line="264"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 and</w:t>
      </w:r>
    </w:p>
    <w:p>
      <w:pPr>
        <w:spacing w:after="0" w:line="181" w:lineRule="exact"/>
        <w:rPr>
          <w:rFonts w:ascii="Arial" w:cs="Arial" w:eastAsia="Arial" w:hAnsi="Arial"/>
          <w:sz w:val="18"/>
          <w:szCs w:val="18"/>
          <w:color w:val="auto"/>
        </w:rPr>
      </w:pPr>
    </w:p>
    <w:p>
      <w:pPr>
        <w:ind w:left="980" w:right="100" w:hanging="324"/>
        <w:spacing w:after="0" w:line="264"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2016 and other reports that we file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a biopharmaceutical company focused on the development and commercialization of several immunotherapy technologies and other cancer-targeting biologics. Our drug candidates, including antibodies, antibody-drug conjugates and other protein-based therapeutics, are derived from a broad set of complementary technologies which have the ability to engage the human immune system and/or directly inhibit tumors to treat specific types of cancer or other diseases.</w:t>
      </w:r>
    </w:p>
    <w:p>
      <w:pPr>
        <w:spacing w:after="0" w:line="18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Our latest stage drug candidate, glembatumumab vedotin (also referred to as CDX-011) is a targeted antibody-drug conjugate in a randomized, Phase 2b study for the treatment of triple negative breast cancer and a Phase 2 study for the treatment of metastatic melanoma. Varlilumab (also referred to as CDX-1127) is an immune modulating antibody that is designed to enhance a patient’s immune response against cancer. We established proof of principal in a Phase 1 study with varlilumab, which supported the initiation of combination studies in various indications. We also have a number of earlier stage drug candidates in clinical development, including CDX-0158, a humanized monoclonal antibody (mAb) currently in a Phase 1 dose escalation study in refractory gastrointestinal stromal tumors (GIST) and other KIT positive tumors; CDX-3379, a human monoclonal antibody which recently completed a Phase 1b study in patients with solid tumors; CDX-014, an antibody-drug conjugate targeting renal and ovarian cancers; CDX-1401, a targeted immunotherapeutic aimed at antigen presenting cells, or APCs, for cancer indications; and, CDX-301, an immune cell mobilizing agent and dendritic cell growth factor. Our drug candidates address market opportunities for which we believe current cancer therapies are inadequate or non-existent.</w:t>
      </w:r>
    </w:p>
    <w:p>
      <w:pPr>
        <w:spacing w:after="0" w:line="16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reflects Celldex-sponsored clinical studies that we are actively pursuing at this time. All programs are currently fully owned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Celldex.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Product (generic)</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0" w:type="dxa"/>
            <w:vAlign w:val="bottom"/>
            <w:gridSpan w:val="2"/>
          </w:tcPr>
          <w:p>
            <w:pPr>
              <w:ind w:left="2060"/>
              <w:spacing w:after="0"/>
              <w:rPr>
                <w:sz w:val="20"/>
                <w:szCs w:val="20"/>
                <w:color w:val="auto"/>
              </w:rPr>
            </w:pPr>
            <w:r>
              <w:rPr>
                <w:rFonts w:ascii="Arial" w:cs="Arial" w:eastAsia="Arial" w:hAnsi="Arial"/>
                <w:sz w:val="14"/>
                <w:szCs w:val="14"/>
                <w:b w:val="1"/>
                <w:bCs w:val="1"/>
                <w:color w:val="auto"/>
              </w:rPr>
              <w:t>Indication/Field</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Status</w:t>
            </w:r>
          </w:p>
        </w:tc>
        <w:tc>
          <w:tcPr>
            <w:tcW w:w="1360" w:type="dxa"/>
            <w:vAlign w:val="bottom"/>
          </w:tcPr>
          <w:p>
            <w:pPr>
              <w:ind w:left="420"/>
              <w:spacing w:after="0"/>
              <w:rPr>
                <w:sz w:val="20"/>
                <w:szCs w:val="20"/>
                <w:color w:val="auto"/>
              </w:rPr>
            </w:pPr>
            <w:r>
              <w:rPr>
                <w:rFonts w:ascii="Arial" w:cs="Arial" w:eastAsia="Arial" w:hAnsi="Arial"/>
                <w:sz w:val="14"/>
                <w:szCs w:val="14"/>
                <w:b w:val="1"/>
                <w:bCs w:val="1"/>
                <w:color w:val="auto"/>
              </w:rPr>
              <w:t>Sponsor</w:t>
            </w:r>
          </w:p>
        </w:tc>
      </w:tr>
      <w:tr>
        <w:trPr>
          <w:trHeight w:val="210"/>
        </w:trPr>
        <w:tc>
          <w:tcPr>
            <w:tcW w:w="2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Glembatumumab vedotin</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Triple negative breast cancer</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Phase 2b</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Celldex</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Glembatumumab vedotin</w:t>
            </w:r>
          </w:p>
        </w:tc>
        <w:tc>
          <w:tcPr>
            <w:tcW w:w="180" w:type="dxa"/>
            <w:vAlign w:val="bottom"/>
          </w:tcPr>
          <w:p>
            <w:pPr>
              <w:spacing w:after="0"/>
              <w:rPr>
                <w:sz w:val="18"/>
                <w:szCs w:val="18"/>
                <w:color w:val="auto"/>
              </w:rPr>
            </w:pPr>
          </w:p>
        </w:tc>
        <w:tc>
          <w:tcPr>
            <w:tcW w:w="5520" w:type="dxa"/>
            <w:vAlign w:val="bottom"/>
            <w:gridSpan w:val="3"/>
          </w:tcPr>
          <w:p>
            <w:pPr>
              <w:ind w:left="120"/>
              <w:spacing w:after="0"/>
              <w:rPr>
                <w:sz w:val="20"/>
                <w:szCs w:val="20"/>
                <w:color w:val="auto"/>
              </w:rPr>
            </w:pPr>
            <w:r>
              <w:rPr>
                <w:rFonts w:ascii="Arial" w:cs="Arial" w:eastAsia="Arial" w:hAnsi="Arial"/>
                <w:sz w:val="18"/>
                <w:szCs w:val="18"/>
                <w:color w:val="auto"/>
              </w:rPr>
              <w:t>Metastatic melanoma (with varlilumab or CPI*)</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81"/>
              </w:rPr>
              <w:t>Phase 2</w:t>
            </w:r>
          </w:p>
        </w:tc>
        <w:tc>
          <w:tcPr>
            <w:tcW w:w="1360" w:type="dxa"/>
            <w:vAlign w:val="bottom"/>
          </w:tcPr>
          <w:p>
            <w:pPr>
              <w:spacing w:after="0"/>
              <w:rPr>
                <w:sz w:val="20"/>
                <w:szCs w:val="20"/>
                <w:color w:val="auto"/>
              </w:rPr>
            </w:pPr>
            <w:r>
              <w:rPr>
                <w:rFonts w:ascii="Arial" w:cs="Arial" w:eastAsia="Arial" w:hAnsi="Arial"/>
                <w:sz w:val="18"/>
                <w:szCs w:val="18"/>
                <w:color w:val="auto"/>
              </w:rPr>
              <w:t>Celldex</w:t>
            </w: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Varlilumab</w:t>
            </w:r>
          </w:p>
        </w:tc>
        <w:tc>
          <w:tcPr>
            <w:tcW w:w="18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Multiple solid tumors (with nivolumab)</w:t>
            </w:r>
          </w:p>
        </w:tc>
        <w:tc>
          <w:tcPr>
            <w:tcW w:w="1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1"/>
              </w:rPr>
              <w:t>Phase 2</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Celldex**</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CDX-0158</w:t>
            </w:r>
          </w:p>
        </w:tc>
        <w:tc>
          <w:tcPr>
            <w:tcW w:w="180" w:type="dxa"/>
            <w:vAlign w:val="bottom"/>
          </w:tcPr>
          <w:p>
            <w:pPr>
              <w:spacing w:after="0"/>
              <w:rPr>
                <w:sz w:val="18"/>
                <w:szCs w:val="18"/>
                <w:color w:val="auto"/>
              </w:rPr>
            </w:pPr>
          </w:p>
        </w:tc>
        <w:tc>
          <w:tcPr>
            <w:tcW w:w="5520" w:type="dxa"/>
            <w:vAlign w:val="bottom"/>
            <w:gridSpan w:val="3"/>
          </w:tcPr>
          <w:p>
            <w:pPr>
              <w:ind w:left="120"/>
              <w:spacing w:after="0"/>
              <w:rPr>
                <w:sz w:val="20"/>
                <w:szCs w:val="20"/>
                <w:color w:val="auto"/>
              </w:rPr>
            </w:pPr>
            <w:r>
              <w:rPr>
                <w:rFonts w:ascii="Arial" w:cs="Arial" w:eastAsia="Arial" w:hAnsi="Arial"/>
                <w:sz w:val="18"/>
                <w:szCs w:val="18"/>
                <w:color w:val="auto"/>
              </w:rPr>
              <w:t>Gastrointestinal and other KIT-postive tumors</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81"/>
              </w:rPr>
              <w:t>Phase 1</w:t>
            </w:r>
          </w:p>
        </w:tc>
        <w:tc>
          <w:tcPr>
            <w:tcW w:w="1360" w:type="dxa"/>
            <w:vAlign w:val="bottom"/>
          </w:tcPr>
          <w:p>
            <w:pPr>
              <w:spacing w:after="0"/>
              <w:rPr>
                <w:sz w:val="20"/>
                <w:szCs w:val="20"/>
                <w:color w:val="auto"/>
              </w:rPr>
            </w:pPr>
            <w:r>
              <w:rPr>
                <w:rFonts w:ascii="Arial" w:cs="Arial" w:eastAsia="Arial" w:hAnsi="Arial"/>
                <w:sz w:val="18"/>
                <w:szCs w:val="18"/>
                <w:color w:val="auto"/>
              </w:rPr>
              <w:t>Celldex</w:t>
            </w: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CDX-3379</w:t>
            </w:r>
          </w:p>
        </w:tc>
        <w:tc>
          <w:tcPr>
            <w:tcW w:w="18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Multiple solid tumors (in combination regimens)</w:t>
            </w:r>
          </w:p>
        </w:tc>
        <w:tc>
          <w:tcPr>
            <w:tcW w:w="1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1"/>
              </w:rPr>
              <w:t>Phase 1</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Celldex</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CDX-014</w:t>
            </w:r>
          </w:p>
        </w:tc>
        <w:tc>
          <w:tcPr>
            <w:tcW w:w="180" w:type="dxa"/>
            <w:vAlign w:val="bottom"/>
          </w:tcPr>
          <w:p>
            <w:pPr>
              <w:spacing w:after="0"/>
              <w:rPr>
                <w:sz w:val="20"/>
                <w:szCs w:val="20"/>
                <w:color w:val="auto"/>
              </w:rPr>
            </w:pPr>
          </w:p>
        </w:tc>
        <w:tc>
          <w:tcPr>
            <w:tcW w:w="5520" w:type="dxa"/>
            <w:vAlign w:val="bottom"/>
            <w:gridSpan w:val="3"/>
          </w:tcPr>
          <w:p>
            <w:pPr>
              <w:ind w:left="120"/>
              <w:spacing w:after="0"/>
              <w:rPr>
                <w:sz w:val="20"/>
                <w:szCs w:val="20"/>
                <w:color w:val="auto"/>
              </w:rPr>
            </w:pPr>
            <w:r>
              <w:rPr>
                <w:rFonts w:ascii="Arial" w:cs="Arial" w:eastAsia="Arial" w:hAnsi="Arial"/>
                <w:sz w:val="18"/>
                <w:szCs w:val="18"/>
                <w:color w:val="auto"/>
              </w:rPr>
              <w:t>Renal cell carcinoma</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81"/>
              </w:rPr>
              <w:t>Phase 1</w:t>
            </w:r>
          </w:p>
        </w:tc>
        <w:tc>
          <w:tcPr>
            <w:tcW w:w="1360" w:type="dxa"/>
            <w:vAlign w:val="bottom"/>
          </w:tcPr>
          <w:p>
            <w:pPr>
              <w:spacing w:after="0"/>
              <w:rPr>
                <w:sz w:val="20"/>
                <w:szCs w:val="20"/>
                <w:color w:val="auto"/>
              </w:rPr>
            </w:pPr>
            <w:r>
              <w:rPr>
                <w:rFonts w:ascii="Arial" w:cs="Arial" w:eastAsia="Arial" w:hAnsi="Arial"/>
                <w:sz w:val="18"/>
                <w:szCs w:val="18"/>
                <w:color w:val="auto"/>
              </w:rPr>
              <w:t>Celldex</w:t>
            </w:r>
          </w:p>
        </w:tc>
      </w:tr>
      <w:tr>
        <w:trPr>
          <w:trHeight w:val="310"/>
        </w:trPr>
        <w:tc>
          <w:tcPr>
            <w:tcW w:w="26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8"/>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tcPr>
          <w:p>
            <w:pPr>
              <w:ind w:left="60"/>
              <w:spacing w:after="0"/>
              <w:rPr>
                <w:sz w:val="20"/>
                <w:szCs w:val="20"/>
                <w:color w:val="auto"/>
              </w:rPr>
            </w:pPr>
            <w:r>
              <w:rPr>
                <w:rFonts w:ascii="Arial" w:cs="Arial" w:eastAsia="Arial" w:hAnsi="Arial"/>
                <w:sz w:val="18"/>
                <w:szCs w:val="18"/>
                <w:i w:val="1"/>
                <w:iCs w:val="1"/>
                <w:color w:val="auto"/>
              </w:rPr>
              <w:t>checkpoint inhibitor</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tcPr>
          <w:p>
            <w:pPr>
              <w:ind w:left="60"/>
              <w:spacing w:after="0"/>
              <w:rPr>
                <w:sz w:val="20"/>
                <w:szCs w:val="20"/>
                <w:color w:val="auto"/>
              </w:rPr>
            </w:pPr>
            <w:r>
              <w:rPr>
                <w:rFonts w:ascii="Arial" w:cs="Arial" w:eastAsia="Arial" w:hAnsi="Arial"/>
                <w:sz w:val="18"/>
                <w:szCs w:val="18"/>
                <w:color w:val="auto"/>
              </w:rPr>
              <w:t>BMS collaboration</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also routinely work with external parties, such as government agencies, to collaboratively advance our drug candidates. The following pipeline reflects clinical trials of our drug candidates being actively pursued by outside organizations. In addition to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studies listed below, we also have an Investigator Initiated Research (IIR) program with seven studies ongoing with our drug candidates and additional studies currently under consideration.</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Product (generic)</w:t>
            </w:r>
          </w:p>
        </w:tc>
        <w:tc>
          <w:tcPr>
            <w:tcW w:w="3140" w:type="dxa"/>
            <w:vAlign w:val="bottom"/>
            <w:gridSpan w:val="2"/>
          </w:tcPr>
          <w:p>
            <w:pPr>
              <w:ind w:left="940"/>
              <w:spacing w:after="0"/>
              <w:rPr>
                <w:sz w:val="20"/>
                <w:szCs w:val="20"/>
                <w:color w:val="auto"/>
              </w:rPr>
            </w:pPr>
            <w:r>
              <w:rPr>
                <w:rFonts w:ascii="Arial" w:cs="Arial" w:eastAsia="Arial" w:hAnsi="Arial"/>
                <w:sz w:val="14"/>
                <w:szCs w:val="14"/>
                <w:b w:val="1"/>
                <w:bCs w:val="1"/>
                <w:color w:val="auto"/>
              </w:rPr>
              <w:t>Indication/Field</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Status</w:t>
            </w:r>
          </w:p>
        </w:tc>
        <w:tc>
          <w:tcPr>
            <w:tcW w:w="2280" w:type="dxa"/>
            <w:vAlign w:val="bottom"/>
          </w:tcPr>
          <w:p>
            <w:pPr>
              <w:ind w:left="880"/>
              <w:spacing w:after="0"/>
              <w:rPr>
                <w:sz w:val="20"/>
                <w:szCs w:val="20"/>
                <w:color w:val="auto"/>
              </w:rPr>
            </w:pPr>
            <w:r>
              <w:rPr>
                <w:rFonts w:ascii="Arial" w:cs="Arial" w:eastAsia="Arial" w:hAnsi="Arial"/>
                <w:sz w:val="14"/>
                <w:szCs w:val="14"/>
                <w:b w:val="1"/>
                <w:bCs w:val="1"/>
                <w:color w:val="auto"/>
              </w:rPr>
              <w:t>Sponsor</w:t>
            </w: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Glembatumumab vedotin</w:t>
            </w:r>
          </w:p>
        </w:tc>
        <w:tc>
          <w:tcPr>
            <w:tcW w:w="28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Uveal melanoma</w:t>
            </w: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Phase 2</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NCI (CRADA)</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Glembatumumab vedotin</w:t>
            </w:r>
          </w:p>
        </w:tc>
        <w:tc>
          <w:tcPr>
            <w:tcW w:w="3140" w:type="dxa"/>
            <w:vAlign w:val="bottom"/>
            <w:gridSpan w:val="2"/>
          </w:tcPr>
          <w:p>
            <w:pPr>
              <w:spacing w:after="0"/>
              <w:rPr>
                <w:sz w:val="20"/>
                <w:szCs w:val="20"/>
                <w:color w:val="auto"/>
              </w:rPr>
            </w:pPr>
            <w:r>
              <w:rPr>
                <w:rFonts w:ascii="Arial" w:cs="Arial" w:eastAsia="Arial" w:hAnsi="Arial"/>
                <w:sz w:val="18"/>
                <w:szCs w:val="18"/>
                <w:color w:val="auto"/>
              </w:rPr>
              <w:t>Squamous cell lung cancer</w:t>
            </w:r>
          </w:p>
        </w:tc>
        <w:tc>
          <w:tcPr>
            <w:tcW w:w="256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Phase 2</w:t>
            </w:r>
          </w:p>
        </w:tc>
        <w:tc>
          <w:tcPr>
            <w:tcW w:w="2280" w:type="dxa"/>
            <w:vAlign w:val="bottom"/>
          </w:tcPr>
          <w:p>
            <w:pPr>
              <w:spacing w:after="0"/>
              <w:rPr>
                <w:sz w:val="20"/>
                <w:szCs w:val="20"/>
                <w:color w:val="auto"/>
              </w:rPr>
            </w:pPr>
            <w:r>
              <w:rPr>
                <w:rFonts w:ascii="Arial" w:cs="Arial" w:eastAsia="Arial" w:hAnsi="Arial"/>
                <w:sz w:val="18"/>
                <w:szCs w:val="18"/>
                <w:color w:val="auto"/>
              </w:rPr>
              <w:t>PrECOG, LLC</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CDX-1401/CDX-301</w:t>
            </w: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Multiple solid tumors</w:t>
            </w:r>
          </w:p>
        </w:tc>
        <w:tc>
          <w:tcPr>
            <w:tcW w:w="25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4"/>
              </w:rPr>
              <w:t>Phase 2</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CITN</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several years or more, and the length of time generally varies substantially according to the type, complexity, novelty and intended use of a product candidate.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is not unusual for the clinical development of these types of product candidates to each take five years or more and for total development costs to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each product candidate. We estimate that clinical trials of the type we generally conduct are typically completed over the following timelines:</w:t>
      </w:r>
    </w:p>
    <w:p>
      <w:pPr>
        <w:sectPr>
          <w:pgSz w:w="11900" w:h="16838" w:orient="portrait"/>
          <w:cols w:equalWidth="0" w:num="1">
            <w:col w:w="11420"/>
          </w:cols>
          <w:pgMar w:left="240" w:top="341"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Clinical Phase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Estimated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Completion</w:t>
      </w:r>
    </w:p>
    <w:p>
      <w:pPr>
        <w:sectPr>
          <w:pgSz w:w="11900" w:h="16838" w:orient="portrait"/>
          <w:cols w:equalWidth="0" w:num="2">
            <w:col w:w="9540" w:space="720"/>
            <w:col w:w="1160"/>
          </w:cols>
          <w:pgMar w:left="240" w:top="341" w:right="23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71"/>
        </w:trPr>
        <w:tc>
          <w:tcPr>
            <w:tcW w:w="96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Phase 1</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1 - 5 Years</w:t>
            </w:r>
          </w:p>
        </w:tc>
      </w:tr>
      <w:tr>
        <w:trPr>
          <w:trHeight w:val="216"/>
        </w:trPr>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1 - 5 Years</w:t>
            </w: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To the extent we are unable to maintain a broad range of product candidates, our dependence on the success of one or a few product candidates increases.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During the past five years through December 31, 2016, we incurred an aggregate of $422.1 million in research and development expenses. The following table indicates the amount incurred for each of our significant research programs and for other identified research and development activities during the three months ended March 31, 2017 and 2016. The amounts disclosed in the following table reflect direct research and development costs, license fees associated with the underlying technology and an allocation of indirect research and development costs to each program.</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3"/>
          </w:tcPr>
          <w:p>
            <w:pPr>
              <w:jc w:val="right"/>
              <w:ind w:right="456"/>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Glembatumumab vedotin</w:t>
            </w:r>
          </w:p>
        </w:tc>
        <w:tc>
          <w:tcPr>
            <w:tcW w:w="4000" w:type="dxa"/>
            <w:vAlign w:val="bottom"/>
            <w:gridSpan w:val="2"/>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8,838</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5,523</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Varlilumab</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4,892</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5,694</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CDX-0158</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1,376</w:t>
            </w:r>
          </w:p>
        </w:tc>
        <w:tc>
          <w:tcPr>
            <w:tcW w:w="8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CDX-3379</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1,385</w:t>
            </w:r>
          </w:p>
        </w:tc>
        <w:tc>
          <w:tcPr>
            <w:tcW w:w="8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CDX-014</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CDX-1401</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930</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1,930</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CDX-1140</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2,945</w:t>
            </w:r>
          </w:p>
        </w:tc>
        <w:tc>
          <w:tcPr>
            <w:tcW w:w="8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TAM</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1,046</w:t>
            </w:r>
          </w:p>
        </w:tc>
        <w:tc>
          <w:tcPr>
            <w:tcW w:w="8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Rintega</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532</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11,029</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Programs</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3,560</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1,592</w:t>
            </w:r>
          </w:p>
        </w:tc>
        <w:tc>
          <w:tcPr>
            <w:tcW w:w="80" w:type="dxa"/>
            <w:vAlign w:val="bottom"/>
            <w:shd w:val="clear" w:color="auto" w:fill="CCEEFF"/>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Total R&amp;D Expense</w:t>
            </w:r>
          </w:p>
        </w:tc>
        <w:tc>
          <w:tcPr>
            <w:tcW w:w="3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25,793</w:t>
            </w: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27,447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ectPr>
          <w:pgSz w:w="11900" w:h="16838" w:orient="portrait"/>
          <w:cols w:equalWidth="0" w:num="1">
            <w:col w:w="11420"/>
          </w:cols>
          <w:pgMar w:left="240" w:top="118" w:right="23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Glembatumumab Vedotin</w:t>
      </w:r>
    </w:p>
    <w:p>
      <w:pPr>
        <w:sectPr>
          <w:pgSz w:w="11900" w:h="16838" w:orient="portrait"/>
          <w:cols w:equalWidth="0" w:num="1">
            <w:col w:w="11420"/>
          </w:cols>
          <w:pgMar w:left="240" w:top="118" w:right="239" w:bottom="0" w:gutter="0" w:footer="0" w:header="0"/>
          <w:type w:val="continuous"/>
        </w:sectPr>
      </w:pPr>
    </w:p>
    <w:bookmarkStart w:id="12" w:name="page13"/>
    <w:bookmarkEnd w:id="12"/>
    <w:p>
      <w:pPr>
        <w:ind w:right="20" w:firstLine="648"/>
        <w:spacing w:after="0" w:line="261" w:lineRule="auto"/>
        <w:rPr>
          <w:sz w:val="20"/>
          <w:szCs w:val="20"/>
          <w:color w:val="auto"/>
        </w:rPr>
      </w:pPr>
      <w:r>
        <w:rPr>
          <w:rFonts w:ascii="Arial" w:cs="Arial" w:eastAsia="Arial" w:hAnsi="Arial"/>
          <w:sz w:val="17"/>
          <w:szCs w:val="17"/>
          <w:color w:val="auto"/>
        </w:rPr>
        <w:t>Glembatumumab vedotin is an antibody-drug conjugate, or ADC, that consists of a fully human monoclonal antibody, CR011, linked to a potent cell-killing drug, monomethyl auristatin E, or MMAE. The CR011 antibody specifically targets glycoprotein NMB, referred to as gpNMB that is over-expressed in a variety of cancers including breast cancer, melanoma, non-small cell lung cancer, uveal melanoma and osteosarcoma, among others. The ADC technology, comprised of MMAE and a stable linker system for attaching it to CR011, was licensed from Seattle Genetics, Inc. and is the same as that used in the marketed product Adcetris</w:t>
      </w:r>
      <w:r>
        <w:rPr>
          <w:rFonts w:ascii="Arial" w:cs="Arial" w:eastAsia="Arial" w:hAnsi="Arial"/>
          <w:sz w:val="22"/>
          <w:szCs w:val="22"/>
          <w:color w:val="auto"/>
          <w:vertAlign w:val="superscript"/>
        </w:rPr>
        <w:t>®</w:t>
      </w:r>
      <w:r>
        <w:rPr>
          <w:rFonts w:ascii="Arial" w:cs="Arial" w:eastAsia="Arial" w:hAnsi="Arial"/>
          <w:sz w:val="17"/>
          <w:szCs w:val="17"/>
          <w:color w:val="auto"/>
        </w:rPr>
        <w:t>.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Glembatumumab vedotin is being studied across multiple indications in company-sponsored trials and in collaborative studies with external parties. The U.S. Food and Drug Administration, or FDA, has granted Fast Track designation to glembatumumab vedotin for the treatment of advanced, refractory/resistant gpNMB-expressing breast cancer. A companion diagnostic is in development for certain indications, and we expect that, if necessary, such a companion diagnostic must be approved by the FDA or certain other foreign regulatory agencies before glembatumumab vedotin may be commercialized in those indications.</w:t>
      </w:r>
    </w:p>
    <w:p>
      <w:pPr>
        <w:spacing w:after="0" w:line="18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b w:val="1"/>
          <w:bCs w:val="1"/>
          <w:color w:val="auto"/>
        </w:rPr>
        <w:t xml:space="preserve">Treatment of Metastatic Breast Cancer: </w:t>
      </w:r>
      <w:r>
        <w:rPr>
          <w:rFonts w:ascii="Arial" w:cs="Arial" w:eastAsia="Arial" w:hAnsi="Arial"/>
          <w:sz w:val="16"/>
          <w:szCs w:val="16"/>
          <w:color w:val="auto"/>
        </w:rPr>
        <w:t>The Phase 1/2 study of glembatumumab vedotin administered intravenously once every three weeks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evaluated patients with locally advanced or metastatic breast cancer (MBC) who had received prior therapy (median of seven prior regimens). Results were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September 2014. The study began with a bridging phase to confirm the maximum tolerated dose, or MTD, and then expanded into a Phase 2 open-label, multi-center study. The study supported an acceptable safety profile of glembatumumab vedotin at the pre-defined maximum dose level (1.88 mg/kg) in 6 patients. An additional 28 patients with MBC were enrolled in an expanded Phase 2 cohort (for a total of 34 treated patients at 1.88 mg/kg, the Phase 2 dose) to evaluate the progression-free survival (PFS) rate at 12 weeks. The 1.88 mg/kg dose exhibited an acceptable safety profile in this patient population with the most common adverse events being rash, neuropathy and fatigue. The primary anti-cancer activity endpoint, which called for at least 5 of 25 (20%) patients in the Phase 2 study portion to be progression-free at 12 weeks, was met as 9 of 27 (33%) evaluable patients were progression-free at 12 weeks. For all patients treated at the Phase 2 dose, median PFS was 9.1 weeks.</w:t>
      </w:r>
    </w:p>
    <w:p>
      <w:pPr>
        <w:spacing w:after="0" w:line="16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 subset of 10 patients had “triple negative disease,” a more aggressive metastatic breast cancer subtype that carries a high risk of relapse and reduced survival as well as limited therapeutic options. In these patients, the 12-week PFS rate was 60% (6/10),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median PFS was 17.9 weeks. Tumor samples from a subset of patients across all dose groups were analyzed for gpNMB expression. The tumor samples from most patients showed evidence of stromal and/or tumor cell expression of gpNMB.</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The subsequent EMERGE study was a randomized, multi-center Phase 2b study of glembatumumab vedotin in 124 patients with heavily pre-treated, advanced, gpNMB-positive breast cancer. Results from EMERGE were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April 2015. Patients were randomized (2:1) to receive either glembatumumab vedotin or single-agent Investigator’s Choice chemotherapy. Patients randomized to receive Investigator’s Choice were allowed to cross over to receive glembatumumab vedotin following disease progression. Activity endpoints included response rate, PFS and overall survival (OS). The final study results, as shown below, suggested that glembatumumab vedotin induced significant response rates compared to currently available therapies in patient subsets with advanced, refractory breast cancers with high gpNMB expression (expression in at least 25% of tumor cells) and in patients with triple negative breast cancer. The OS and PFS of patients treated with glembatumumab vedotin were also observed to be greatest in patients with high gpNMB expression and, in particular, in patients with triple negative breast cancer who also had high gpNMB expression.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Overall Response Rate and Disease Control Data (Intent-to-Treat Population)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Triple Negative</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3280" w:type="dxa"/>
            <w:vAlign w:val="bottom"/>
            <w:gridSpan w:val="4"/>
            <w:vMerge w:val="restart"/>
          </w:tcPr>
          <w:p>
            <w:pPr>
              <w:jc w:val="right"/>
              <w:ind w:right="1020"/>
              <w:spacing w:after="0"/>
              <w:rPr>
                <w:sz w:val="20"/>
                <w:szCs w:val="20"/>
                <w:color w:val="auto"/>
              </w:rPr>
            </w:pPr>
            <w:r>
              <w:rPr>
                <w:rFonts w:ascii="Arial" w:cs="Arial" w:eastAsia="Arial" w:hAnsi="Arial"/>
                <w:sz w:val="14"/>
                <w:szCs w:val="14"/>
                <w:b w:val="1"/>
                <w:bCs w:val="1"/>
                <w:color w:val="auto"/>
              </w:rPr>
              <w:t>High gpNMB Expression</w:t>
            </w:r>
          </w:p>
        </w:tc>
        <w:tc>
          <w:tcPr>
            <w:tcW w:w="1900" w:type="dxa"/>
            <w:vAlign w:val="bottom"/>
            <w:gridSpan w:val="3"/>
          </w:tcPr>
          <w:p>
            <w:pPr>
              <w:jc w:val="center"/>
              <w:ind w:left="1064"/>
              <w:spacing w:after="0" w:line="149" w:lineRule="exact"/>
              <w:rPr>
                <w:sz w:val="20"/>
                <w:szCs w:val="20"/>
                <w:color w:val="auto"/>
              </w:rPr>
            </w:pPr>
            <w:r>
              <w:rPr>
                <w:rFonts w:ascii="Arial" w:cs="Arial" w:eastAsia="Arial" w:hAnsi="Arial"/>
                <w:sz w:val="14"/>
                <w:szCs w:val="14"/>
                <w:b w:val="1"/>
                <w:bCs w:val="1"/>
                <w:color w:val="auto"/>
                <w:w w:val="97"/>
              </w:rPr>
              <w:t>and gpNMB</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3280" w:type="dxa"/>
            <w:vAlign w:val="bottom"/>
            <w:gridSpan w:val="4"/>
            <w:vMerge w:val="continue"/>
          </w:tcPr>
          <w:p>
            <w:pPr>
              <w:spacing w:after="0"/>
              <w:rPr>
                <w:sz w:val="14"/>
                <w:szCs w:val="14"/>
                <w:color w:val="auto"/>
              </w:rPr>
            </w:pPr>
          </w:p>
        </w:tc>
        <w:tc>
          <w:tcPr>
            <w:tcW w:w="3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Over-Expression</w:t>
            </w: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Glembatumumab</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Investigator’s</w:t>
            </w:r>
          </w:p>
        </w:tc>
        <w:tc>
          <w:tcPr>
            <w:tcW w:w="280" w:type="dxa"/>
            <w:vAlign w:val="bottom"/>
          </w:tcPr>
          <w:p>
            <w:pPr>
              <w:spacing w:after="0"/>
              <w:rPr>
                <w:sz w:val="10"/>
                <w:szCs w:val="10"/>
                <w:color w:val="auto"/>
              </w:rPr>
            </w:pPr>
          </w:p>
        </w:tc>
        <w:tc>
          <w:tcPr>
            <w:tcW w:w="1900" w:type="dxa"/>
            <w:vAlign w:val="bottom"/>
            <w:tcBorders>
              <w:top w:val="single" w:sz="8" w:color="auto"/>
            </w:tcBorders>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Glembatumumab</w:t>
            </w:r>
          </w:p>
        </w:tc>
        <w:tc>
          <w:tcPr>
            <w:tcW w:w="1120" w:type="dxa"/>
            <w:vAlign w:val="bottom"/>
            <w:tcBorders>
              <w:top w:val="single" w:sz="8" w:color="auto"/>
            </w:tcBorders>
          </w:tcPr>
          <w:p>
            <w:pPr>
              <w:jc w:val="center"/>
              <w:ind w:right="162"/>
              <w:spacing w:after="0" w:line="119" w:lineRule="exact"/>
              <w:rPr>
                <w:sz w:val="20"/>
                <w:szCs w:val="20"/>
                <w:color w:val="auto"/>
              </w:rPr>
            </w:pPr>
            <w:r>
              <w:rPr>
                <w:rFonts w:ascii="Arial" w:cs="Arial" w:eastAsia="Arial" w:hAnsi="Arial"/>
                <w:sz w:val="13"/>
                <w:szCs w:val="13"/>
                <w:b w:val="1"/>
                <w:bCs w:val="1"/>
                <w:color w:val="auto"/>
                <w:w w:val="99"/>
              </w:rPr>
              <w:t>Investigator’s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Vedotin</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Choice</w:t>
            </w:r>
          </w:p>
        </w:tc>
        <w:tc>
          <w:tcPr>
            <w:tcW w:w="19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Vedotin</w:t>
            </w: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Choice</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(n=23)</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(n=11)</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(n=10)</w:t>
            </w:r>
          </w:p>
        </w:tc>
        <w:tc>
          <w:tcPr>
            <w:tcW w:w="2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ind w:right="162"/>
              <w:spacing w:after="0" w:line="142" w:lineRule="exact"/>
              <w:rPr>
                <w:sz w:val="20"/>
                <w:szCs w:val="20"/>
                <w:color w:val="auto"/>
              </w:rPr>
            </w:pPr>
            <w:r>
              <w:rPr>
                <w:rFonts w:ascii="Arial" w:cs="Arial" w:eastAsia="Arial" w:hAnsi="Arial"/>
                <w:sz w:val="14"/>
                <w:szCs w:val="14"/>
                <w:b w:val="1"/>
                <w:bCs w:val="1"/>
                <w:color w:val="auto"/>
                <w:w w:val="94"/>
              </w:rPr>
              <w:t>(n=6)</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Response Rate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Disease Control Rate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Tumor response assessed by RECIST 1.1, inclusive of response observed at a single time point.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Progression Free Survival (PFS) and Overall Survival (OS)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Triple Negative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8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High gpNMB Expression</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3"/>
          </w:tcPr>
          <w:p>
            <w:pPr>
              <w:jc w:val="center"/>
              <w:ind w:left="1021"/>
              <w:spacing w:after="0" w:line="149" w:lineRule="exact"/>
              <w:rPr>
                <w:sz w:val="20"/>
                <w:szCs w:val="20"/>
                <w:color w:val="auto"/>
              </w:rPr>
            </w:pPr>
            <w:r>
              <w:rPr>
                <w:rFonts w:ascii="Arial" w:cs="Arial" w:eastAsia="Arial" w:hAnsi="Arial"/>
                <w:sz w:val="14"/>
                <w:szCs w:val="14"/>
                <w:b w:val="1"/>
                <w:bCs w:val="1"/>
                <w:color w:val="auto"/>
                <w:w w:val="97"/>
              </w:rPr>
              <w:t>and gpNMB</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Over-Expression</w:t>
            </w: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Glembatumumab</w:t>
            </w:r>
          </w:p>
        </w:tc>
        <w:tc>
          <w:tcPr>
            <w:tcW w:w="1120" w:type="dxa"/>
            <w:vAlign w:val="bottom"/>
            <w:tcBorders>
              <w:top w:val="single" w:sz="8" w:color="auto"/>
            </w:tcBorders>
          </w:tcPr>
          <w:p>
            <w:pPr>
              <w:jc w:val="center"/>
              <w:ind w:left="171"/>
              <w:spacing w:after="0" w:line="119" w:lineRule="exact"/>
              <w:rPr>
                <w:sz w:val="20"/>
                <w:szCs w:val="20"/>
                <w:color w:val="auto"/>
              </w:rPr>
            </w:pPr>
            <w:r>
              <w:rPr>
                <w:rFonts w:ascii="Arial" w:cs="Arial" w:eastAsia="Arial" w:hAnsi="Arial"/>
                <w:sz w:val="13"/>
                <w:szCs w:val="13"/>
                <w:b w:val="1"/>
                <w:bCs w:val="1"/>
                <w:color w:val="auto"/>
                <w:w w:val="99"/>
              </w:rPr>
              <w:t>Investigator’s</w:t>
            </w:r>
          </w:p>
        </w:tc>
        <w:tc>
          <w:tcPr>
            <w:tcW w:w="2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rPr>
              <w:t>Glembatumumab</w:t>
            </w:r>
          </w:p>
        </w:tc>
        <w:tc>
          <w:tcPr>
            <w:tcW w:w="1120" w:type="dxa"/>
            <w:vAlign w:val="bottom"/>
            <w:tcBorders>
              <w:top w:val="single" w:sz="8" w:color="auto"/>
            </w:tcBorders>
          </w:tcPr>
          <w:p>
            <w:pPr>
              <w:jc w:val="center"/>
              <w:ind w:right="180"/>
              <w:spacing w:after="0" w:line="119" w:lineRule="exact"/>
              <w:rPr>
                <w:sz w:val="20"/>
                <w:szCs w:val="20"/>
                <w:color w:val="auto"/>
              </w:rPr>
            </w:pPr>
            <w:r>
              <w:rPr>
                <w:rFonts w:ascii="Arial" w:cs="Arial" w:eastAsia="Arial" w:hAnsi="Arial"/>
                <w:sz w:val="13"/>
                <w:szCs w:val="13"/>
                <w:b w:val="1"/>
                <w:bCs w:val="1"/>
                <w:color w:val="auto"/>
              </w:rPr>
              <w:t>Investigator’s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Vedotin</w:t>
            </w:r>
          </w:p>
        </w:tc>
        <w:tc>
          <w:tcPr>
            <w:tcW w:w="1120" w:type="dxa"/>
            <w:vAlign w:val="bottom"/>
          </w:tcPr>
          <w:p>
            <w:pPr>
              <w:jc w:val="center"/>
              <w:ind w:left="151"/>
              <w:spacing w:after="0"/>
              <w:rPr>
                <w:sz w:val="20"/>
                <w:szCs w:val="20"/>
                <w:color w:val="auto"/>
              </w:rPr>
            </w:pPr>
            <w:r>
              <w:rPr>
                <w:rFonts w:ascii="Arial" w:cs="Arial" w:eastAsia="Arial" w:hAnsi="Arial"/>
                <w:sz w:val="14"/>
                <w:szCs w:val="14"/>
                <w:b w:val="1"/>
                <w:bCs w:val="1"/>
                <w:color w:val="auto"/>
                <w:w w:val="89"/>
              </w:rPr>
              <w:t>Choice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3"/>
              </w:rPr>
              <w:t>Vedotin</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Choice</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2.8</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p=0.18</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89"/>
              </w:rPr>
              <w:t>p=0.0017</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rPr>
              <w:t>Median OS (months)</w:t>
            </w:r>
          </w:p>
        </w:tc>
        <w:tc>
          <w:tcPr>
            <w:tcW w:w="166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91"/>
              </w:rPr>
              <w:t>10.0</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87"/>
              </w:rPr>
              <w:t>5.7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p=0.31</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3"/>
          </w:tcPr>
          <w:p>
            <w:pPr>
              <w:jc w:val="center"/>
              <w:ind w:right="540"/>
              <w:spacing w:after="0"/>
              <w:rPr>
                <w:sz w:val="20"/>
                <w:szCs w:val="20"/>
                <w:color w:val="auto"/>
              </w:rPr>
            </w:pPr>
            <w:r>
              <w:rPr>
                <w:rFonts w:ascii="Arial" w:cs="Arial" w:eastAsia="Arial" w:hAnsi="Arial"/>
                <w:sz w:val="18"/>
                <w:szCs w:val="18"/>
                <w:color w:val="auto"/>
                <w:w w:val="91"/>
              </w:rPr>
              <w:t>p=0.003</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December 2013, we initiated METRIC, a randomized, controlled Phase 2b study of glembatumumab vedotin in patients with triple negative breast cancer that over-expresses gpNMB. Clinical trial study sites are open to enrollment across the U.S., Canada, Australia and the European Union. The METRIC protocol was amended in late 2014 based on feedback from clinical investigators conducting the study that the eligibility criteria for study entry were limiting their ability to enroll patients they felt were clinically appropriate. In addition, we had spoken to country-specific members of the European Medicines Agency, or EMA, and believed an opportunity existed to expand the study into the EU. The amendment expanded patient entry criteria to position it for the possibility of full marketing approval with global regulators, including the EMA, and to support improved enrollment in the study. The primary endpoint of the study is PFS as PFS is an established endpoint for full approval registration studies in this patient population in both the U.S. and the EU. The sample size (n=300) and the secondary endpoint of OS remained unchanged. Since implementation of these changes, both the FDA and central European regulatory authorities have reviewed the protocol design, and we believe the METRIC study could potentially support marketing approval in both the U.S. and Europe dependent upon data results and review. We anticipate that study enrollment will be completed by the end of September 2017. Efforts to ensure delivery of manufactured drug that is ready for commercialization and a companion diagnostic, including partnering with a diagnostic company, are underway. While we</w:t>
      </w:r>
    </w:p>
    <w:p>
      <w:pPr>
        <w:sectPr>
          <w:pgSz w:w="11900" w:h="16838" w:orient="portrait"/>
          <w:cols w:equalWidth="0" w:num="1">
            <w:col w:w="11420"/>
          </w:cols>
          <w:pgMar w:left="240" w:top="341" w:right="239" w:bottom="0" w:gutter="0" w:footer="0" w:header="0"/>
        </w:sectPr>
      </w:pPr>
    </w:p>
    <w:bookmarkStart w:id="13" w:name="page14"/>
    <w:bookmarkEnd w:id="13"/>
    <w:p>
      <w:pPr>
        <w:ind w:right="80"/>
        <w:spacing w:after="0" w:line="264" w:lineRule="auto"/>
        <w:rPr>
          <w:sz w:val="20"/>
          <w:szCs w:val="20"/>
          <w:color w:val="auto"/>
        </w:rPr>
      </w:pPr>
      <w:r>
        <w:rPr>
          <w:rFonts w:ascii="Arial" w:cs="Arial" w:eastAsia="Arial" w:hAnsi="Arial"/>
          <w:sz w:val="18"/>
          <w:szCs w:val="18"/>
          <w:color w:val="auto"/>
        </w:rPr>
        <w:t>have made and continue to make progress on these fronts, we have made the decision to stage some of the more costly work in these areas to begin after we have received results from the study. While this step will extend the timeline to complete our regulatory filings, we believe this is the most prudent use of our funds as we seek to advance our pipeline overall.</w:t>
      </w:r>
    </w:p>
    <w:p>
      <w:pPr>
        <w:spacing w:after="0" w:line="177" w:lineRule="exact"/>
        <w:rPr>
          <w:sz w:val="20"/>
          <w:szCs w:val="20"/>
          <w:color w:val="auto"/>
        </w:rPr>
      </w:pPr>
    </w:p>
    <w:p>
      <w:pPr>
        <w:ind w:right="420" w:firstLine="648"/>
        <w:spacing w:after="0" w:line="261" w:lineRule="auto"/>
        <w:rPr>
          <w:sz w:val="20"/>
          <w:szCs w:val="20"/>
          <w:color w:val="auto"/>
        </w:rPr>
      </w:pPr>
      <w:r>
        <w:rPr>
          <w:rFonts w:ascii="Arial" w:cs="Arial" w:eastAsia="Arial" w:hAnsi="Arial"/>
          <w:sz w:val="18"/>
          <w:szCs w:val="18"/>
          <w:b w:val="1"/>
          <w:bCs w:val="1"/>
          <w:color w:val="auto"/>
        </w:rPr>
        <w:t xml:space="preserve">Treatment of Metastatic Melanoma: </w:t>
      </w:r>
      <w:r>
        <w:rPr>
          <w:rFonts w:ascii="Arial" w:cs="Arial" w:eastAsia="Arial" w:hAnsi="Arial"/>
          <w:sz w:val="18"/>
          <w:szCs w:val="18"/>
          <w:color w:val="auto"/>
        </w:rPr>
        <w:t>The Phase 1/2 open-label, multi-center, dose escalation study evaluated the safety, tolerability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pharmacokinetics of glembatumumab vedotin in 117 patients with unresectable stage III or IV melanoma who had failed no more than one prior line of cytotoxic therapy. The MTD and resulting Phase 2 dose was determined to be 1.88 mg/kg administered intravenously once every three weeks. The study achieved its primary activity objective with an overall response 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(ORR) in the Phase 2 cohort of 15% (5/34). Median PFS was 3.3 months for patients treated with the Phase 2 dose. Glembatumumab vedotin was generally well tolerated, with the most frequent treatment-related adverse events being rash, fatigue, alopecia, pruritus, diarrhea and nausea. The development of rash, which may be associated with the presence of gpNMB in the skin, also seemed to correlate with greater PFS.</w:t>
      </w:r>
    </w:p>
    <w:p>
      <w:pPr>
        <w:spacing w:after="0" w:line="166"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In December 2014, we initiated a single arm, single-agent, open-label Phase 2 study of glembatumumab vedotin in patients with unresectable stage III or IV melanoma (n=60), and enrollment has been completed. In May 2016, we amended the protocol to add a second cohort of patients to a glembatumumab vedotin and varlilumab combination arm to assess the potential clinical benefit of the combination and to explore varlilumab’s potential biologic and immunologic effect when combined with an ADC and enrollment has been completed. In November 2016, we amended the protocol again to add a third cohort of patients evaluating glembatumumab vedotin in combination with an approved checkpoint inhibitor (i.e., nivolumab or pembrolizumab) following progression on the checkpoint inhibitor alone and enrollment is ongoing.. The primary endpoint for each cohort is ORR. Secondary endpoints include analyses of PFS, duration of response, OS, retrospective investigation of whether the anti-cancer activity of glembatumumab vedotin is dependent upon the degree of gpNMB expression in tumor tissue and safety of both the monotherapy and combination regimens.</w:t>
      </w:r>
    </w:p>
    <w:p>
      <w:pPr>
        <w:spacing w:after="0" w:line="16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presented data from the single-agent cohort at the European Society for Medical Oncology (ESMO) Congress in October 2016. The cohort enrolled 62 evaluable patients with unresectable stage III (n=1; 2%) or stage IV (n=61; 98%) melanoma. All patients had progressed after checkpoint inhibitor therapy, and almost all patients had received both ipilimumab (n=58; 94%) and anti-PD-1/anti-PDL-1 (n=58; 94%) therapy. Twelve patients presented with BRAF mutation, and eleven had prior treatment with BRAF or BRAF/MEK targeted agents. The primary endpoint of the cohort (6 or more objective responses in the first 52 patients enrolled) was exceeded. Seven of 62 (11%) patients experienced a confirmed response, and an additional three patients also experienced single timepoint responses. The median duration of response was 6.0 months. A 52% disease control rate (patients without progression for greater than three months) was demonstrated, and median PFS for all patients was 4.4 months. In addition, patients who experienced rash in the first cycle of treatment had a 20% confirmed response rate and a more prolonged PFS of 5.5 months (p=0.054; hazard rating=0.52 (0.27, 1.02)). We also intend to conduct exploratory analyses of pre-entry skin biopsies in future patients to investigate potential predictors of response to glembatumumab vedotin, given the potential association of rash and outcome. Updated data from the single-agent cohort will be presented in an oral presentation at the 2017 American Society for Clinical Oncology Annual Meeting in June.</w:t>
      </w:r>
    </w:p>
    <w:p>
      <w:pPr>
        <w:spacing w:after="0" w:line="17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b w:val="1"/>
          <w:bCs w:val="1"/>
          <w:color w:val="auto"/>
        </w:rPr>
        <w:t xml:space="preserve">Treatment of Other Indications: </w:t>
      </w:r>
      <w:r>
        <w:rPr>
          <w:rFonts w:ascii="Arial" w:cs="Arial" w:eastAsia="Arial" w:hAnsi="Arial"/>
          <w:sz w:val="17"/>
          <w:szCs w:val="17"/>
          <w:color w:val="auto"/>
        </w:rPr>
        <w:t>We have entered into a collaborative relationship with PrECOG, LLC, which represents a research network</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established by the Eastern Cooperative Oncology Group (ECOG), under which PrECOG, LLC, is conducting an open-label Phase 1/2 study in patients with unresectable stage IIIB or IV, gpNMB-expressing, advanced or metastatic squamous cell carcinoma (SCC) of the lung, who have progressed on prior platinum-based chemotherapy. This study opened to enrollment in April 2016 and is ongoing. The study includes a dose-escalation phase followed by a two-stage Phase 2 portion (Simon two-stage design). The Phase 1, dose-escalation portion of the study will assess the safety and tolerability of glembatumumab vedotin at the current dose of 1.9 mg/kg and then 2.2 mg/kg in order to determine whether higher dosing is feasible in this population. The first stage of the Phase 2 portion plans to enroll approximately 20 patients, and if at least two patients achieve a partial response or complete response, a second stage may enroll an additional 15 patients. The primary objective of the Phase 2 portion of the study is to assess the anti-tumor activity of glembatumumab vedotin in squamous cell lung cancer as measured by ORR. Secondary objectives of the study include analyses of safety and tolerability and further assessment of anti-tumor activity across a broad range of endpoints.</w:t>
      </w:r>
    </w:p>
    <w:p>
      <w:pPr>
        <w:spacing w:after="0" w:line="18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have also entered into a Cooperative Research and Development Agreement, or CRADA, with the National Cancer Institute, or NCI, under which NCI is sponsoring a Phase 2 study of glembatumumab vedotinin in uveal melanoma. The study is a single-arm, open-label study in patients with locally recurrent or metastatic uveal melanoma and is currently open to enrollment. The study has a two stage design with a pre-specified activity threshold necessary in the first stage to progress enrollment to the second stage. The primary outcome measure is ORR. Secondary outcome measures include change in gpNMB expression on tumor tissue via immunohistochemistry, safety, OS and PFS. Interim data from this study were presented at the International Society of Ocular Oncology Biennial Conference in March 2017. Two (11%) objective responses were observed in 19 patients and 68% of patients experienced stable disease. Based on these interim data, the study met the activity threshold for progressing to stage 2 and enrollment is nearing completion.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Varlilumab is a fully human monoclonal agonist antibody that binds to and activates CD27, a critical co-stimulatory molecule in the immune activation cascade. We believe varlilumab works primarily by stimulating T cells, an important component of a person’s immune system, to attack cancer cells. Restricted expression and regulation of CD27 enables varlilumab specifically to activate T cells, resulting in an enhanced immune response with the potential for a favorable safety profile. In preclinical studies, varlilumab has been shown to directly kill or inhibit the growth of CD27 expressing lymphomas and leukemias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We have entered into license agreements with the University of Southampton, UK for intellectual property to use anti-CD27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antibodies and with Medarex (acquired by Bristol-Myers Squibb Company, or BMS) for access to the UltiMab technology to develop and commercialize human antibodies to CD27. Varlilumab was initially studied as a single-agent to establish a safety profile and assess immunologic and clinical activity in patients with cancer, but we believe the greatest opportunity for varlilumab is as an immune activator in combination with other agents. Currently, we are</w:t>
      </w:r>
    </w:p>
    <w:p>
      <w:pPr>
        <w:sectPr>
          <w:pgSz w:w="11900" w:h="16838" w:orient="portrait"/>
          <w:cols w:equalWidth="0" w:num="1">
            <w:col w:w="11420"/>
          </w:cols>
          <w:pgMar w:left="240" w:top="125" w:right="239" w:bottom="0" w:gutter="0" w:footer="0" w:header="0"/>
        </w:sectPr>
      </w:pPr>
    </w:p>
    <w:bookmarkStart w:id="14" w:name="page15"/>
    <w:bookmarkEnd w:id="14"/>
    <w:p>
      <w:pPr>
        <w:ind w:right="20"/>
        <w:spacing w:after="0" w:line="342" w:lineRule="auto"/>
        <w:rPr>
          <w:sz w:val="20"/>
          <w:szCs w:val="20"/>
          <w:color w:val="auto"/>
        </w:rPr>
      </w:pPr>
      <w:r>
        <w:rPr>
          <w:rFonts w:ascii="Arial" w:cs="Arial" w:eastAsia="Arial" w:hAnsi="Arial"/>
          <w:sz w:val="16"/>
          <w:szCs w:val="16"/>
          <w:color w:val="auto"/>
        </w:rPr>
        <w:t>focusing our efforts on a Phase 1/2 clinical trial being conducted in collaboration with BMS and their PD-1 immune checkpoint inhibitor, Opdivo. Varlilumab is also being explored in combination studies, including with glembatumumab vedotin, and in ongoing and planned investigator-sponsored studies.</w:t>
      </w:r>
    </w:p>
    <w:p>
      <w:pPr>
        <w:spacing w:after="0" w:line="12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b w:val="1"/>
          <w:bCs w:val="1"/>
          <w:color w:val="auto"/>
        </w:rPr>
        <w:t xml:space="preserve">Single-Agent Phase 1 Study: </w:t>
      </w:r>
      <w:r>
        <w:rPr>
          <w:rFonts w:ascii="Arial" w:cs="Arial" w:eastAsia="Arial" w:hAnsi="Arial"/>
          <w:sz w:val="16"/>
          <w:szCs w:val="16"/>
          <w:color w:val="auto"/>
        </w:rPr>
        <w:t>Data from the completed, open-label Phase 1 study of varlilumab in patients with selected malignant solid tumors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hematologic cancers were presented at the Annual Meeting of the American Society of Clinical Oncology in June 2014. Varlilumab to date has shown an acceptable safety profile and induced immunologic activity in patients that is consistent with both its proposed mechanism of action and data in preclinical models. A total of 90 patients were dosed in the study at multiple clinical sites in the U.S. of which 56 patients were dosed in dose escalation cohorts (various solid and hematologic B-cell tumors), and 34 patients were dosed in the expansion cohorts (melanoma and RCC) at 3 mg/kg. In both the solid tumor and hematologic dose-escalations, the pre-specified maximum dose level (10 mg/kg) was reached without identification of a maximum tolerated dose. The majority of adverse events, or AEs, related to treatment have been mild to moderate (Grade 1/2) in severity, with only three serious AEs related to treatment reported. No significant immune-mediated adverse events (colitis, hepatitis, etc.) typically associated with checkpoint blockade have been observed to date. Two patients experienced significant objective responses including a complete response in Hodgkin lymphoma (continued at 33.1+ months as of September 2016; patient no longer on study) and a partial response in renal cell carcinoma of 27.7+ months (as of September 2016). Thirteen patients experienced stable disease with a range of 3-47.3+ months (as of September 2016). As of December 2016, there are two patients continuing in long term follow-up. Final results from the study in patients with solid tumors were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April 2017.</w:t>
      </w:r>
    </w:p>
    <w:p>
      <w:pPr>
        <w:spacing w:after="0" w:line="169" w:lineRule="exact"/>
        <w:rPr>
          <w:sz w:val="20"/>
          <w:szCs w:val="20"/>
          <w:color w:val="auto"/>
        </w:rPr>
      </w:pPr>
    </w:p>
    <w:p>
      <w:pPr>
        <w:ind w:firstLine="648"/>
        <w:spacing w:after="0" w:line="261" w:lineRule="auto"/>
        <w:rPr>
          <w:sz w:val="20"/>
          <w:szCs w:val="20"/>
          <w:color w:val="auto"/>
        </w:rPr>
      </w:pPr>
      <w:r>
        <w:rPr>
          <w:rFonts w:ascii="Arial" w:cs="Arial" w:eastAsia="Arial" w:hAnsi="Arial"/>
          <w:sz w:val="17"/>
          <w:szCs w:val="17"/>
          <w:b w:val="1"/>
          <w:bCs w:val="1"/>
          <w:color w:val="auto"/>
        </w:rPr>
        <w:t>Phase 1/2 Varlilumab/Opdivo</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Combination Study: </w:t>
      </w:r>
      <w:r>
        <w:rPr>
          <w:rFonts w:ascii="Arial" w:cs="Arial" w:eastAsia="Arial" w:hAnsi="Arial"/>
          <w:sz w:val="17"/>
          <w:szCs w:val="17"/>
          <w:color w:val="auto"/>
        </w:rPr>
        <w:t>In May 2014, we entered into a clinical trial collaboration with Bristol-Myers Squibb to</w:t>
      </w:r>
      <w:r>
        <w:rPr>
          <w:rFonts w:ascii="Arial" w:cs="Arial" w:eastAsia="Arial" w:hAnsi="Arial"/>
          <w:sz w:val="17"/>
          <w:szCs w:val="17"/>
          <w:b w:val="1"/>
          <w:bCs w:val="1"/>
          <w:color w:val="auto"/>
        </w:rPr>
        <w:t xml:space="preserve"> </w:t>
      </w:r>
      <w:r>
        <w:rPr>
          <w:rFonts w:ascii="Arial" w:cs="Arial" w:eastAsia="Arial" w:hAnsi="Arial"/>
          <w:sz w:val="17"/>
          <w:szCs w:val="17"/>
          <w:color w:val="auto"/>
        </w:rPr>
        <w:t>evaluate the safety, tolerability and preliminary efficacy of varlilumab and Opdivo, Bristol-Myers Squibb’s PD-1 immune checkpoint inhibitor, in a Phase 1/2 study. Under the terms of this clinical trial collaboration, Bristol-Myers Squibb made a one-time payment to us of $5.0 million, and the companies amended the terms of our existing license agreement with Medarex (acquired by Bristol-Myers Squibb) related to our CD27 program whereby certain future milestone payments were waived and future royalty rates were reduced that may have been due from us to Medarex. In return, Bristol-Myers Squibb was granted a time-limited right of first negotiation if we wish to out-license varlilumab. The companies also agreed to work exclusively with each other to explore anti-PD-1 antagonist antibody and anti-CD27 agonist antibody combination regimens. The clinical trial collaboration provides that the companies will share development costs and that we will be responsible for conducting the Phase 1/2 study.</w:t>
      </w:r>
    </w:p>
    <w:p>
      <w:pPr>
        <w:spacing w:after="0" w:line="186"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Phase 1/2 study was initiated in January 2015 and is being conducted in adult patients with multiple solid tumors to assess the safety and tolerability of varlilumab at varying doses when administered with Opdivo, followed by a Phase 2 expansion to evaluate the activity of the combination in disease specific cohorts. The Phase 1 dose escalation portion of the study, conducted in patients with solid tumors, has completed enrollment (n=36) and primarily enrolled patients with colorectal and ovarian cancer.</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Data were presented from the Phase 1 portion of the varlilumab and Opdivo study in a poster at the American Association for Cancer Research (AACR) Annual Meeting in April 2016. The primary objective of the Phase 1 portion of the study was to evaluate the safety and tolerability of the combination. The combination showed acceptable tolerability and safety across all dose levels without any evidence of increased autoimmunity or inappropriate immune activation. Marked changes in the tumor microenvironment including increased infiltrating CD8+ T cells and increased PD-L1 expression, which have been shown to correlate with a greater magnitude of treatment effect from checkpoint inhibitors in other clinical studies were observed. Additional evidence of immune activity, such as increase in inflammatory chemokines and decrease in T regulatory cells, was also noted. In a subset of patients (n=17) on study who had both pre- and post-tumor biopsies available, preliminary evidence suggest a correlation between biomarker data and stable disease or better in seven of these patients (4 ovarian cancer, 2 colorectal cancer, 1 squamous cell carcinoma of the head and neck). All dose levels of the combination therapy showed an acceptable tolerability and safety profile, without identification of a maximum tolerated dose. Based upon cumulative data across multiple studies, the Phase 2 dose was selected to be varlilumab 3 mg/kg every two weeks in the majority of cohorts. Updated data from the Phase 1 portion of this study is expected to be presented in an oral presentation at the 2017 American Society for Clinical Oncology Annual Meeting in June.</w:t>
      </w:r>
    </w:p>
    <w:p>
      <w:pPr>
        <w:spacing w:after="0" w:line="173"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Phase 2 portion of the study opened to enrollment in April 2016 and includes cohorts in colorectal cancer (n=18), ovarian cancer (n=54), head and neck squamous cell carcinoma (n=54), renal cell carcinoma (n=25) and glioblastoma (n=20). Based on recent protocol amendments, additional dosing schedules are being explored in ovarian cancer (versus renal cell carcinoma) and, as previously disclosed, in head and neck squamous cell carcinoma, increasing the overall size of the study compared to the original study design. The primary objective of the Phase 2 cohorts is ORR, except glioblastoma, where the primary objective is the rate of 12-month overall survival. Secondary objectives include pharmacokinetics assessments, determining the immunogenicity of varlilumab when given in combination with Opdivo and further assessing the anti-tumor activity of combination treatment. We plan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complete enrollment across all cohorts in the Phase 2 portion of the study in the first quarter of 2018 and expect to work with BMS to present data from the study at a future medical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CDX-0158</w:t>
      </w:r>
    </w:p>
    <w:p>
      <w:pPr>
        <w:spacing w:after="0" w:line="225"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CDX-0158 is a humanized monoclonal antibody designed to inhibit KIT activation in tumor cells and mast cells. KIT is expressed in many tumor types including gastrointestinal stromal tumors (or GIST), sarcomas, small cell lung cancer, melanoma, acute myeloid leukemia (AML) and mast cell leukemia. It has also been implicated in asthma and neurofibromatosis. We are currently developing CDX-0158 for the treatment of GIST. Small molecule drugs currently approved to treat GIST inhibit mutant KIT, but acquired resistance develops via secondary, drug-resistant KIT mutations in the majority of patients over time. CDX-0158 is designed to uniquely prevent KIT activation by inhibiting both receptor dimerization and ligand binding. CDX-0158 has demonstrated preclinical activity versus the most common c-KIT mutations in human GIST, including treatment of mastocytoma in a canine model.</w:t>
      </w:r>
    </w:p>
    <w:p>
      <w:pPr>
        <w:spacing w:after="0" w:line="16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 Phase 1 dose escalation study in patients with advanced refractory GIST and other KIT positive tumors opened to enrollment in December 2015 to determine the maximum tolerated dose, recommend a dose for further study and characterize the safety profile. Enrollment is ongoing. Upon completion of Phase 1 assuming a successful outcome, we plan to develop CDX-0158 in patients with refractory GIST given the significant unmet need for these patients.</w:t>
      </w:r>
    </w:p>
    <w:p>
      <w:pPr>
        <w:spacing w:after="0" w:line="14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Preclinical data published in </w:t>
      </w:r>
      <w:r>
        <w:rPr>
          <w:rFonts w:ascii="Arial" w:cs="Arial" w:eastAsia="Arial" w:hAnsi="Arial"/>
          <w:sz w:val="18"/>
          <w:szCs w:val="18"/>
          <w:i w:val="1"/>
          <w:iCs w:val="1"/>
          <w:color w:val="auto"/>
        </w:rPr>
        <w:t>Molecular Cancer Therapeutics</w:t>
      </w:r>
      <w:r>
        <w:rPr>
          <w:rFonts w:ascii="Arial" w:cs="Arial" w:eastAsia="Arial" w:hAnsi="Arial"/>
          <w:sz w:val="18"/>
          <w:szCs w:val="18"/>
          <w:color w:val="auto"/>
        </w:rPr>
        <w:t xml:space="preserve"> in January 2017 demonstrate that KIT inhibition in certain immune cells with CDX-0158 enhances the activity of checkpoint blockade, providing additional opportunities for combination therapy. This mechanism may also be effective with other immunotherapies, in particular with our CD27 agonist, varlilumab.</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CDX-3379</w:t>
      </w:r>
    </w:p>
    <w:p>
      <w:pPr>
        <w:sectPr>
          <w:pgSz w:w="11900" w:h="16838" w:orient="portrait"/>
          <w:cols w:equalWidth="0" w:num="1">
            <w:col w:w="11400"/>
          </w:cols>
          <w:pgMar w:left="240" w:top="125" w:right="259" w:bottom="0" w:gutter="0" w:footer="0" w:header="0"/>
        </w:sectPr>
      </w:pPr>
    </w:p>
    <w:bookmarkStart w:id="15" w:name="page16"/>
    <w:bookmarkEnd w:id="15"/>
    <w:p>
      <w:pPr>
        <w:ind w:right="60" w:firstLine="648"/>
        <w:spacing w:after="0" w:line="271" w:lineRule="auto"/>
        <w:rPr>
          <w:sz w:val="20"/>
          <w:szCs w:val="20"/>
          <w:color w:val="auto"/>
        </w:rPr>
      </w:pPr>
      <w:r>
        <w:rPr>
          <w:rFonts w:ascii="Arial" w:cs="Arial" w:eastAsia="Arial" w:hAnsi="Arial"/>
          <w:sz w:val="17"/>
          <w:szCs w:val="17"/>
          <w:color w:val="auto"/>
        </w:rPr>
        <w:t>CDX-3379 is a human monoclonal antibody with half-life extension designed to block the activity of ErbB3 (HER3). We believe ErbB3 may be an important receptor regulating cancer cell growth and survival as well as resistance to targeted therapies and is expressed in many cancers, including head and neck, thyroid, breast, lung and gastric cancers, as well as melanoma. We believe the proposed mechanism of action for CDX-3379 sets it apart from other drugs in development in this class due to its ability to block both ligand-independent and ligand-dependent ErbB3 signaling by binding to a unique epitope. It has a favorable pharmacologic profile, including a longer half-life and slower clearance relative to other drug candidates in this class. CDX-3379 also has potential to enhance anti-tumor activity and/or overcome resistance in combination with other targeted and cytotoxic therapies to directly kill tumor cells. Tumor cell death and the ensuing release of new tumor antigens has the potential to serve as a focus for combination therapy with immuno-oncology approaches, even in refractory patients.</w:t>
      </w:r>
    </w:p>
    <w:p>
      <w:pPr>
        <w:spacing w:after="0" w:line="17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A Phase 1a/1b study was conducted, including a single-agent dose-escalation portion and combination expansion cohorts. Data from the dose-escalation portion, which completed enrollment in September 2015, and initial data from the expansion cohorts (enrollment ongoing at the time) were presented at the American Society of Clinical Oncology Annual Meeting in June 2016. The single-agent dose-escalation portion of the study did not identify an MTD, and there were no dose limiting toxicities. The most common adverse events included rash and diarrhea and were predominantly grade 1 or 2. Four combination arms across multiple tumor types were added to evaluate CDX-3379 with several drugs that target EGFR, HER2 or BRAF. They include combinations with Erbitux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(n=16), Tarceva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(n=8), Zelboraf</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(n=4) and Herceptin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(n=10). Patients had advanced disease and were generally heavily pretreated. Across the combination arms, the most frequent adverse events were diarrhea, nausea, rash and fatigue. Objective responses were observed in the Erbitux and Zelboraf combination arms. In the Erbitux arm, there was one complete response in a patient with head and neck cancer, who had been previously treated with Erbitux and was refractory. In the Zelboraf arm, there were two partial responses in patients who had lung cancer, one of whom had been previously treated with Tafinlar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was considered refractory. We are currently finalizing plans for advancement into Phase 2 study.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CDX-1401, developed from our APC Targeting Technology, is an NY-ESO-1-antibody fusion protein for immunotherapy in multiple solid tumors. CDX-1401, which is administered with an adjuvant, is composed of the cancer-specific antigen NY-ESO-1 fused to a fully human antibody that binds to DEC-205 for efficient delivery to dendritic cells. Delivery of tumor-specific proteins directly to dendritic cells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elicits potent, broad, anti-tumor immune responses across populations with different genetic backgrounds. In humans, NY-ESO-1 has been detected in 20% to 30% of melanoma, lung, esophageal, liver, gastric, ovarian and bladder cancers, and up to 70% of synovial sarcomas, thus representing a broad opportunity. CDX-1401 is being developed for the treatment of malignant melanoma and a variety of solid tumors which express the cancer antigen NY-ESO-1. Preclinical studies have shown that CDX-1401 treatment results in activation of human T cell responses against NY-ESO-1.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We have completed a Phase 1 study of CDX-1401 which assessed the safety, immunogenicity and clinical activity of escalating doses of CDX-1401 with TLR agonists (resiquimod and/or poly-ICLC) in 45 patients with advanced malignancies refractory to all available therapies. Results were published in </w:t>
      </w:r>
      <w:r>
        <w:rPr>
          <w:rFonts w:ascii="Arial" w:cs="Arial" w:eastAsia="Arial" w:hAnsi="Arial"/>
          <w:sz w:val="16"/>
          <w:szCs w:val="16"/>
          <w:i w:val="1"/>
          <w:iCs w:val="1"/>
          <w:color w:val="auto"/>
        </w:rPr>
        <w:t xml:space="preserve">Science Translational Medicine </w:t>
      </w:r>
      <w:r>
        <w:rPr>
          <w:rFonts w:ascii="Arial" w:cs="Arial" w:eastAsia="Arial" w:hAnsi="Arial"/>
          <w:sz w:val="16"/>
          <w:szCs w:val="16"/>
          <w:color w:val="auto"/>
        </w:rPr>
        <w:t>in April 2014. Sixty percent of patients had confirmed NY-ESO expression in archived tumor samples. Thirteen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maintained stable disease for up to 13.4 months with a median of 6.7 months. Treatment indicates an acceptable safety profile to date, and there were no dose limiting toxicities. A variety of immune activation parameters were observed. Humoral responses were elicited in both NY-ESO-1 positive and negative patients. NY-ESO-1-specific T cell responses were absent or low at baseline, but increased post-vaccination in 56% of evaluable patients, including both CD4 and/or CD8 T cell responses. Robust immune responses were observed with CDX-1401 with resiquimod and poly-ICLC alone and in combination. Long-term patient follow up suggested that treatment with CDX-1401 may predispose patients to better outcomes on subsequent therapy with checkpoint inhibitors. Of the 45 patients in the Phase 1 study, eight went on to receive subsequent therapy of either Yervoy or an investigational checkpoint inhibitor, and six of these patients had objective tumor regression. Six patients with melanoma received Yervoy within three months of treatment with CDX-1401, and four (67%) had objective tumor responses, including one complete response, which compares favorably to the overall response rate of 11% previously reported in metastatic melanoma patients treated with single-agent Yervoy. In addition, two patients with non-small cell lung cancer received an investigational checkpoint blockade within two months of completing treatment with CDX-1401, and both achieved partial responses. Together with Roche, we are supporting an investigator initiated study of CDX-1401 in combination with Tecentriq</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(atezolizumab; anti-PDL1) in patients with lung cancer.</w:t>
      </w:r>
    </w:p>
    <w:p>
      <w:pPr>
        <w:spacing w:after="0" w:line="8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CDX-1401’s potential activity is being explored in investigator sponsored and collaborative studies. A Phase 2 study of CDX-1401 in combination with CDX-301 is being conducted in metastatic melanoma by the Cancer Immunotherapy Trials Network (CITN) under a CRADA with the Cancer Therapy Evaluation Program of the NCI. This study was designed to determine the activity of CDX-1401 with or without CDX-301 in melanoma. The primary outcome measure of the study is immune response to NY-ESO-1. Secondary outcome measures include analysis and characterization of peripheral blood mononuclear cells (dendritic cells, T cells, natural killer cells, etc.), additional immune monitoring, safety and clinical outcomes (survival and time to tumor recurrence). Enrollment is complete, and initial results were presented at the 2016 American Society of Clinical Oncology (ASCO) Annual Meeting. The data confirmed that CDX-1401 is capable of driving NY-ESO-1 immunity and further demonstrated the potential of CDX-301 as a combination agent for enhancing tumor specific immune responses. The NCI and CITN are planning to enroll additional cohorts to investigate alternative regimens of CDX-301. Other studies are being considered through investigator-sponsored and collaborative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CDX-301, a recombinant FMS-like tyrosine kinase 3 ligand, or Flt3L, is a hematopoietic cytokine that uniquely expands dendritic cells and hematopoietic stem cells in combination with other agents to potentiate the anti-tumor response. Depending on the setting, cells expanded by CDX-301 promote either enhanced or permissive immunity. CDX-301 is in clinical development for multiple cancers, in combination with vaccines, adjuvants and other treatments that release tumor antigens. We licensed CDX-301 from Amgen Inc. in March 2009 and believe CDX-301 may hold significant opportunity for synergistic development in combination with other proprietary molecules in our portfolio.</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 Phase 1 study of CDX-301 evaluated seven different dosing regimens of CDX-301 to determine the appropriate dose for further development based on safety, tolerability and biological activity. The data from the study were consistent with previous clinical experience and demonstrated that CDX-301 has an acceptable safety profile to date and can mobilize hematopoietic stem cell (HSC) populations in healthy volunteers.</w:t>
      </w:r>
    </w:p>
    <w:p>
      <w:pPr>
        <w:spacing w:after="0" w:line="166"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June, at the 2016 ASCO Annual Meeting, initial results from a Phase 2 study of CDX-1401 in combination with CDX-301 in metastatic melanoma were presented that further demonstrated the value of CDX-301 as a combination agent for enhancing tumor specific immune responses. The Phase 2 study was conducted by the Cancer Immunotherapy Trials Network, or CITN, under a CRADA with the Cancer Therapy Evaluation Program of the</w:t>
      </w:r>
    </w:p>
    <w:p>
      <w:pPr>
        <w:sectPr>
          <w:pgSz w:w="11900" w:h="16838" w:orient="portrait"/>
          <w:cols w:equalWidth="0" w:num="1">
            <w:col w:w="11420"/>
          </w:cols>
          <w:pgMar w:left="240" w:top="125" w:right="239" w:bottom="0" w:gutter="0" w:footer="0" w:header="0"/>
        </w:sectPr>
      </w:pPr>
    </w:p>
    <w:bookmarkStart w:id="16" w:name="page17"/>
    <w:bookmarkEnd w:id="16"/>
    <w:p>
      <w:pPr>
        <w:ind w:right="640"/>
        <w:spacing w:after="0" w:line="277" w:lineRule="auto"/>
        <w:rPr>
          <w:sz w:val="20"/>
          <w:szCs w:val="20"/>
          <w:color w:val="auto"/>
        </w:rPr>
      </w:pPr>
      <w:r>
        <w:rPr>
          <w:rFonts w:ascii="Arial" w:cs="Arial" w:eastAsia="Arial" w:hAnsi="Arial"/>
          <w:sz w:val="18"/>
          <w:szCs w:val="18"/>
          <w:color w:val="auto"/>
        </w:rPr>
        <w:t>NCI. Based on these results the CITN is planning to enroll additional cohorts to investigate alternative regimens of CDX-301. Other studies are being considered through investigator-sponsored and collaborative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CDX-014 is a human monoclonal ADC that targets T cell immunoglobulin and mucin domain 1, or TIM-1. TIM-1 expression is upregulated in several cancers, most notably renal cell and ovarian carcinomas, and is associated with a more malignant phenotype of renal cell carcinoma (RCC) and tumor progression. TIM-1 has restricted expression in healthy tissues, making it potentially amenable to an ADC approach. The TIM-1 antibody is linked to MMAE using Seattle Genetics’ proprietary technology. The ADC is designed to be stable in the bloodstream but to release MMAE upon internalization into TIM-1-expressing tumor cells, resulting in a targeted cell-killing effect. CDX-014 has shown anti-tumor activity in preclinical models of ovarian and renal cancer. In July 2016, we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announced that enrollment had opened in a Phase 1/2 study of CDX-014 to patients with both clear cell and papillary RCC. The Phase 1 dose-escalation portion of the study is evaluating cohorts of patients receiving increasing doses of CDX-014 to determine the maximum tolerated dose and a recommended dose for Phase 2 study. We anticipate the Phase 1 dose-escalation portion of the study will complete enrollment by year-end 2017. The Phase 2 portion of the study plans to enroll approximately 25 patients to assess the anti-tumor activity of CDX-014 at the recommended dose in advanced renal cell carcinoma as measured by objective response rate. Secondary objectives include safety and tolerability, pharmacokinetics, immunogenicity and additional measures of anti-tumor activity.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Our critical accounting policies are more fully described in Note 2 to our financial statements included in our Annual Report on Form 10-K for the year ended December 31, 2016 and there have been no material changes to such critical accounting policies. We believe our most critical accounting policies include accounting for revenue recognition, impairment of long-lived assets, research and development expenses and stock-based compensation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compared with Three Months Ended March 31,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Increase/(Decrease)</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3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gridSpan w:val="3"/>
          </w:tcPr>
          <w:p>
            <w:pPr>
              <w:jc w:val="right"/>
              <w:ind w:right="105"/>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556</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453</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103</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Grants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4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128</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3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28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8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0"/>
        </w:trPr>
        <w:tc>
          <w:tcPr>
            <w:tcW w:w="4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25,793</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27,447</w:t>
            </w:r>
          </w:p>
        </w:tc>
        <w:tc>
          <w:tcPr>
            <w:tcW w:w="46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(1,654)</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7,229</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9,307</w:t>
            </w:r>
          </w:p>
        </w:tc>
        <w:tc>
          <w:tcPr>
            <w:tcW w:w="4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(2,078)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4820" w:type="dxa"/>
            <w:vAlign w:val="bottom"/>
          </w:tcPr>
          <w:p>
            <w:pPr>
              <w:ind w:left="200"/>
              <w:spacing w:after="0" w:line="201" w:lineRule="exact"/>
              <w:rPr>
                <w:sz w:val="20"/>
                <w:szCs w:val="20"/>
                <w:color w:val="auto"/>
              </w:rPr>
            </w:pPr>
            <w:r>
              <w:rPr>
                <w:rFonts w:ascii="Arial" w:cs="Arial" w:eastAsia="Arial" w:hAnsi="Arial"/>
                <w:sz w:val="18"/>
                <w:szCs w:val="18"/>
                <w:color w:val="auto"/>
              </w:rPr>
              <w:t>Loss on Fair Value Remeasurement of Contingent</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80"/>
              <w:spacing w:after="0"/>
              <w:rPr>
                <w:sz w:val="20"/>
                <w:szCs w:val="20"/>
                <w:color w:val="auto"/>
              </w:rPr>
            </w:pPr>
            <w:r>
              <w:rPr>
                <w:rFonts w:ascii="Arial" w:cs="Arial" w:eastAsia="Arial" w:hAnsi="Arial"/>
                <w:sz w:val="18"/>
                <w:szCs w:val="18"/>
                <w:color w:val="auto"/>
              </w:rPr>
              <w:t>Consideration</w:t>
            </w:r>
          </w:p>
        </w:tc>
        <w:tc>
          <w:tcPr>
            <w:tcW w:w="3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3,400</w:t>
            </w:r>
          </w:p>
        </w:tc>
        <w:tc>
          <w:tcPr>
            <w:tcW w:w="5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3,400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4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36,646</w:t>
            </w:r>
          </w:p>
        </w:tc>
        <w:tc>
          <w:tcPr>
            <w:tcW w:w="3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37,007</w:t>
            </w:r>
          </w:p>
        </w:tc>
        <w:tc>
          <w:tcPr>
            <w:tcW w:w="2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8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851</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1,031</w:t>
            </w:r>
          </w:p>
        </w:tc>
        <w:tc>
          <w:tcPr>
            <w:tcW w:w="46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(180)</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(34,261</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840" w:type="dxa"/>
            <w:vAlign w:val="bottom"/>
            <w:tcBorders>
              <w:top w:val="single" w:sz="8" w:color="CCEEFF"/>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$0.4 million decrease in net loss for the three months ended March 31, 2017 compared to the three months ended March 31, 2016 was primarily the result of a decrease in research and development and general and administrative expenses, partially offset by a loss on fair value remeasurement of contingent consideration.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$0.1 million increase in product development and licensing agreements revenue for the three months ended March 31, 2017 compared to the three months ended March 31, 2016 was primarily related to our BMS agreement. In May 2014, we entered into a clinical trial collaboration with BMS whereby BMS made a one-time payment to us of $5.0 million which we are recognizing as revenue along with BMS’s 50% share of the clinical trial cost over our estimated performance period of five years. The $0.1 million increase in contracts and grants revenue for the three months ended March 31, 2017 compared to the three months ended March 31, 2016 was primarily related to our Rockefeller University agreement pursuant to which we perform research and development services for Rockefeller.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ectPr>
          <w:pgSz w:w="11900" w:h="16838" w:orient="portrait"/>
          <w:cols w:equalWidth="0" w:num="1">
            <w:col w:w="11420"/>
          </w:cols>
          <w:pgMar w:left="240" w:top="125" w:right="239" w:bottom="154" w:gutter="0" w:footer="0" w:header="0"/>
        </w:sectPr>
      </w:pPr>
    </w:p>
    <w:bookmarkStart w:id="17" w:name="page18"/>
    <w:bookmarkEnd w:id="17"/>
    <w:p>
      <w:pPr>
        <w:ind w:right="200" w:firstLine="648"/>
        <w:spacing w:after="0" w:line="34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product candidates as follows:</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Increase/(Decrease)</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1355"/>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rPr>
              <w:t>(In thousands)</w:t>
            </w:r>
          </w:p>
        </w:tc>
        <w:tc>
          <w:tcPr>
            <w:tcW w:w="1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0"/>
              </w:rPr>
              <w:t>10,023</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rPr>
              <w:t>1,191</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Laboratory Supplies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956</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jc w:val="right"/>
              <w:ind w:right="735"/>
              <w:spacing w:after="0"/>
              <w:rPr>
                <w:sz w:val="20"/>
                <w:szCs w:val="20"/>
                <w:color w:val="auto"/>
              </w:rPr>
            </w:pPr>
            <w:r>
              <w:rPr>
                <w:rFonts w:ascii="Arial" w:cs="Arial" w:eastAsia="Arial" w:hAnsi="Arial"/>
                <w:sz w:val="18"/>
                <w:szCs w:val="18"/>
                <w:color w:val="auto"/>
              </w:rPr>
              <w:t>173</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2,480</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rPr>
              <w:t>987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License Fees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170</w:t>
            </w: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jc w:val="right"/>
              <w:ind w:right="735"/>
              <w:spacing w:after="0"/>
              <w:rPr>
                <w:sz w:val="20"/>
                <w:szCs w:val="20"/>
                <w:color w:val="auto"/>
              </w:rPr>
            </w:pPr>
            <w:r>
              <w:rPr>
                <w:rFonts w:ascii="Arial" w:cs="Arial" w:eastAsia="Arial" w:hAnsi="Arial"/>
                <w:sz w:val="18"/>
                <w:szCs w:val="18"/>
                <w:color w:val="auto"/>
              </w:rPr>
              <w:t>118</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9,944</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14,008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rPr>
              <w:t>(4,064)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payroll taxes and recruiting costs. The $1.2 million increase in personnel expenses for the three months ended March 31, 2017 compared to the three months ended March 31, 2016 was primarily due to increased headcount and higher stock-based compensation of $0.1 million. We expect personnel expenses to remain relatively consistent over the next twelve months, although there may be fluctuations on a quarterly basis.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Laboratory supply expenses include laboratory materials and supplies, services, and other related expenses incurred in the development of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technology. The $0.2 million increase in laboratory supply expense for the three months ended March 31, 2017 compared to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2016 was primarily due to higher manufacturing supply purchases. We expect supply expenses to remain relatively consistent over the next twelve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although there may be fluctuations on a quarterly basis.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Facility expenses include depreciation, amortization, utilities, rent, maintenance, and other related expenses incurred at our facilities. The</w:t>
      </w:r>
    </w:p>
    <w:p>
      <w:pPr>
        <w:spacing w:after="0" w:line="3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$1.0 million increase in facility expenses for the three months ended March 31, 2017 compared to the three months ended March 31, 2016 was primarily due to the addition of our New Haven facility that we acquired with the Kolltan acquisition and higher depreciation expense of $0.6 million. In March 2017, the Company terminated its lease in Branford, CT and consolidated its Connecticut operations in its New Haven, CT facility. We expect facility expenses to remain relatively consistent over the next twelve months, although there may be fluctuations on a quarterly basis.</w:t>
      </w:r>
    </w:p>
    <w:p>
      <w:pPr>
        <w:spacing w:after="0" w:line="17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License fee expenses include annual license maintenance fees and milestone payments due upon the achievement of certain development, regulatory and/or commercial milestones. The $0.1 million increase in license fee expenses for the three months ended March 31, 2017 compared to the three months ended March 31, 2016 was due to the timing of certain development and/or regulatory milestones achieved by our drug candidates. We expect license fee expense to remain relatively consistent over the next twelve months, although there may be fluctuations on a quarterly basis.</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Product development expenses include clinical investigator site fees, external trial monitoring costs, data accumulation costs, contracted research and outside clinical drug product manufacturing. The $4.1 million decrease in product development expenses for the three months ended March 31, 2017 compared to the three months ended March 31, 2016 was primarily the result of a decrease in clinical trial costs of $2.2 million primarily related to decreases in Rintega costs of $3.3 million due to the discontinuation of the Rintega program in March 2016, partially offset by increases in glembatumumab vedotin, CDX-0158 and CDX-3379 costs of $1.1 million. Decreases in contract manufacturing and contract diagnostics of $1.8 million and $1.1 million, respectively, were partially offset by an increase in contract research of $1.0 million. We expect product development expenses to remain relatively consistent over the next twelve months, although there may be fluctuations on a quarterly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Fair Value Remeasurement of Contingent Consideration</w:t>
      </w:r>
    </w:p>
    <w:p>
      <w:pPr>
        <w:spacing w:after="0" w:line="225"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In connection with the Kolltan Acquisition, we agreed to pay Kolltan’s stockholders milestone payments of up to $172.5 million in the event that certain specified preclinical and clinical development milestones related to Kolltan’s development programs and/or our development programs and certain commercial milestones related to Kolltan’s drug candidates are achieved. These milestone payments may be made, at our sole election, in cash, in shares of our common stock or a combination of both, subject to NASDAQ listing requirements and provisions of the merger agreement. The range of estimated milestone payments is from zero, if no milestones are achieved, to $172.5 million if all milestones are met. We record the fair value of these obligations to pay additional milestone payments using various estimates, including probabilities of success, discount rates and amount of time until the conditions of the milestone payments are met. The $3.4 million loss on fair value remeasurement of contingent consideration relates to an increase in the estimate of the fair value of the contingent consideration primarily due to changes in discount rates and the passage of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$2.1 million decrease in general and administrative expenses for the three months ended March 31, 2017 compared to the three months ended March 31, 2016 was primarily due to a decrease in Rintega commercial planning costs of $2.0 million. We expect general and administrative expense to remain relatively consistent over the next twelve months, although there may be fluctuations on a quarterly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expenses for the three months ended March 31, 2017 were relatively consistent compared to the three months ended March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amortization expense of acquired intangible assets to remain relatively consistent over the next twelve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The $0.2 million decrease in investment and other income, net for the three months ended March 31, 2017 compared to the three months ended March 31, 2016 was primarily due to lower other income of $0.1 million. We anticipate investment income to decrease over the next twelve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125" w:right="239" w:bottom="131" w:gutter="0" w:footer="0" w:header="0"/>
        </w:sectPr>
      </w:pPr>
    </w:p>
    <w:bookmarkStart w:id="18" w:name="page19"/>
    <w:bookmarkEnd w:id="18"/>
    <w:p>
      <w:pPr>
        <w:spacing w:after="0" w:line="12"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jc w:val="both"/>
        <w:ind w:right="80" w:firstLine="648"/>
        <w:spacing w:after="0" w:line="297"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5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At March 31, 2017, our principal sources of liquidity consisted of cash, cash equivalents and marketable securities of $167.0 million. We have had recurring losses and incurred a net loss of $34.3 million for the three months ended March 31, 2017. Net cash used in operations for the three months ended March 31, 2017 was $35.3 million. We believe that the cash, cash equivalents and marketable securities at March 31, 2017 combined with the anticipated proceeds from future sales of our common stock under the Cantor agreement, are sufficient to meet estimated working capital requirements and fund planned operations through 2018, however, this could be impacted if we elected to pay Kolltan contingent milestones, if any, in cash.</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event that certain specified preclinical and clinical development milestones related to Kolltan’s development programs and/or our development programs and certain commercial milestones related to Kolltan’s drug candidates are achieved, we will be required to pay Kolltan’s stockholders milestone payments of up to $172.5 million, which milestone payments may be made, at our sole election, in cash, in shares of our common stock or a combination of both, subject to NASDAQ listing requirements and provisions of the merger agreement.</w:t>
      </w:r>
    </w:p>
    <w:p>
      <w:pPr>
        <w:spacing w:after="0" w:line="18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During the next twelve months and beyond, we will take further steps to raise additional capital to meet our liquidity needs. Our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payment of future contingent milestones from the Kolltan acquisition, in the event that we achieve the drug candidate milestones related to those payments. We may decide to pay those milestone payments in cash. Further, if we do not obtain shareholder approval to issue shares in lieu of cash payments, we would need to make those payments in cash in order to meet our NASDAQ listing requirements. If we are unable to raise the funds necessary to meet our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Net cash used in operating activities was $35.3 million for the three months ended March 31, 2017 compared to $34.9 million for the three months ended March 31, 2016. The increase in net cash used in operating activities was primarily due to changes in working capital offset by a decrease in net loss of $0.4 million. During the three months ended March 31, 2017, we paid $4.7 million in accrued amounts to a vendor of Kolltan. This obligation was assumed in the Kolltan acquisition. We expect that cash used in operating activities will decrease over the next twelve months, although there may be fluctuations on a quarterly basis.</w:t>
      </w:r>
    </w:p>
    <w:p>
      <w:pPr>
        <w:spacing w:after="0" w:line="188"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Net cash used in operating activities was $34.9 million for the three months ended March 31, 2016 compared to $32.6 million for the three months ended March 31, 2015. The increase in net cash used in operating activities was primarily due to an increase in net loss of $4.5 million.</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studies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Net cash provided by investing activities was $22.4 million for the three months ended March 31, 2017 compared $25.5 million for the three months ended March 31, 2016. The decrease in net cash provided by investing activities was primarily due to $22.8 million of net sales and maturities of marketable securities for the three months ended March 31, 2017 compared to $26.1 million for the three months ended March 31, 2016.</w:t>
      </w:r>
    </w:p>
    <w:p>
      <w:pPr>
        <w:spacing w:after="0" w:line="166"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Net cash provided by investing activities was $25.5 million for the three months ended March 31, 2016 compared to net cash used in investing activities of $65.0 million for the three months ended March 31, 2015. The increase in net cash provided by investing activities was primarily due to $26.1 million of net sales and maturities of marketable securities for the three months ended March 31, 2016 compared to $63.5 million of net purchases of marketable securities for the three months ended March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Net cash provided by financing activities was $12.9 million for the three months ended March 31, 2017 compared to $0.3 million for the three months ended March 31, 2016. Net proceeds from stock issuances pursuant to employee benefit plans were $0.1 million during the three months ended March 31, 2017 compared to $0.3 million for the three months ended March 31, 2016.</w:t>
      </w:r>
    </w:p>
    <w:p>
      <w:pPr>
        <w:sectPr>
          <w:pgSz w:w="11900" w:h="16850" w:orient="portrait"/>
          <w:cols w:equalWidth="0" w:num="1">
            <w:col w:w="11420"/>
          </w:cols>
          <w:pgMar w:left="240" w:top="125" w:right="239" w:bottom="0" w:gutter="0" w:footer="0" w:header="0"/>
        </w:sectPr>
      </w:pPr>
    </w:p>
    <w:bookmarkStart w:id="19" w:name="page20"/>
    <w:bookmarkEnd w:id="19"/>
    <w:p>
      <w:pPr>
        <w:ind w:right="160" w:firstLine="648"/>
        <w:spacing w:after="0" w:line="257" w:lineRule="auto"/>
        <w:rPr>
          <w:sz w:val="20"/>
          <w:szCs w:val="20"/>
          <w:color w:val="auto"/>
        </w:rPr>
      </w:pPr>
      <w:r>
        <w:rPr>
          <w:rFonts w:ascii="Arial" w:cs="Arial" w:eastAsia="Arial" w:hAnsi="Arial"/>
          <w:sz w:val="18"/>
          <w:szCs w:val="18"/>
          <w:color w:val="auto"/>
        </w:rPr>
        <w:t>Net cash provided by financing activities was $0.3 million for the three months ended March 31, 2016 compared to $191.8 million for the three months ended March 31, 2015. During the three months ended March 31, 2015, we issued 8,337,500 shares of our common stock in an underwritten public offering resulting in net proceeds to us of $188.8 million, after deducting underwriting fees and offering expenses. Net proceeds from stock issuances pursuant to employee benefit plans were $0.3 million during the three months ended March 31, 2016 compared to $3.0 million for the three months ended March 31,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December 2016, we filed a shelf registration statement with the Securities and Exchange Commission to register for sale any combination of the types of securities described in the shelf registration statement up to a maximum aggregate offering price of $250 million. Such registration statement was declared effective on February 13, 2017.</w:t>
      </w:r>
    </w:p>
    <w:p>
      <w:pPr>
        <w:spacing w:after="0" w:line="181"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In May 2016, we entered into an agreement with Cantor Fitzgerald &amp; Co. (Cantor) to allow us to issue and sell shares of our common stock having an aggregate offering price of up to $60.0 million from time to time through Cantor, acting as agent. During the three months ended March 31, 2017, we issued 3,572,608 shares of our common stock under this controlled equity offering sales agreement with Cantor resulting in net proceeds to us of</w:t>
      </w:r>
    </w:p>
    <w:p>
      <w:pPr>
        <w:ind w:right="500"/>
        <w:spacing w:after="0" w:line="261" w:lineRule="auto"/>
        <w:rPr>
          <w:sz w:val="20"/>
          <w:szCs w:val="20"/>
          <w:color w:val="auto"/>
        </w:rPr>
      </w:pPr>
      <w:r>
        <w:rPr>
          <w:rFonts w:ascii="Arial" w:cs="Arial" w:eastAsia="Arial" w:hAnsi="Arial"/>
          <w:sz w:val="18"/>
          <w:szCs w:val="18"/>
          <w:color w:val="auto"/>
        </w:rPr>
        <w:t>$12.8 million, after deducting commission and offering expenses. At March 31, 2017, we had $32.0 million remaining in aggregate gross offering price available under the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 for the year ended December 31, 2016 which was filed with the SEC on March 14, 2017 have not materially changed since we filed that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Refer to Note 2, “Significant Accounting Policies,” in the accompanying notes to the condensed consolidated financial statements for a discussion of recent accounting pronouncements.</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March 31, 2017 due to the short-term maturities of these instruments.</w:t>
      </w:r>
    </w:p>
    <w:p>
      <w:pPr>
        <w:spacing w:after="0" w:line="12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March 31, 2017,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2017.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2017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2016,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ectPr>
          <w:pgSz w:w="11900" w:h="16838" w:orient="portrait"/>
          <w:cols w:equalWidth="0" w:num="1">
            <w:col w:w="11420"/>
          </w:cols>
          <w:pgMar w:left="240" w:top="341" w:right="239" w:bottom="63" w:gutter="0" w:footer="0" w:header="0"/>
        </w:sectPr>
      </w:pPr>
    </w:p>
    <w:bookmarkStart w:id="20" w:name="page21"/>
    <w:bookmarkEnd w:id="20"/>
    <w:p>
      <w:pPr>
        <w:ind w:right="22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14,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10500" w:type="dxa"/>
            <w:vAlign w:val="bottom"/>
            <w:gridSpan w:val="3"/>
          </w:tcPr>
          <w:p>
            <w:pPr>
              <w:jc w:val="right"/>
              <w:ind w:right="5548"/>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0"/>
                <w:szCs w:val="20"/>
                <w:color w:val="auto"/>
              </w:rPr>
            </w:pPr>
          </w:p>
        </w:tc>
      </w:tr>
      <w:tr>
        <w:trPr>
          <w:trHeight w:val="132"/>
        </w:trPr>
        <w:tc>
          <w:tcPr>
            <w:tcW w:w="126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146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r>
      <w:tr>
        <w:trPr>
          <w:trHeight w:val="385"/>
        </w:trPr>
        <w:tc>
          <w:tcPr>
            <w:tcW w:w="92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4"/>
                <w:szCs w:val="14"/>
                <w:b w:val="1"/>
                <w:bCs w:val="1"/>
                <w:color w:val="auto"/>
              </w:rPr>
              <w:t>Item 6.</w:t>
            </w: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140" w:type="dxa"/>
            <w:vAlign w:val="bottom"/>
            <w:tcBorders>
              <w:bottom w:val="single" w:sz="8" w:color="auto"/>
            </w:tcBorders>
          </w:tcPr>
          <w:p>
            <w:pPr>
              <w:jc w:val="right"/>
              <w:ind w:right="4748"/>
              <w:spacing w:after="0"/>
              <w:rPr>
                <w:sz w:val="20"/>
                <w:szCs w:val="20"/>
                <w:color w:val="auto"/>
              </w:rPr>
            </w:pPr>
            <w:r>
              <w:rPr>
                <w:rFonts w:ascii="Arial" w:cs="Arial" w:eastAsia="Arial" w:hAnsi="Arial"/>
                <w:sz w:val="14"/>
                <w:szCs w:val="14"/>
                <w:b w:val="1"/>
                <w:bCs w:val="1"/>
                <w:color w:val="auto"/>
              </w:rPr>
              <w:t>Exhibits</w:t>
            </w:r>
          </w:p>
        </w:tc>
        <w:tc>
          <w:tcPr>
            <w:tcW w:w="40" w:type="dxa"/>
            <w:vAlign w:val="bottom"/>
          </w:tcPr>
          <w:p>
            <w:pPr>
              <w:spacing w:after="0"/>
              <w:rPr>
                <w:sz w:val="24"/>
                <w:szCs w:val="24"/>
                <w:color w:val="auto"/>
              </w:rPr>
            </w:pPr>
          </w:p>
        </w:tc>
      </w:tr>
      <w:tr>
        <w:trPr>
          <w:trHeight w:val="411"/>
        </w:trPr>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w w:val="98"/>
              </w:rPr>
              <w:t>Third Restated Certificate of Incorporation of the Company, incorporated by reference to Exhibit 3.1 of the Company’s Registration</w:t>
            </w:r>
          </w:p>
        </w:tc>
      </w:tr>
      <w:tr>
        <w:trPr>
          <w:trHeight w:val="216"/>
        </w:trPr>
        <w:tc>
          <w:tcPr>
            <w:tcW w:w="920" w:type="dxa"/>
            <w:vAlign w:val="bottom"/>
          </w:tcPr>
          <w:p>
            <w:pPr>
              <w:spacing w:after="0"/>
              <w:rPr>
                <w:sz w:val="18"/>
                <w:szCs w:val="18"/>
                <w:color w:val="auto"/>
              </w:rPr>
            </w:pP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w w:val="95"/>
              </w:rPr>
              <w:t>Certificate of Amendment of Third Restated Certificate of Incorporation of the Company, incorporated by reference to Exhibit 3.1 of the</w:t>
            </w:r>
          </w:p>
        </w:tc>
      </w:tr>
      <w:tr>
        <w:trPr>
          <w:trHeight w:val="216"/>
        </w:trPr>
        <w:tc>
          <w:tcPr>
            <w:tcW w:w="920" w:type="dxa"/>
            <w:vAlign w:val="bottom"/>
          </w:tcPr>
          <w:p>
            <w:pPr>
              <w:spacing w:after="0"/>
              <w:rPr>
                <w:sz w:val="18"/>
                <w:szCs w:val="18"/>
                <w:color w:val="auto"/>
              </w:rPr>
            </w:pP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w w:val="92"/>
              </w:rPr>
              <w:t>Company’s Registration Statement on Form S-4 (Reg. No. 333-59215), filed July 16, 1998 with the Securities and Exchange Commission.</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 of</w:t>
            </w:r>
          </w:p>
        </w:tc>
      </w:tr>
      <w:tr>
        <w:trPr>
          <w:trHeight w:val="216"/>
        </w:trPr>
        <w:tc>
          <w:tcPr>
            <w:tcW w:w="920" w:type="dxa"/>
            <w:vAlign w:val="bottom"/>
          </w:tcPr>
          <w:p>
            <w:pPr>
              <w:spacing w:after="0"/>
              <w:rPr>
                <w:sz w:val="18"/>
                <w:szCs w:val="18"/>
                <w:color w:val="auto"/>
              </w:rPr>
            </w:pP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w w:val="99"/>
              </w:rPr>
              <w:t>the Company’s Registration Statement on Form S-4 (Reg. No. 333-59215), filed July 16, 1998 with the Securities and Exchange</w:t>
            </w:r>
          </w:p>
        </w:tc>
      </w:tr>
      <w:tr>
        <w:trPr>
          <w:trHeight w:val="216"/>
        </w:trPr>
        <w:tc>
          <w:tcPr>
            <w:tcW w:w="920" w:type="dxa"/>
            <w:vAlign w:val="bottom"/>
          </w:tcPr>
          <w:p>
            <w:pPr>
              <w:spacing w:after="0"/>
              <w:rPr>
                <w:sz w:val="18"/>
                <w:szCs w:val="18"/>
                <w:color w:val="auto"/>
              </w:rPr>
            </w:pP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rPr>
              <w:t>Commission.</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w w:val="93"/>
              </w:rPr>
              <w:t>Third Certificate of Amendment of Third Restated Certificate of Incorporation of the Company, incorporated by reference to Exhibit 3.1 of</w:t>
            </w:r>
          </w:p>
        </w:tc>
      </w:tr>
      <w:tr>
        <w:trPr>
          <w:trHeight w:val="216"/>
        </w:trPr>
        <w:tc>
          <w:tcPr>
            <w:tcW w:w="920" w:type="dxa"/>
            <w:vAlign w:val="bottom"/>
          </w:tcPr>
          <w:p>
            <w:pPr>
              <w:spacing w:after="0"/>
              <w:rPr>
                <w:sz w:val="18"/>
                <w:szCs w:val="18"/>
                <w:color w:val="auto"/>
              </w:rPr>
            </w:pP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w w:val="92"/>
              </w:rPr>
              <w:t>Fourth Certificate of Amendment of Third Restated Certificate of Incorporation of the Company, incorporated by reference to Exhibit 3.1 of</w:t>
            </w:r>
          </w:p>
        </w:tc>
      </w:tr>
      <w:tr>
        <w:trPr>
          <w:trHeight w:val="216"/>
        </w:trPr>
        <w:tc>
          <w:tcPr>
            <w:tcW w:w="920" w:type="dxa"/>
            <w:vAlign w:val="bottom"/>
          </w:tcPr>
          <w:p>
            <w:pPr>
              <w:spacing w:after="0"/>
              <w:rPr>
                <w:sz w:val="18"/>
                <w:szCs w:val="18"/>
                <w:color w:val="auto"/>
              </w:rPr>
            </w:pP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w w:val="94"/>
              </w:rPr>
              <w:t>Fifth Certificate of Amendment of Third Restated Certificate of Incorporation of the Company, incorporated by reference to Exhibit 3.2 of</w:t>
            </w:r>
          </w:p>
        </w:tc>
      </w:tr>
      <w:tr>
        <w:trPr>
          <w:trHeight w:val="216"/>
        </w:trPr>
        <w:tc>
          <w:tcPr>
            <w:tcW w:w="920" w:type="dxa"/>
            <w:vAlign w:val="bottom"/>
          </w:tcPr>
          <w:p>
            <w:pPr>
              <w:spacing w:after="0"/>
              <w:rPr>
                <w:sz w:val="18"/>
                <w:szCs w:val="18"/>
                <w:color w:val="auto"/>
              </w:rPr>
            </w:pP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w w:val="93"/>
              </w:rPr>
              <w:t>Sixth Certificate of Amendment of Third Restated Certificate of Incorporation of the Company, incorporated by reference to Exhibit 3.7 of</w:t>
            </w:r>
          </w:p>
        </w:tc>
      </w:tr>
      <w:tr>
        <w:trPr>
          <w:trHeight w:val="216"/>
        </w:trPr>
        <w:tc>
          <w:tcPr>
            <w:tcW w:w="920" w:type="dxa"/>
            <w:vAlign w:val="bottom"/>
          </w:tcPr>
          <w:p>
            <w:pPr>
              <w:spacing w:after="0"/>
              <w:rPr>
                <w:sz w:val="18"/>
                <w:szCs w:val="18"/>
                <w:color w:val="auto"/>
              </w:rPr>
            </w:pP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rPr>
              <w:t>**32.1</w:t>
            </w: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rPr>
              <w:t>Section 1350 Certifications</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rPr>
              <w:t>XBRL Instance Document.</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10540" w:type="dxa"/>
            <w:vAlign w:val="bottom"/>
            <w:gridSpan w:val="4"/>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-4057650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-4057650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60" w:hanging="1072"/>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60" w:hanging="1072"/>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May 9, 2017</w:t>
      </w:r>
      <w:r>
        <w:rPr>
          <w:sz w:val="20"/>
          <w:szCs w:val="20"/>
          <w:color w:val="auto"/>
        </w:rPr>
        <w:tab/>
      </w:r>
      <w:r>
        <w:rPr>
          <w:rFonts w:ascii="Arial" w:cs="Arial" w:eastAsia="Arial" w:hAnsi="Arial"/>
          <w:sz w:val="17"/>
          <w:szCs w:val="17"/>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-130810</wp:posOffset>
            </wp:positionV>
            <wp:extent cx="34988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AVERY W. CATLIN</w:t>
      </w:r>
    </w:p>
    <w:p>
      <w:pPr>
        <w:spacing w:after="0" w:line="2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May 9, 2017</w:t>
      </w:r>
      <w:r>
        <w:rPr>
          <w:sz w:val="20"/>
          <w:szCs w:val="20"/>
          <w:color w:val="auto"/>
        </w:rPr>
        <w:tab/>
      </w:r>
      <w:r>
        <w:rPr>
          <w:rFonts w:ascii="Arial" w:cs="Arial" w:eastAsia="Arial" w:hAnsi="Arial"/>
          <w:sz w:val="17"/>
          <w:szCs w:val="17"/>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-130810</wp:posOffset>
            </wp:positionV>
            <wp:extent cx="34988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Senior Vice President, Treasurer and Chief Financial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2"/>
          </w:tcPr>
          <w:p>
            <w:pPr>
              <w:jc w:val="right"/>
              <w:ind w:right="5536"/>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0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20" w:type="dxa"/>
            <w:vAlign w:val="bottom"/>
            <w:gridSpan w:val="4"/>
          </w:tcPr>
          <w:p>
            <w:pPr>
              <w:spacing w:after="0"/>
              <w:rPr>
                <w:rFonts w:ascii="Arial" w:cs="Arial" w:eastAsia="Arial" w:hAnsi="Arial"/>
                <w:sz w:val="18"/>
                <w:szCs w:val="18"/>
                <w:color w:val="0000EE"/>
                <w:w w:val="91"/>
              </w:rPr>
            </w:pPr>
            <w:hyperlink w:anchor="page1">
              <w:r>
                <w:rPr>
                  <w:rFonts w:ascii="Arial" w:cs="Arial" w:eastAsia="Arial" w:hAnsi="Arial"/>
                  <w:sz w:val="18"/>
                  <w:szCs w:val="18"/>
                  <w:color w:val="0000EE"/>
                  <w:w w:val="91"/>
                </w:rPr>
                <w:t>Table of Contents</w:t>
              </w:r>
            </w:hyperlink>
          </w:p>
        </w:tc>
        <w:tc>
          <w:tcPr>
            <w:tcW w:w="6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8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10080" w:type="dxa"/>
            <w:vAlign w:val="bottom"/>
            <w:gridSpan w:val="2"/>
            <w:vMerge w:val="restart"/>
          </w:tcPr>
          <w:p>
            <w:pPr>
              <w:ind w:left="4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60" w:type="dxa"/>
            <w:vAlign w:val="bottom"/>
          </w:tcPr>
          <w:p>
            <w:pPr>
              <w:spacing w:after="0"/>
              <w:rPr>
                <w:sz w:val="14"/>
                <w:szCs w:val="14"/>
                <w:color w:val="auto"/>
              </w:rPr>
            </w:pPr>
          </w:p>
        </w:tc>
        <w:tc>
          <w:tcPr>
            <w:tcW w:w="10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Third Restated Certificate of Incorporation of the Company, incorporated by reference to Exhibit 3.1 of the Company’s Registration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6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31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60"/>
              <w:spacing w:after="0"/>
              <w:rPr>
                <w:sz w:val="20"/>
                <w:szCs w:val="20"/>
                <w:color w:val="auto"/>
              </w:rPr>
            </w:pPr>
            <w:r>
              <w:rPr>
                <w:rFonts w:ascii="Arial" w:cs="Arial" w:eastAsia="Arial" w:hAnsi="Arial"/>
                <w:sz w:val="18"/>
                <w:szCs w:val="18"/>
                <w:color w:val="auto"/>
                <w:w w:val="94"/>
              </w:rPr>
              <w:t>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40" w:type="dxa"/>
            <w:vAlign w:val="bottom"/>
            <w:gridSpan w:val="3"/>
          </w:tcPr>
          <w:p>
            <w:pPr>
              <w:ind w:left="60"/>
              <w:spacing w:after="0"/>
              <w:rPr>
                <w:sz w:val="20"/>
                <w:szCs w:val="20"/>
                <w:color w:val="auto"/>
              </w:rPr>
            </w:pPr>
            <w:r>
              <w:rPr>
                <w:rFonts w:ascii="Arial" w:cs="Arial" w:eastAsia="Arial" w:hAnsi="Arial"/>
                <w:sz w:val="18"/>
                <w:szCs w:val="18"/>
                <w:color w:val="auto"/>
                <w:w w:val="91"/>
              </w:rPr>
              <w:t>Company’s Registration Statement on Form S-4 (Reg. No. 333-59215), filed July 16, 1998 with the Securities and Exchange Commission.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-1544955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-1544955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1" w:name="page22"/>
    <w:bookmarkEnd w:id="21"/>
    <w:tbl>
      <w:tblPr>
        <w:tblLayout w:type="fixed"/>
        <w:tblInd w:w="100" w:type="dxa"/>
        <w:tblCellMar>
          <w:top w:w="0" w:type="dxa"/>
          <w:left w:w="0" w:type="dxa"/>
          <w:bottom w:w="0" w:type="dxa"/>
          <w:right w:w="0" w:type="dxa"/>
        </w:tblCellMar>
      </w:tblPr>
      <w:tr>
        <w:trPr>
          <w:trHeight w:val="21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5"/>
              </w:rPr>
              <w:t>3.3</w:t>
            </w:r>
          </w:p>
        </w:tc>
        <w:tc>
          <w:tcPr>
            <w:tcW w:w="10320" w:type="dxa"/>
            <w:vAlign w:val="bottom"/>
          </w:tcPr>
          <w:p>
            <w:pPr>
              <w:ind w:left="300"/>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w:t>
            </w:r>
          </w:p>
        </w:tc>
      </w:tr>
      <w:tr>
        <w:trPr>
          <w:trHeight w:val="216"/>
        </w:trPr>
        <w:tc>
          <w:tcPr>
            <w:tcW w:w="800" w:type="dxa"/>
            <w:vAlign w:val="bottom"/>
          </w:tcPr>
          <w:p>
            <w:pPr>
              <w:spacing w:after="0"/>
              <w:rPr>
                <w:sz w:val="18"/>
                <w:szCs w:val="18"/>
                <w:color w:val="auto"/>
              </w:rPr>
            </w:pPr>
          </w:p>
        </w:tc>
        <w:tc>
          <w:tcPr>
            <w:tcW w:w="10320" w:type="dxa"/>
            <w:vAlign w:val="bottom"/>
          </w:tcPr>
          <w:p>
            <w:pPr>
              <w:ind w:left="300"/>
              <w:spacing w:after="0"/>
              <w:rPr>
                <w:sz w:val="20"/>
                <w:szCs w:val="20"/>
                <w:color w:val="auto"/>
              </w:rPr>
            </w:pPr>
            <w:r>
              <w:rPr>
                <w:rFonts w:ascii="Arial" w:cs="Arial" w:eastAsia="Arial" w:hAnsi="Arial"/>
                <w:sz w:val="18"/>
                <w:szCs w:val="18"/>
                <w:color w:val="auto"/>
                <w:w w:val="96"/>
              </w:rPr>
              <w:t>of the Company’s Registration Statement on Form S-4 (Reg. No. 333-59215), filed July 16, 1998 with the Securities and Exchange</w:t>
            </w:r>
          </w:p>
        </w:tc>
      </w:tr>
      <w:tr>
        <w:trPr>
          <w:trHeight w:val="216"/>
        </w:trPr>
        <w:tc>
          <w:tcPr>
            <w:tcW w:w="800" w:type="dxa"/>
            <w:vAlign w:val="bottom"/>
          </w:tcPr>
          <w:p>
            <w:pPr>
              <w:spacing w:after="0"/>
              <w:rPr>
                <w:sz w:val="18"/>
                <w:szCs w:val="18"/>
                <w:color w:val="auto"/>
              </w:rPr>
            </w:pPr>
          </w:p>
        </w:tc>
        <w:tc>
          <w:tcPr>
            <w:tcW w:w="10320" w:type="dxa"/>
            <w:vAlign w:val="bottom"/>
          </w:tcPr>
          <w:p>
            <w:pPr>
              <w:ind w:left="300"/>
              <w:spacing w:after="0"/>
              <w:rPr>
                <w:sz w:val="20"/>
                <w:szCs w:val="20"/>
                <w:color w:val="auto"/>
              </w:rPr>
            </w:pPr>
            <w:r>
              <w:rPr>
                <w:rFonts w:ascii="Arial" w:cs="Arial" w:eastAsia="Arial" w:hAnsi="Arial"/>
                <w:sz w:val="18"/>
                <w:szCs w:val="18"/>
                <w:color w:val="auto"/>
              </w:rPr>
              <w:t>Commission.</w:t>
            </w:r>
          </w:p>
        </w:tc>
      </w:tr>
      <w:tr>
        <w:trPr>
          <w:trHeight w:val="21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5"/>
              </w:rPr>
              <w:t>3.4</w:t>
            </w:r>
          </w:p>
        </w:tc>
        <w:tc>
          <w:tcPr>
            <w:tcW w:w="10320" w:type="dxa"/>
            <w:vAlign w:val="bottom"/>
          </w:tcPr>
          <w:p>
            <w:pPr>
              <w:ind w:left="300"/>
              <w:spacing w:after="0"/>
              <w:rPr>
                <w:sz w:val="20"/>
                <w:szCs w:val="20"/>
                <w:color w:val="auto"/>
              </w:rPr>
            </w:pPr>
            <w:r>
              <w:rPr>
                <w:rFonts w:ascii="Arial" w:cs="Arial" w:eastAsia="Arial" w:hAnsi="Arial"/>
                <w:sz w:val="18"/>
                <w:szCs w:val="18"/>
                <w:color w:val="auto"/>
                <w:w w:val="92"/>
              </w:rPr>
              <w:t>Third Certificate of Amendment of Third Restated Certificate of Incorporation of the Company, incorporated by reference to Exhibit 3.1 of</w:t>
            </w:r>
          </w:p>
        </w:tc>
      </w:tr>
      <w:tr>
        <w:trPr>
          <w:trHeight w:val="216"/>
        </w:trPr>
        <w:tc>
          <w:tcPr>
            <w:tcW w:w="800" w:type="dxa"/>
            <w:vAlign w:val="bottom"/>
          </w:tcPr>
          <w:p>
            <w:pPr>
              <w:spacing w:after="0"/>
              <w:rPr>
                <w:sz w:val="18"/>
                <w:szCs w:val="18"/>
                <w:color w:val="auto"/>
              </w:rPr>
            </w:pPr>
          </w:p>
        </w:tc>
        <w:tc>
          <w:tcPr>
            <w:tcW w:w="10320" w:type="dxa"/>
            <w:vAlign w:val="bottom"/>
          </w:tcPr>
          <w:p>
            <w:pPr>
              <w:ind w:left="300"/>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r>
      <w:tr>
        <w:trPr>
          <w:trHeight w:val="21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5"/>
              </w:rPr>
              <w:t>3.5</w:t>
            </w:r>
          </w:p>
        </w:tc>
        <w:tc>
          <w:tcPr>
            <w:tcW w:w="10320" w:type="dxa"/>
            <w:vAlign w:val="bottom"/>
          </w:tcPr>
          <w:p>
            <w:pPr>
              <w:ind w:left="300"/>
              <w:spacing w:after="0"/>
              <w:rPr>
                <w:sz w:val="20"/>
                <w:szCs w:val="20"/>
                <w:color w:val="auto"/>
              </w:rPr>
            </w:pPr>
            <w:r>
              <w:rPr>
                <w:rFonts w:ascii="Arial" w:cs="Arial" w:eastAsia="Arial" w:hAnsi="Arial"/>
                <w:sz w:val="18"/>
                <w:szCs w:val="18"/>
                <w:color w:val="auto"/>
                <w:w w:val="92"/>
              </w:rPr>
              <w:t>Fourth Certificate of Amendment of Third Restated Certificate of Incorporation of the Company, incorporated by reference to Exhibit 3.1</w:t>
            </w:r>
          </w:p>
        </w:tc>
      </w:tr>
      <w:tr>
        <w:trPr>
          <w:trHeight w:val="216"/>
        </w:trPr>
        <w:tc>
          <w:tcPr>
            <w:tcW w:w="800" w:type="dxa"/>
            <w:vAlign w:val="bottom"/>
          </w:tcPr>
          <w:p>
            <w:pPr>
              <w:spacing w:after="0"/>
              <w:rPr>
                <w:sz w:val="18"/>
                <w:szCs w:val="18"/>
                <w:color w:val="auto"/>
              </w:rPr>
            </w:pPr>
          </w:p>
        </w:tc>
        <w:tc>
          <w:tcPr>
            <w:tcW w:w="10320" w:type="dxa"/>
            <w:vAlign w:val="bottom"/>
          </w:tcPr>
          <w:p>
            <w:pPr>
              <w:ind w:left="30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r>
      <w:tr>
        <w:trPr>
          <w:trHeight w:val="21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5"/>
              </w:rPr>
              <w:t>3.6</w:t>
            </w:r>
          </w:p>
        </w:tc>
        <w:tc>
          <w:tcPr>
            <w:tcW w:w="10320" w:type="dxa"/>
            <w:vAlign w:val="bottom"/>
          </w:tcPr>
          <w:p>
            <w:pPr>
              <w:ind w:left="300"/>
              <w:spacing w:after="0"/>
              <w:rPr>
                <w:sz w:val="20"/>
                <w:szCs w:val="20"/>
                <w:color w:val="auto"/>
              </w:rPr>
            </w:pPr>
            <w:r>
              <w:rPr>
                <w:rFonts w:ascii="Arial" w:cs="Arial" w:eastAsia="Arial" w:hAnsi="Arial"/>
                <w:sz w:val="18"/>
                <w:szCs w:val="18"/>
                <w:color w:val="auto"/>
                <w:w w:val="92"/>
              </w:rPr>
              <w:t>Fifth Certificate of Amendment of Third Restated Certificate of Incorporation of the Company, incorporated by reference to Exhibit 3.2 of</w:t>
            </w:r>
          </w:p>
        </w:tc>
      </w:tr>
      <w:tr>
        <w:trPr>
          <w:trHeight w:val="216"/>
        </w:trPr>
        <w:tc>
          <w:tcPr>
            <w:tcW w:w="800" w:type="dxa"/>
            <w:vAlign w:val="bottom"/>
          </w:tcPr>
          <w:p>
            <w:pPr>
              <w:spacing w:after="0"/>
              <w:rPr>
                <w:sz w:val="18"/>
                <w:szCs w:val="18"/>
                <w:color w:val="auto"/>
              </w:rPr>
            </w:pPr>
          </w:p>
        </w:tc>
        <w:tc>
          <w:tcPr>
            <w:tcW w:w="10320" w:type="dxa"/>
            <w:vAlign w:val="bottom"/>
          </w:tcPr>
          <w:p>
            <w:pPr>
              <w:ind w:left="30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5"/>
              </w:rPr>
              <w:t>3.7</w:t>
            </w:r>
          </w:p>
        </w:tc>
        <w:tc>
          <w:tcPr>
            <w:tcW w:w="10320" w:type="dxa"/>
            <w:vAlign w:val="bottom"/>
          </w:tcPr>
          <w:p>
            <w:pPr>
              <w:ind w:left="300"/>
              <w:spacing w:after="0"/>
              <w:rPr>
                <w:sz w:val="20"/>
                <w:szCs w:val="20"/>
                <w:color w:val="auto"/>
              </w:rPr>
            </w:pPr>
            <w:r>
              <w:rPr>
                <w:rFonts w:ascii="Arial" w:cs="Arial" w:eastAsia="Arial" w:hAnsi="Arial"/>
                <w:sz w:val="18"/>
                <w:szCs w:val="18"/>
                <w:color w:val="auto"/>
                <w:w w:val="92"/>
              </w:rPr>
              <w:t>Sixth Certificate of Amendment of Third Restated Certificate of Incorporation of the Company, incorporated by reference to Exhibit 3.7 of</w:t>
            </w:r>
          </w:p>
        </w:tc>
      </w:tr>
      <w:tr>
        <w:trPr>
          <w:trHeight w:val="216"/>
        </w:trPr>
        <w:tc>
          <w:tcPr>
            <w:tcW w:w="800" w:type="dxa"/>
            <w:vAlign w:val="bottom"/>
          </w:tcPr>
          <w:p>
            <w:pPr>
              <w:spacing w:after="0"/>
              <w:rPr>
                <w:sz w:val="18"/>
                <w:szCs w:val="18"/>
                <w:color w:val="auto"/>
              </w:rPr>
            </w:pPr>
          </w:p>
        </w:tc>
        <w:tc>
          <w:tcPr>
            <w:tcW w:w="10320" w:type="dxa"/>
            <w:vAlign w:val="bottom"/>
          </w:tcPr>
          <w:p>
            <w:pPr>
              <w:ind w:left="300"/>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r>
      <w:tr>
        <w:trPr>
          <w:trHeight w:val="21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5"/>
              </w:rPr>
              <w:t>*31.1</w:t>
            </w:r>
          </w:p>
        </w:tc>
        <w:tc>
          <w:tcPr>
            <w:tcW w:w="10320" w:type="dxa"/>
            <w:vAlign w:val="bottom"/>
          </w:tcPr>
          <w:p>
            <w:pPr>
              <w:ind w:left="30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5"/>
              </w:rPr>
              <w:t>*31.2</w:t>
            </w:r>
          </w:p>
        </w:tc>
        <w:tc>
          <w:tcPr>
            <w:tcW w:w="10320" w:type="dxa"/>
            <w:vAlign w:val="bottom"/>
          </w:tcPr>
          <w:p>
            <w:pPr>
              <w:ind w:left="30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1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7"/>
              </w:rPr>
              <w:t>**32.1</w:t>
            </w:r>
          </w:p>
        </w:tc>
        <w:tc>
          <w:tcPr>
            <w:tcW w:w="10320" w:type="dxa"/>
            <w:vAlign w:val="bottom"/>
          </w:tcPr>
          <w:p>
            <w:pPr>
              <w:ind w:left="300"/>
              <w:spacing w:after="0"/>
              <w:rPr>
                <w:sz w:val="20"/>
                <w:szCs w:val="20"/>
                <w:color w:val="auto"/>
              </w:rPr>
            </w:pPr>
            <w:r>
              <w:rPr>
                <w:rFonts w:ascii="Arial" w:cs="Arial" w:eastAsia="Arial" w:hAnsi="Arial"/>
                <w:sz w:val="18"/>
                <w:szCs w:val="18"/>
                <w:color w:val="auto"/>
              </w:rPr>
              <w:t>Section 1350 Certifications</w:t>
            </w:r>
          </w:p>
        </w:tc>
      </w:tr>
      <w:tr>
        <w:trPr>
          <w:trHeight w:val="21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7"/>
              </w:rPr>
              <w:t>*101</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21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7"/>
              </w:rPr>
              <w:t>*101</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7"/>
              </w:rPr>
              <w:t>*101</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7"/>
              </w:rPr>
              <w:t>*101</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7"/>
              </w:rPr>
              <w:t>*101</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7"/>
              </w:rPr>
              <w:t>*101</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00" w:hanging="1192"/>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00" w:hanging="1192"/>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420" w:top="125" w:right="25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9, 2017</w:t>
            </w:r>
          </w:p>
        </w:tc>
        <w:tc>
          <w:tcPr>
            <w:tcW w:w="2920" w:type="dxa"/>
            <w:vAlign w:val="bottom"/>
          </w:tcPr>
          <w:p>
            <w:pPr>
              <w:ind w:left="21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540" w:type="dxa"/>
            <w:vAlign w:val="bottom"/>
          </w:tcPr>
          <w:p>
            <w:pPr>
              <w:spacing w:after="0"/>
              <w:rPr>
                <w:sz w:val="16"/>
                <w:szCs w:val="16"/>
                <w:color w:val="auto"/>
              </w:rPr>
            </w:pPr>
          </w:p>
        </w:tc>
        <w:tc>
          <w:tcPr>
            <w:tcW w:w="292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920" w:type="dxa"/>
            <w:vAlign w:val="bottom"/>
          </w:tcPr>
          <w:p>
            <w:pPr>
              <w:ind w:left="21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9, 2017</w:t>
            </w:r>
          </w:p>
        </w:tc>
        <w:tc>
          <w:tcPr>
            <w:tcW w:w="3060" w:type="dxa"/>
            <w:vAlign w:val="bottom"/>
          </w:tcPr>
          <w:p>
            <w:pPr>
              <w:ind w:left="21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560" w:type="dxa"/>
            <w:vAlign w:val="bottom"/>
          </w:tcPr>
          <w:p>
            <w:pPr>
              <w:spacing w:after="0"/>
              <w:rPr>
                <w:sz w:val="16"/>
                <w:szCs w:val="16"/>
                <w:color w:val="auto"/>
              </w:rPr>
            </w:pPr>
          </w:p>
        </w:tc>
        <w:tc>
          <w:tcPr>
            <w:tcW w:w="306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3060" w:type="dxa"/>
            <w:vAlign w:val="bottom"/>
          </w:tcPr>
          <w:p>
            <w:pPr>
              <w:ind w:left="218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4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356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9, 2017</w:t>
            </w:r>
          </w:p>
        </w:tc>
        <w:tc>
          <w:tcPr>
            <w:tcW w:w="3020" w:type="dxa"/>
            <w:vAlign w:val="bottom"/>
          </w:tcPr>
          <w:p>
            <w:pPr>
              <w:ind w:left="218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560" w:type="dxa"/>
            <w:vAlign w:val="bottom"/>
          </w:tcPr>
          <w:p>
            <w:pPr>
              <w:spacing w:after="0"/>
              <w:rPr>
                <w:sz w:val="16"/>
                <w:szCs w:val="16"/>
                <w:color w:val="auto"/>
              </w:rPr>
            </w:pPr>
          </w:p>
        </w:tc>
        <w:tc>
          <w:tcPr>
            <w:tcW w:w="302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560" w:type="dxa"/>
            <w:vAlign w:val="bottom"/>
          </w:tcPr>
          <w:p>
            <w:pPr>
              <w:spacing w:after="0"/>
              <w:rPr>
                <w:sz w:val="20"/>
                <w:szCs w:val="20"/>
                <w:color w:val="auto"/>
              </w:rPr>
            </w:pPr>
          </w:p>
        </w:tc>
        <w:tc>
          <w:tcPr>
            <w:tcW w:w="3020" w:type="dxa"/>
            <w:vAlign w:val="bottom"/>
          </w:tcPr>
          <w:p>
            <w:pPr>
              <w:ind w:left="218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May 9, 2017</w:t>
            </w:r>
          </w:p>
        </w:tc>
        <w:tc>
          <w:tcPr>
            <w:tcW w:w="3020" w:type="dxa"/>
            <w:vAlign w:val="bottom"/>
          </w:tcPr>
          <w:p>
            <w:pPr>
              <w:ind w:left="218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560" w:type="dxa"/>
            <w:vAlign w:val="bottom"/>
          </w:tcPr>
          <w:p>
            <w:pPr>
              <w:spacing w:after="0"/>
              <w:rPr>
                <w:sz w:val="16"/>
                <w:szCs w:val="16"/>
                <w:color w:val="auto"/>
              </w:rPr>
            </w:pPr>
          </w:p>
        </w:tc>
        <w:tc>
          <w:tcPr>
            <w:tcW w:w="302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16"/>
        </w:trPr>
        <w:tc>
          <w:tcPr>
            <w:tcW w:w="3560" w:type="dxa"/>
            <w:vAlign w:val="bottom"/>
          </w:tcPr>
          <w:p>
            <w:pPr>
              <w:spacing w:after="0"/>
              <w:rPr>
                <w:sz w:val="18"/>
                <w:szCs w:val="18"/>
                <w:color w:val="auto"/>
              </w:rPr>
            </w:pPr>
          </w:p>
        </w:tc>
        <w:tc>
          <w:tcPr>
            <w:tcW w:w="3020" w:type="dxa"/>
            <w:vAlign w:val="bottom"/>
          </w:tcPr>
          <w:p>
            <w:pPr>
              <w:ind w:left="218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5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2019-12-29T05:57:29Z</dcterms:created>
  <dcterms:modified xsi:type="dcterms:W3CDTF">2019-12-29T05:57:29Z</dcterms:modified>
</cp:coreProperties>
</file>