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2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26, 2016, 98,718,516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March 31, 2016</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76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6600190</wp:posOffset>
            </wp:positionH>
            <wp:positionV relativeFrom="paragraph">
              <wp:posOffset>20955</wp:posOffset>
            </wp:positionV>
            <wp:extent cx="651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1000" w:type="dxa"/>
            <w:vAlign w:val="bottom"/>
          </w:tcPr>
          <w:p>
            <w:pPr>
              <w:spacing w:after="0"/>
              <w:rPr>
                <w:sz w:val="17"/>
                <w:szCs w:val="17"/>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28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0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March 31, 2016 and December 31, 2015</w:t>
              </w:r>
            </w:hyperlink>
          </w:p>
        </w:tc>
        <w:tc>
          <w:tcPr>
            <w:tcW w:w="420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8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Loss for the Three Months Ended March 31, 2016 and 2015</w:t>
              </w:r>
            </w:hyperlink>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80" w:type="dxa"/>
            <w:vAlign w:val="bottom"/>
          </w:tcPr>
          <w:p>
            <w:pPr>
              <w:spacing w:after="0"/>
              <w:rPr>
                <w:sz w:val="24"/>
                <w:szCs w:val="24"/>
                <w:color w:val="auto"/>
              </w:rPr>
            </w:pPr>
          </w:p>
        </w:tc>
        <w:tc>
          <w:tcPr>
            <w:tcW w:w="102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Three Months Ended March 31, 2016 and 2015</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900" w:type="dxa"/>
            <w:vAlign w:val="bottom"/>
            <w:tcBorders>
              <w:top w:val="single" w:sz="8" w:color="0000EE"/>
            </w:tcBorders>
            <w:gridSpan w:val="4"/>
          </w:tcPr>
          <w:p>
            <w:pPr>
              <w:spacing w:after="0"/>
              <w:rPr>
                <w:sz w:val="24"/>
                <w:szCs w:val="24"/>
                <w:color w:val="auto"/>
              </w:rPr>
            </w:pPr>
          </w:p>
        </w:tc>
        <w:tc>
          <w:tcPr>
            <w:tcW w:w="258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Item 2.</w:t>
              </w:r>
            </w:hyperlink>
          </w:p>
        </w:tc>
        <w:tc>
          <w:tcPr>
            <w:tcW w:w="9740" w:type="dxa"/>
            <w:vAlign w:val="bottom"/>
            <w:gridSpan w:val="15"/>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326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3"/>
          </w:tcPr>
          <w:p>
            <w:pPr>
              <w:spacing w:after="0"/>
              <w:rPr>
                <w:sz w:val="24"/>
                <w:szCs w:val="24"/>
                <w:color w:val="auto"/>
              </w:rPr>
            </w:pPr>
          </w:p>
        </w:tc>
        <w:tc>
          <w:tcPr>
            <w:tcW w:w="536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0460" w:type="dxa"/>
            <w:vAlign w:val="bottom"/>
            <w:gridSpan w:val="1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 — Other Information</w:t>
              </w:r>
            </w:hyperlink>
          </w:p>
        </w:tc>
        <w:tc>
          <w:tcPr>
            <w:tcW w:w="1000" w:type="dxa"/>
            <w:vAlign w:val="bottom"/>
          </w:tcPr>
          <w:p>
            <w:pPr>
              <w:spacing w:after="0"/>
              <w:rPr>
                <w:sz w:val="24"/>
                <w:szCs w:val="24"/>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1A. Risk Factors</w:t>
              </w:r>
            </w:hyperlink>
          </w:p>
        </w:tc>
        <w:tc>
          <w:tcPr>
            <w:tcW w:w="460" w:type="dxa"/>
            <w:vAlign w:val="bottom"/>
            <w:tcBorders>
              <w:top w:val="single" w:sz="8" w:color="0000EE"/>
            </w:tcBorders>
          </w:tcPr>
          <w:p>
            <w:pPr>
              <w:spacing w:after="0"/>
              <w:rPr>
                <w:sz w:val="24"/>
                <w:szCs w:val="24"/>
                <w:color w:val="auto"/>
              </w:rPr>
            </w:pPr>
          </w:p>
        </w:tc>
        <w:tc>
          <w:tcPr>
            <w:tcW w:w="8220" w:type="dxa"/>
            <w:vAlign w:val="bottom"/>
            <w:gridSpan w:val="10"/>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18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6.</w:t>
              </w:r>
            </w:hyperlink>
          </w:p>
        </w:tc>
        <w:tc>
          <w:tcPr>
            <w:tcW w:w="9740" w:type="dxa"/>
            <w:vAlign w:val="bottom"/>
            <w:gridSpan w:val="15"/>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180" w:type="dxa"/>
            <w:vAlign w:val="bottom"/>
          </w:tcPr>
          <w:p>
            <w:pPr>
              <w:spacing w:after="0"/>
              <w:rPr>
                <w:sz w:val="24"/>
                <w:szCs w:val="24"/>
                <w:color w:val="auto"/>
              </w:rPr>
            </w:pPr>
          </w:p>
        </w:tc>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9120" w:type="dxa"/>
            <w:vAlign w:val="bottom"/>
            <w:gridSpan w:val="1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8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Exhibit Index</w:t>
              </w:r>
            </w:hyperlink>
          </w:p>
        </w:tc>
        <w:tc>
          <w:tcPr>
            <w:tcW w:w="928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53"/>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40" w:type="dxa"/>
            <w:vAlign w:val="bottom"/>
            <w:gridSpan w:val="11"/>
          </w:tcPr>
          <w:p>
            <w:pPr>
              <w:ind w:left="494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190,992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6,091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301,931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337,584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2,637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4,239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ind w:left="180"/>
              <w:spacing w:after="0" w:line="201" w:lineRule="exact"/>
              <w:rPr>
                <w:sz w:val="20"/>
                <w:szCs w:val="20"/>
                <w:color w:val="auto"/>
              </w:rPr>
            </w:pPr>
            <w:r>
              <w:rPr>
                <w:rFonts w:ascii="Arial" w:cs="Arial" w:eastAsia="Arial" w:hAnsi="Arial"/>
                <w:sz w:val="18"/>
                <w:szCs w:val="18"/>
                <w:color w:val="auto"/>
                <w:w w:val="95"/>
              </w:rPr>
              <w:t>Convertible Preferred Stock, $.01 Par Value; 3,000,000 Shares Authorized; No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360"/>
              <w:spacing w:after="0"/>
              <w:rPr>
                <w:sz w:val="20"/>
                <w:szCs w:val="20"/>
                <w:color w:val="auto"/>
              </w:rPr>
            </w:pPr>
            <w:r>
              <w:rPr>
                <w:rFonts w:ascii="Arial" w:cs="Arial" w:eastAsia="Arial" w:hAnsi="Arial"/>
                <w:sz w:val="18"/>
                <w:szCs w:val="18"/>
                <w:color w:val="auto"/>
              </w:rPr>
              <w:t>Outstanding at March 31, 2016 and December 31, 2015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297,000,000 Shares Authorized; 98,718,484 and 98,685,595 Shares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March 31, 2016 and December 31, 2015, 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882,875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878,655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0" w:gutter="0" w:footer="0" w:header="0"/>
        </w:sectPr>
      </w:pPr>
    </w:p>
    <w:bookmarkStart w:id="2" w:name="page3"/>
    <w:bookmarkEnd w:id="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(625,629)</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(590,956)</w:t>
            </w:r>
          </w:p>
        </w:tc>
      </w:tr>
      <w:tr>
        <w:trPr>
          <w:trHeight w:val="210"/>
        </w:trPr>
        <w:tc>
          <w:tcPr>
            <w:tcW w:w="5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260,032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22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9"/>
              </w:rPr>
              <w:t>301,931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337,584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1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15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Loss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(35,704)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5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98,689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92,437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(34,673)</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March 31, 2016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2015</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(34,673)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(30,174)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Amortization and Premium of Marketable Securities, Net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Sale or Disposal of Assets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3,940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Expense</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and Other Receivables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820" w:type="dxa"/>
            <w:vAlign w:val="bottom"/>
          </w:tcPr>
          <w:p>
            <w:pPr>
              <w:ind w:left="56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(4,957)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74,939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(48,860)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Stock Issuances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72,108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Activities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w w:val="97"/>
              </w:rPr>
              <w:t>Acquisition of Property and Equipment included in Accounts Payable and Accrued Expenses</w:t>
            </w:r>
          </w:p>
        </w:tc>
        <w:tc>
          <w:tcPr>
            <w:tcW w:w="10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2015, which are included in the Company’s Annual Report on Form 10-K/A filed with the Securities and Exchange Commission (“SEC”) on February 25, 2016.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2016.</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March 31, 2016, the Company had cash, cash equivalents and marketable securities of $254.0 million. The Company incurred a net loss of $34.7 million for the three months ended March 31, 2016. Net cash used in operations for the three months ended March 31, 2016 was $34.9 million. The Company believes that the cash, cash equivalents and marketable securities at March 31, 2016 will be sufficient to meet estimated working capital requirements and fund planned operations for at least the next twelve months.</w:t>
      </w:r>
    </w:p>
    <w:p>
      <w:pPr>
        <w:spacing w:after="0" w:line="18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jc w:val="both"/>
        <w:ind w:right="16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months ended March 31, 2016 are consistent with those discussed in Note 2 to the financial statements in our Annual Report on Form 10-K/A for the year ended December 31, 2015, except for the adoption of new accounting standards during the first three months of 2016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ectPr>
          <w:pgSz w:w="11900" w:h="16838" w:orient="portrait"/>
          <w:cols w:equalWidth="0" w:num="1">
            <w:col w:w="11420"/>
          </w:cols>
          <w:pgMar w:left="240" w:top="125" w:right="239" w:bottom="0" w:gutter="0" w:footer="0" w:header="0"/>
        </w:sectPr>
      </w:pPr>
    </w:p>
    <w:bookmarkStart w:id="4" w:name="page5"/>
    <w:bookmarkEnd w:id="4"/>
    <w:p>
      <w:pPr>
        <w:ind w:right="40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new standard will be effective for the Company on January 1, 2019. The Company is currently evaluating the potential impact that this standard may have on the Company’s financial statements.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March 2016, the FASB issued a new U.S. GAAP accounting standard which involves several aspects of the accounting for share-based payment transactions, including the income tax consequences, classification of awards as either equity or liabilities and classification on the statement of cash flows. The new standard will be effective for the Company on January 1, 2017. The Company is currently evaluating the potential impact that this standard may have on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1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As of 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8,157,550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9,750</w:t>
            </w: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8,167,300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6,542,920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Loss</w:t>
      </w:r>
    </w:p>
    <w:p>
      <w:pPr>
        <w:spacing w:after="0" w:line="229"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changes in accumulated other comprehensive income by component for the three months ended March 31, 2016 and 2015 are summarized below. No amounts were reclassified out of accumulated other comprehensive income during the three months ended March 31, 2016 and 2015.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Securities, net of tax</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Currency Items</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(In thousands )</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current-period other comprehensive income</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2016</w:t>
            </w:r>
          </w:p>
        </w:tc>
        <w:tc>
          <w:tcPr>
            <w:tcW w:w="1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1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340" w:type="dxa"/>
            <w:vAlign w:val="bottom"/>
          </w:tcPr>
          <w:p>
            <w:pPr>
              <w:spacing w:after="0"/>
              <w:rPr>
                <w:sz w:val="14"/>
                <w:szCs w:val="14"/>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March 31, 2016</w:t>
            </w: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ind w:left="900"/>
              <w:spacing w:after="0" w:line="142" w:lineRule="exact"/>
              <w:rPr>
                <w:sz w:val="20"/>
                <w:szCs w:val="20"/>
                <w:color w:val="auto"/>
              </w:rPr>
            </w:pPr>
            <w:r>
              <w:rPr>
                <w:rFonts w:ascii="Arial" w:cs="Arial" w:eastAsia="Arial" w:hAnsi="Arial"/>
                <w:sz w:val="14"/>
                <w:szCs w:val="14"/>
                <w:b w:val="1"/>
                <w:bCs w:val="1"/>
                <w:color w:val="auto"/>
              </w:rPr>
              <w:t>(In thousands )</w:t>
            </w: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57,369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57,369</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190,992</w:t>
            </w:r>
          </w:p>
        </w:tc>
        <w:tc>
          <w:tcPr>
            <w:tcW w:w="3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190,992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248,361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340" w:type="dxa"/>
            <w:vAlign w:val="bottom"/>
          </w:tcPr>
          <w:p>
            <w:pPr>
              <w:spacing w:after="0"/>
              <w:rPr>
                <w:sz w:val="24"/>
                <w:szCs w:val="24"/>
                <w:color w:val="auto"/>
              </w:rPr>
            </w:pPr>
          </w:p>
        </w:tc>
        <w:tc>
          <w:tcPr>
            <w:tcW w:w="12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2015</w:t>
            </w: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ind w:left="900"/>
              <w:spacing w:after="0" w:line="142" w:lineRule="exact"/>
              <w:rPr>
                <w:sz w:val="20"/>
                <w:szCs w:val="20"/>
                <w:color w:val="auto"/>
              </w:rPr>
            </w:pPr>
            <w:r>
              <w:rPr>
                <w:rFonts w:ascii="Arial" w:cs="Arial" w:eastAsia="Arial" w:hAnsi="Arial"/>
                <w:sz w:val="14"/>
                <w:szCs w:val="14"/>
                <w:b w:val="1"/>
                <w:bCs w:val="1"/>
                <w:color w:val="auto"/>
              </w:rPr>
              <w:t>(In thousands )</w:t>
            </w:r>
          </w:p>
        </w:tc>
        <w:tc>
          <w:tcPr>
            <w:tcW w:w="1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59,831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59,831</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217,781</w:t>
            </w:r>
          </w:p>
        </w:tc>
        <w:tc>
          <w:tcPr>
            <w:tcW w:w="34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217,781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113" w:gutter="0" w:footer="0" w:header="0"/>
        </w:sectPr>
      </w:pPr>
    </w:p>
    <w:bookmarkStart w:id="5" w:name="page6"/>
    <w:bookmarkEnd w:id="5"/>
    <w:p>
      <w:pPr>
        <w:spacing w:after="0" w:line="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1020" w:type="dxa"/>
            <w:vAlign w:val="bottom"/>
          </w:tcPr>
          <w:p>
            <w:pPr>
              <w:jc w:val="center"/>
              <w:ind w:left="294"/>
              <w:spacing w:after="0"/>
              <w:rPr>
                <w:sz w:val="20"/>
                <w:szCs w:val="20"/>
                <w:color w:val="auto"/>
              </w:rPr>
            </w:pPr>
            <w:r>
              <w:rPr>
                <w:rFonts w:ascii="Arial" w:cs="Arial" w:eastAsia="Arial" w:hAnsi="Arial"/>
                <w:sz w:val="14"/>
                <w:szCs w:val="14"/>
                <w:b w:val="1"/>
                <w:bCs w:val="1"/>
                <w:color w:val="auto"/>
                <w:w w:val="88"/>
              </w:rPr>
              <w:t>Gross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20" w:type="dxa"/>
            <w:vAlign w:val="bottom"/>
          </w:tcPr>
          <w:p>
            <w:pPr>
              <w:jc w:val="center"/>
              <w:ind w:left="27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left="256"/>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1020" w:type="dxa"/>
            <w:vAlign w:val="bottom"/>
          </w:tcPr>
          <w:p>
            <w:pPr>
              <w:jc w:val="center"/>
              <w:ind w:left="294"/>
              <w:spacing w:after="0"/>
              <w:rPr>
                <w:sz w:val="20"/>
                <w:szCs w:val="20"/>
                <w:color w:val="auto"/>
              </w:rPr>
            </w:pPr>
            <w:r>
              <w:rPr>
                <w:rFonts w:ascii="Arial" w:cs="Arial" w:eastAsia="Arial" w:hAnsi="Arial"/>
                <w:sz w:val="14"/>
                <w:szCs w:val="14"/>
                <w:b w:val="1"/>
                <w:bCs w:val="1"/>
                <w:color w:val="auto"/>
                <w:w w:val="92"/>
              </w:rPr>
              <w:t>Gains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left="256"/>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jc w:val="right"/>
              <w:ind w:right="636"/>
              <w:spacing w:after="0" w:line="142" w:lineRule="exact"/>
              <w:rPr>
                <w:sz w:val="20"/>
                <w:szCs w:val="20"/>
                <w:color w:val="auto"/>
              </w:rPr>
            </w:pPr>
            <w:r>
              <w:rPr>
                <w:rFonts w:ascii="Arial" w:cs="Arial" w:eastAsia="Arial" w:hAnsi="Arial"/>
                <w:sz w:val="14"/>
                <w:szCs w:val="14"/>
                <w:b w:val="1"/>
                <w:bCs w:val="1"/>
                <w:color w:val="auto"/>
                <w:w w:val="91"/>
              </w:rPr>
              <w:t>(In thousands )</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2016</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70,124</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75,520</w:t>
            </w:r>
          </w:p>
        </w:tc>
        <w:tc>
          <w:tcPr>
            <w:tcW w:w="300" w:type="dxa"/>
            <w:vAlign w:val="bottom"/>
          </w:tcPr>
          <w:p>
            <w:pPr>
              <w:spacing w:after="0"/>
              <w:rPr>
                <w:sz w:val="18"/>
                <w:szCs w:val="18"/>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97,686</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17,695</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115,381</w:t>
            </w:r>
          </w:p>
        </w:tc>
        <w:tc>
          <w:tcPr>
            <w:tcW w:w="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190,901</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48,871</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15,940</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64,811</w:t>
            </w:r>
          </w:p>
        </w:tc>
        <w:tc>
          <w:tcPr>
            <w:tcW w:w="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129,327</w:t>
            </w:r>
          </w:p>
        </w:tc>
        <w:tc>
          <w:tcPr>
            <w:tcW w:w="300" w:type="dxa"/>
            <w:vAlign w:val="bottom"/>
          </w:tcPr>
          <w:p>
            <w:pPr>
              <w:spacing w:after="0"/>
              <w:rPr>
                <w:sz w:val="18"/>
                <w:szCs w:val="18"/>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ind w:right="83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23,932</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(102)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153,259</w:t>
            </w:r>
          </w:p>
        </w:tc>
        <w:tc>
          <w:tcPr>
            <w:tcW w:w="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(243)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218,070</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March 31, 2016. Marketable securities include $0.9 million and $1.5 million in accrued interest at March 31, 2016 and December 31,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1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6"/>
              </w:rPr>
              <w:t>March 31, 2016</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9"/>
              </w:rPr>
              <w:t>December 31, 2015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0"/>
                <w:szCs w:val="10"/>
                <w:color w:val="auto"/>
              </w:rPr>
            </w:pPr>
          </w:p>
        </w:tc>
        <w:tc>
          <w:tcPr>
            <w:tcW w:w="12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11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140" w:type="dxa"/>
            <w:vAlign w:val="bottom"/>
          </w:tcPr>
          <w:p>
            <w:pPr>
              <w:ind w:left="460"/>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rPr>
              <w:t>IPR&amp;D</w:t>
            </w:r>
          </w:p>
        </w:tc>
        <w:tc>
          <w:tcPr>
            <w:tcW w:w="1140" w:type="dxa"/>
            <w:vAlign w:val="bottom"/>
          </w:tcPr>
          <w:p>
            <w:pPr>
              <w:spacing w:after="0"/>
              <w:rPr>
                <w:sz w:val="20"/>
                <w:szCs w:val="20"/>
                <w:color w:val="auto"/>
              </w:rPr>
            </w:pPr>
            <w:r>
              <w:rPr>
                <w:rFonts w:ascii="Arial" w:cs="Arial" w:eastAsia="Arial" w:hAnsi="Arial"/>
                <w:sz w:val="18"/>
                <w:szCs w:val="18"/>
                <w:color w:val="auto"/>
              </w:rPr>
              <w:t>Indefinite</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11,800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11,800</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Amgen Amendment</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16 years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0"/>
              <w:spacing w:after="0"/>
              <w:rPr>
                <w:sz w:val="20"/>
                <w:szCs w:val="20"/>
                <w:color w:val="auto"/>
              </w:rPr>
            </w:pPr>
            <w:r>
              <w:rPr>
                <w:rFonts w:ascii="Arial" w:cs="Arial" w:eastAsia="Arial" w:hAnsi="Arial"/>
                <w:sz w:val="18"/>
                <w:szCs w:val="18"/>
                <w:color w:val="auto"/>
              </w:rPr>
              <w:t>Core Technology</w:t>
            </w:r>
          </w:p>
        </w:tc>
        <w:tc>
          <w:tcPr>
            <w:tcW w:w="1140" w:type="dxa"/>
            <w:vAlign w:val="bottom"/>
          </w:tcPr>
          <w:p>
            <w:pPr>
              <w:spacing w:after="0"/>
              <w:rPr>
                <w:sz w:val="20"/>
                <w:szCs w:val="20"/>
                <w:color w:val="auto"/>
              </w:rPr>
            </w:pPr>
            <w:r>
              <w:rPr>
                <w:rFonts w:ascii="Arial" w:cs="Arial" w:eastAsia="Arial" w:hAnsi="Arial"/>
                <w:sz w:val="18"/>
                <w:szCs w:val="18"/>
                <w:color w:val="auto"/>
              </w:rPr>
              <w:t>11 years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140" w:type="dxa"/>
            <w:vAlign w:val="bottom"/>
            <w:vMerge w:val="restart"/>
          </w:tcPr>
          <w:p>
            <w:pPr>
              <w:spacing w:after="0"/>
              <w:rPr>
                <w:sz w:val="20"/>
                <w:szCs w:val="20"/>
                <w:color w:val="auto"/>
              </w:rPr>
            </w:pPr>
            <w:r>
              <w:rPr>
                <w:rFonts w:ascii="Arial" w:cs="Arial" w:eastAsia="Arial" w:hAnsi="Arial"/>
                <w:sz w:val="18"/>
                <w:szCs w:val="18"/>
                <w:color w:val="auto"/>
              </w:rPr>
              <w:t>Indefinite</w:t>
            </w: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277"/>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3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IPR&amp;D intangible asset was recorded in connection with the acquisition of CuraGen and relates to the development of glembatumumab vedotin. At the date of acquisition and at March 31, 2016,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performed an impairment test of the goodwill asset as of March 31, 2016 and concluded that goodwill was not impaired.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right"/>
              <w:ind w:right="339"/>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2015</w:t>
            </w:r>
          </w:p>
        </w:tc>
      </w:tr>
      <w:tr>
        <w:trPr>
          <w:trHeight w:val="142"/>
        </w:trPr>
        <w:tc>
          <w:tcPr>
            <w:tcW w:w="5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3"/>
          </w:tcPr>
          <w:p>
            <w:pPr>
              <w:jc w:val="right"/>
              <w:ind w:right="109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9"/>
              <w:spacing w:after="0"/>
              <w:rPr>
                <w:sz w:val="20"/>
                <w:szCs w:val="20"/>
                <w:color w:val="auto"/>
              </w:rPr>
            </w:pPr>
            <w:r>
              <w:rPr>
                <w:rFonts w:ascii="Arial" w:cs="Arial" w:eastAsia="Arial" w:hAnsi="Arial"/>
                <w:sz w:val="18"/>
                <w:szCs w:val="18"/>
                <w:color w:val="auto"/>
              </w:rPr>
              <w:t>4,661</w:t>
            </w:r>
          </w:p>
        </w:tc>
        <w:tc>
          <w:tcPr>
            <w:tcW w:w="26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r>
    </w:tbl>
    <w:p>
      <w:pPr>
        <w:sectPr>
          <w:pgSz w:w="11900" w:h="16925" w:orient="portrait"/>
          <w:cols w:equalWidth="0" w:num="1">
            <w:col w:w="11460"/>
          </w:cols>
          <w:pgMar w:left="240" w:top="125" w:right="199" w:bottom="0" w:gutter="0" w:footer="0" w:header="0"/>
        </w:sectPr>
      </w:pPr>
    </w:p>
    <w:bookmarkStart w:id="6" w:name="page7"/>
    <w:bookmarkEnd w:id="6"/>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4,368</w:t>
            </w:r>
          </w:p>
        </w:tc>
      </w:tr>
      <w:tr>
        <w:trPr>
          <w:trHeight w:val="210"/>
        </w:trPr>
        <w:tc>
          <w:tcPr>
            <w:tcW w:w="56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Less Current Portion</w:t>
            </w:r>
          </w:p>
        </w:tc>
        <w:tc>
          <w:tcPr>
            <w:tcW w:w="2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(4,418)</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November 2015, December 2014, January 2014, January 2013 and January 2012, the Company received approval from the New Jersey Economic Development Authority and agreed to sell New Jersey tax benefits of $9.8 million, $1.9 million, $1.1 million, $0.8 million and $0.8 million to an independent third party for $9.2 million, $1.8 million, $1.0 million, $0.8 million and $0.7 million, respectively. Under the agreement, the Company must maintain a base of operations in New Jersey for five years or the tax benefits must be paid back on a pro-rata basis based on the number of years completed. During the three months ended March 31, 2016 and 2015, the Company recorded $0.6 million to other income related to the sale of these tax benefits.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During the three months ended March 31, 2015, the Company issued 8,337,500 shares of its common stock in an underwritten public offering resulting in net proceeds to the Company of $188.8 million, after deducting underwriting fees and offering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2016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8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8,110,239</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3480" w:type="dxa"/>
            <w:vAlign w:val="bottom"/>
            <w:gridSpan w:val="3"/>
          </w:tcPr>
          <w:p>
            <w:pPr>
              <w:jc w:val="right"/>
              <w:ind w:right="300"/>
              <w:spacing w:after="0"/>
              <w:rPr>
                <w:sz w:val="20"/>
                <w:szCs w:val="20"/>
                <w:color w:val="auto"/>
              </w:rPr>
            </w:pPr>
            <w:r>
              <w:rPr>
                <w:rFonts w:ascii="Arial" w:cs="Arial" w:eastAsia="Arial" w:hAnsi="Arial"/>
                <w:sz w:val="18"/>
                <w:szCs w:val="18"/>
                <w:color w:val="auto"/>
              </w:rPr>
              <w:t>116,050</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7.50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Canceled</w:t>
            </w:r>
          </w:p>
        </w:tc>
        <w:tc>
          <w:tcPr>
            <w:tcW w:w="3480" w:type="dxa"/>
            <w:vAlign w:val="bottom"/>
            <w:gridSpan w:val="3"/>
          </w:tcPr>
          <w:p>
            <w:pPr>
              <w:jc w:val="right"/>
              <w:ind w:right="240"/>
              <w:spacing w:after="0"/>
              <w:rPr>
                <w:sz w:val="20"/>
                <w:szCs w:val="20"/>
                <w:color w:val="auto"/>
              </w:rPr>
            </w:pPr>
            <w:r>
              <w:rPr>
                <w:rFonts w:ascii="Arial" w:cs="Arial" w:eastAsia="Arial" w:hAnsi="Arial"/>
                <w:sz w:val="18"/>
                <w:szCs w:val="18"/>
                <w:color w:val="auto"/>
              </w:rPr>
              <w:t>(53,739)</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17.28</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2016</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8,157,550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13.04</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2016</w:t>
            </w:r>
          </w:p>
        </w:tc>
        <w:tc>
          <w:tcPr>
            <w:tcW w:w="180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84"/>
              </w:rPr>
              <w:t>13.00</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8,110,040</w:t>
            </w:r>
          </w:p>
        </w:tc>
        <w:tc>
          <w:tcPr>
            <w:tcW w:w="3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2016</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4,948,179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5,727,572</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40" w:type="dxa"/>
            <w:vAlign w:val="bottom"/>
          </w:tcPr>
          <w:p>
            <w:pPr>
              <w:spacing w:after="0"/>
              <w:rPr>
                <w:sz w:val="24"/>
                <w:szCs w:val="24"/>
                <w:color w:val="auto"/>
              </w:rPr>
            </w:pPr>
          </w:p>
        </w:tc>
        <w:tc>
          <w:tcPr>
            <w:tcW w:w="1800" w:type="dxa"/>
            <w:vAlign w:val="bottom"/>
          </w:tcPr>
          <w:p>
            <w:pPr>
              <w:jc w:val="right"/>
              <w:ind w:right="790"/>
              <w:spacing w:after="0"/>
              <w:rPr>
                <w:sz w:val="20"/>
                <w:szCs w:val="20"/>
                <w:color w:val="auto"/>
              </w:rPr>
            </w:pPr>
            <w:r>
              <w:rPr>
                <w:rFonts w:ascii="Arial" w:cs="Arial" w:eastAsia="Arial" w:hAnsi="Arial"/>
                <w:sz w:val="18"/>
                <w:szCs w:val="18"/>
                <w:color w:val="auto"/>
              </w:rPr>
              <w:t>9</w:t>
            </w: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4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months ended March 31, 2016 was $4.71. Stock-based compensation expense for the three months ended March 31, 2016 and 2015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5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6"/>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right"/>
              <w:ind w:right="496"/>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580" w:type="dxa"/>
            <w:vAlign w:val="bottom"/>
            <w:gridSpan w:val="2"/>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1,815</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2,125</w:t>
            </w:r>
          </w:p>
        </w:tc>
        <w:tc>
          <w:tcPr>
            <w:tcW w:w="8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r>
      <w:tr>
        <w:trPr>
          <w:trHeight w:val="210"/>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6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fair values of employee stock options granted during the three months ended March 31, 2016 and 2015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3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2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 (BMS)</w:t>
      </w:r>
    </w:p>
    <w:p>
      <w:pPr>
        <w:spacing w:after="0" w:line="22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In May 2014, the Company entered into a clinical trial collaboration with BMS to evaluate the safety, tolerability and preliminary efficacy of varlilumab and Opdivo</w:t>
      </w:r>
      <w:r>
        <w:rPr>
          <w:rFonts w:ascii="Arial" w:cs="Arial" w:eastAsia="Arial" w:hAnsi="Arial"/>
          <w:sz w:val="36"/>
          <w:szCs w:val="36"/>
          <w:color w:val="auto"/>
          <w:vertAlign w:val="superscript"/>
        </w:rPr>
        <w:t>®</w:t>
      </w:r>
      <w:r>
        <w:rPr>
          <w:rFonts w:ascii="Arial" w:cs="Arial" w:eastAsia="Arial" w:hAnsi="Arial"/>
          <w:sz w:val="18"/>
          <w:szCs w:val="18"/>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(a subsidiary of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20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w:t>
      </w:r>
    </w:p>
    <w:p>
      <w:pPr>
        <w:sectPr>
          <w:pgSz w:w="11900" w:h="16874" w:orient="portrait"/>
          <w:cols w:equalWidth="0" w:num="1">
            <w:col w:w="11460"/>
          </w:cols>
          <w:pgMar w:left="240" w:top="140" w:right="199" w:bottom="0" w:gutter="0" w:footer="0" w:header="0"/>
        </w:sectPr>
      </w:pPr>
    </w:p>
    <w:bookmarkStart w:id="7" w:name="page8"/>
    <w:bookmarkEnd w:id="7"/>
    <w:p>
      <w:pPr>
        <w:ind w:right="740"/>
        <w:spacing w:after="0" w:line="308" w:lineRule="auto"/>
        <w:rPr>
          <w:sz w:val="20"/>
          <w:szCs w:val="20"/>
          <w:color w:val="auto"/>
        </w:rPr>
      </w:pPr>
      <w:r>
        <w:rPr>
          <w:rFonts w:ascii="Arial" w:cs="Arial" w:eastAsia="Arial" w:hAnsi="Arial"/>
          <w:sz w:val="17"/>
          <w:szCs w:val="17"/>
          <w:color w:val="auto"/>
        </w:rPr>
        <w:t>in connection with the clinical trial. These BMS payments will be recognized as revenue under the CAPM. The Company recorded $0.4 million and $0.3 million in revenue related to the BMS agreement during the three months ended March 31, 2016 and 2015,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September 2013, the Company entered into an agreement, as amended, with Rockefeller pursuant to which the Company will performs research and development services for Rockefeller. The Company bills Rockefeller quarterly for actual time and direct costs incurred and records those amounts to revenue in the quarter the services are performed. The Company recorded $0.4 million and $0.1 million in revenue related to the Rockefeller agreement during the three months ended March 31, 2016 and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assets and, as a result, a full valuation allowance was maintained at March 31, 2016 and December 31, 2015 against the Company’s net deferred tax assets.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April 2016, the Company entered into a research and collaboration agreement with an undisclosed private company to access novel technologies and paid $3.5 million to support research activities and make an investment in the private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4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 timing, scope and results of ongoing safety and efficacy trials of glembatumumab vedotin, and other preclinical and clinical testing;</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glembatumumab vedotin and varlilumab (also referred to as CDX-1127);</w:t>
      </w:r>
    </w:p>
    <w:p>
      <w:pPr>
        <w:sectPr>
          <w:pgSz w:w="11900" w:h="16838" w:orient="portrait"/>
          <w:cols w:equalWidth="0" w:num="1">
            <w:col w:w="11420"/>
          </w:cols>
          <w:pgMar w:left="240" w:top="125" w:right="239" w:bottom="0" w:gutter="0" w:footer="0" w:header="0"/>
        </w:sectPr>
      </w:pPr>
    </w:p>
    <w:bookmarkStart w:id="8" w:name="page9"/>
    <w:bookmarkEnd w:id="8"/>
    <w:p>
      <w:pPr>
        <w:ind w:left="980" w:right="8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9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80" w:right="4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4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10-K/A for the year ended December 31, 2015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protein-based molecules such as vaccines, antibodies and antibody-drug conjugates that are used to treat specific types of cancer or other diseases.</w:t>
      </w:r>
    </w:p>
    <w:p>
      <w:pPr>
        <w:spacing w:after="0" w:line="18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their cancer. We established proof of concept in a Phase 1 study with varlilumab, which has allowed several combination studies to begin in various indications. We also have a number of earlier stage drug candidates in clinical development, including CDX-1401, a targeted immunotherapeutic aimed at antigen presenting cells, or APCs, for cancer indications, CDX-301, an immune cell mobilizing agent and dendritic cell growth factor, and CDX-014, an antibody drug conjugate targeting TIM-1. Our drug candidates address market opportunities for which we believe current therapies are inadequate or non-existent.</w:t>
      </w:r>
    </w:p>
    <w:p>
      <w:pPr>
        <w:spacing w:after="0" w:line="16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current clinical pipeline.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300" w:type="dxa"/>
            <w:vAlign w:val="bottom"/>
          </w:tcPr>
          <w:p>
            <w:pPr>
              <w:spacing w:after="0"/>
              <w:rPr>
                <w:sz w:val="14"/>
                <w:szCs w:val="14"/>
                <w:color w:val="auto"/>
              </w:rPr>
            </w:pPr>
          </w:p>
        </w:tc>
        <w:tc>
          <w:tcPr>
            <w:tcW w:w="5400" w:type="dxa"/>
            <w:vAlign w:val="bottom"/>
            <w:gridSpan w:val="2"/>
          </w:tcPr>
          <w:p>
            <w:pPr>
              <w:ind w:left="2060"/>
              <w:spacing w:after="0"/>
              <w:rPr>
                <w:sz w:val="20"/>
                <w:szCs w:val="20"/>
                <w:color w:val="auto"/>
              </w:rPr>
            </w:pPr>
            <w:r>
              <w:rPr>
                <w:rFonts w:ascii="Arial" w:cs="Arial" w:eastAsia="Arial" w:hAnsi="Arial"/>
                <w:sz w:val="14"/>
                <w:szCs w:val="14"/>
                <w:b w:val="1"/>
                <w:bCs w:val="1"/>
                <w:color w:val="auto"/>
              </w:rPr>
              <w:t>Indication/Field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Partner</w:t>
            </w:r>
          </w:p>
        </w:tc>
        <w:tc>
          <w:tcPr>
            <w:tcW w:w="280" w:type="dxa"/>
            <w:vAlign w:val="bottom"/>
          </w:tcPr>
          <w:p>
            <w:pPr>
              <w:spacing w:after="0"/>
              <w:rPr>
                <w:sz w:val="14"/>
                <w:szCs w:val="14"/>
                <w:color w:val="auto"/>
              </w:rPr>
            </w:pP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30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Triple Negative Breast Cancer</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2b</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Glembatumumab vedotin</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Metastatic melanoma</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Varlilumab</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Multiple solid tumors (with nivolumab)</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Varlilumab</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Metastatic melanoma (with ipilimumab)</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Varlilumab</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Renal cell carcinoma (with sunitinib)</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Varlilumab</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Multiple solid tumors (with atezolizumab)</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CDX-1401</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Multiple solid tumors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2</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CDX-301</w:t>
            </w:r>
          </w:p>
        </w:tc>
        <w:tc>
          <w:tcPr>
            <w:tcW w:w="5700" w:type="dxa"/>
            <w:vAlign w:val="bottom"/>
            <w:gridSpan w:val="3"/>
          </w:tcPr>
          <w:p>
            <w:pPr>
              <w:ind w:left="300"/>
              <w:spacing w:after="0"/>
              <w:rPr>
                <w:sz w:val="20"/>
                <w:szCs w:val="20"/>
                <w:color w:val="auto"/>
              </w:rPr>
            </w:pPr>
            <w:r>
              <w:rPr>
                <w:rFonts w:ascii="Arial" w:cs="Arial" w:eastAsia="Arial" w:hAnsi="Arial"/>
                <w:sz w:val="18"/>
                <w:szCs w:val="18"/>
                <w:color w:val="auto"/>
              </w:rPr>
              <w:t>Multiple indications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ind w:left="280"/>
              <w:spacing w:after="0"/>
              <w:rPr>
                <w:sz w:val="20"/>
                <w:szCs w:val="20"/>
                <w:color w:val="auto"/>
              </w:rPr>
            </w:pPr>
            <w:r>
              <w:rPr>
                <w:rFonts w:ascii="Arial" w:cs="Arial" w:eastAsia="Arial" w:hAnsi="Arial"/>
                <w:sz w:val="18"/>
                <w:szCs w:val="18"/>
                <w:color w:val="auto"/>
              </w:rPr>
              <w:t>Phase 1</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CDX-014</w:t>
            </w:r>
          </w:p>
        </w:tc>
        <w:tc>
          <w:tcPr>
            <w:tcW w:w="5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Renal cell carcinoma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Phase 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product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product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product candidate. We estimate that clinical trials of the type we generally conduct are typically completed over the following timelines: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8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Completion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vMerge w:val="continue"/>
          </w:tcPr>
          <w:p>
            <w:pPr>
              <w:spacing w:after="0"/>
              <w:rPr>
                <w:sz w:val="14"/>
                <w:szCs w:val="14"/>
                <w:color w:val="auto"/>
              </w:rPr>
            </w:pPr>
          </w:p>
        </w:tc>
        <w:tc>
          <w:tcPr>
            <w:tcW w:w="8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8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Phase 2</w:t>
            </w:r>
          </w:p>
        </w:tc>
        <w:tc>
          <w:tcPr>
            <w:tcW w:w="8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8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8380" w:type="dxa"/>
            <w:vAlign w:val="bottom"/>
          </w:tcPr>
          <w:p>
            <w:pPr>
              <w:jc w:val="right"/>
              <w:ind w:right="377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8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8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-370205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63" w:gutter="0" w:footer="0" w:header="0"/>
        </w:sectPr>
      </w:pPr>
    </w:p>
    <w:bookmarkStart w:id="9" w:name="page10"/>
    <w:bookmarkEnd w:id="9"/>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past five years through December 31, 2015, we incurred an aggregate of $351.8 million in research and development expenses. The following table indicates the amount incurred for each of our significant research programs and for other identified research and development activities during the three months ended March 31, 2016 and 2015. The amounts disclosed in the following table reflect direct research and development costs, license fees associated with the underlying technology and an allocation of indirect research and development costs to each program.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3"/>
          </w:tcPr>
          <w:p>
            <w:pPr>
              <w:jc w:val="right"/>
              <w:ind w:right="456"/>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Glembatumumab vedotin</w:t>
            </w:r>
          </w:p>
        </w:tc>
        <w:tc>
          <w:tcPr>
            <w:tcW w:w="4000" w:type="dxa"/>
            <w:vAlign w:val="bottom"/>
            <w:gridSpan w:val="2"/>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5,523</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4,930</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Varlilumab</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5,694</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3,472</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CDX-1401</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CDX-301</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1,930</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CDX-014</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1,819</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Rintega</w:t>
            </w: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11,029</w:t>
            </w: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11,713</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Programs</w:t>
            </w:r>
          </w:p>
        </w:tc>
        <w:tc>
          <w:tcPr>
            <w:tcW w:w="3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1,592</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1,988</w:t>
            </w:r>
          </w:p>
        </w:tc>
        <w:tc>
          <w:tcPr>
            <w:tcW w:w="8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R&amp;D Expense</w:t>
            </w:r>
          </w:p>
        </w:tc>
        <w:tc>
          <w:tcPr>
            <w:tcW w:w="3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27,447</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25,125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40" w:firstLine="648"/>
        <w:spacing w:after="0" w:line="280" w:lineRule="auto"/>
        <w:rPr>
          <w:sz w:val="20"/>
          <w:szCs w:val="20"/>
          <w:color w:val="auto"/>
        </w:rPr>
      </w:pPr>
      <w:r>
        <w:rPr>
          <w:rFonts w:ascii="Arial" w:cs="Arial" w:eastAsia="Arial" w:hAnsi="Arial"/>
          <w:sz w:val="16"/>
          <w:szCs w:val="16"/>
          <w:color w:val="auto"/>
        </w:rPr>
        <w:t>Glembatumumab vedotin is an antibody-drug conjugate, or ADC, that consists of a fully human monoclonal antibody, CR011, linked to a potent cell-killing drug, monomethyl-auristatin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w:t>
      </w:r>
      <w:r>
        <w:rPr>
          <w:rFonts w:ascii="Arial" w:cs="Arial" w:eastAsia="Arial" w:hAnsi="Arial"/>
          <w:sz w:val="20"/>
          <w:szCs w:val="20"/>
          <w:color w:val="auto"/>
          <w:vertAlign w:val="superscript"/>
        </w:rPr>
        <w:t>®</w:t>
      </w:r>
      <w:r>
        <w:rPr>
          <w:rFonts w:ascii="Arial" w:cs="Arial" w:eastAsia="Arial" w:hAnsi="Arial"/>
          <w:sz w:val="16"/>
          <w:szCs w:val="16"/>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ectPr>
          <w:pgSz w:w="11900" w:h="16838" w:orient="portrait"/>
          <w:cols w:equalWidth="0" w:num="1">
            <w:col w:w="11420"/>
          </w:cols>
          <w:pgMar w:left="240" w:top="125" w:right="239" w:bottom="0" w:gutter="0" w:footer="0" w:header="0"/>
        </w:sectPr>
      </w:pPr>
    </w:p>
    <w:bookmarkStart w:id="10" w:name="page11"/>
    <w:bookmarkEnd w:id="10"/>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Treatment of Metastatic Breast Cancer: </w:t>
      </w:r>
      <w:r>
        <w:rPr>
          <w:rFonts w:ascii="Arial" w:cs="Arial" w:eastAsia="Arial" w:hAnsi="Arial"/>
          <w:sz w:val="16"/>
          <w:szCs w:val="16"/>
          <w:color w:val="auto"/>
        </w:rPr>
        <w:t>The Phase 1/2 study of glembatumumab vedotin administered intravenously once every three weeks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evaluated patients with locally advanced or metastatic breast cancer who had received prior therapy (median of seven prior regimens). Results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September 2014. The study began with a bridging phase to confirm the maximum tolerated dose, or MTD, and then expanded into a Phase 2 open-label, multi-center study. The study confirmed the safety of glembatumumab vedotin at the pre-defined maximum dose level</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(1.88 mg/kg) in 6 patients. An additional 28 patients were enrolled in an expanded Phase 2 cohort (for a total of 34 treated patients at 1.88 mg/kg, the Phase 2 dose) to evaluate the progression-free survival (PFS) rate at 12 weeks. The 1.88 mg/kg dose was well tolerated in this patient population with the most common adverse events of rash, neuropathy and fatigue. The primary activity endpoint, which called for at least 5 of 25 (20%) patients in the Phase 2 study portion to be progression-free at 12 weeks, was met as 9 of 27 (33%) evaluable patients were progression-free at 12 weeks. For all patients treated at the maximum dose level, median PFS was 9.1 weeks.</w:t>
      </w:r>
    </w:p>
    <w:p>
      <w:pPr>
        <w:spacing w:after="0" w:line="19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12-week PFS rate was 60% (6/10), and median PFS was 17.9 weeks. Tumor samples from a subset of patients across all dose groups were analyzed for gpNMB expression. The tumor samples from most patients showed evidence of stromal and/or tumor cell expression of gpNMB.</w:t>
      </w:r>
    </w:p>
    <w:p>
      <w:pPr>
        <w:spacing w:after="0" w:line="17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The EMERGE study was a randomized, multi-center Phase 2b study of glembatumumab vedotin in 124 patients with heavily pre-treated, advanced, gpNMB-positive breast cancer. Results from EMERGE were published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in April 2015.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overall survival (OS). The final results, as shown below, suggested that glembatumumab vedotin induces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was also observed to be greatest in patients with triple negative breast cancer who also have high gpNMB expression and all patients with high gpNMB expression.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 (Intent-to-Treat Population)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5"/>
            <w:vMerge w:val="restart"/>
          </w:tcPr>
          <w:p>
            <w:pPr>
              <w:ind w:left="680"/>
              <w:spacing w:after="0"/>
              <w:rPr>
                <w:sz w:val="20"/>
                <w:szCs w:val="20"/>
                <w:color w:val="auto"/>
              </w:rPr>
            </w:pPr>
            <w:r>
              <w:rPr>
                <w:rFonts w:ascii="Arial" w:cs="Arial" w:eastAsia="Arial" w:hAnsi="Arial"/>
                <w:sz w:val="14"/>
                <w:szCs w:val="14"/>
                <w:b w:val="1"/>
                <w:bCs w:val="1"/>
                <w:color w:val="auto"/>
              </w:rPr>
              <w:t>High gpNMB Expression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Triple Negative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gpNMB Over-Expression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glembatumumab</w:t>
            </w:r>
          </w:p>
        </w:tc>
        <w:tc>
          <w:tcPr>
            <w:tcW w:w="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90"/>
              <w:spacing w:after="0" w:line="119" w:lineRule="exact"/>
              <w:rPr>
                <w:sz w:val="20"/>
                <w:szCs w:val="20"/>
                <w:color w:val="auto"/>
              </w:rPr>
            </w:pPr>
            <w:r>
              <w:rPr>
                <w:rFonts w:ascii="Arial" w:cs="Arial" w:eastAsia="Arial" w:hAnsi="Arial"/>
                <w:sz w:val="13"/>
                <w:szCs w:val="13"/>
                <w:b w:val="1"/>
                <w:bCs w:val="1"/>
                <w:color w:val="auto"/>
              </w:rPr>
              <w:t>Investigator</w:t>
            </w: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glembatumumab</w:t>
            </w:r>
          </w:p>
        </w:tc>
        <w:tc>
          <w:tcPr>
            <w:tcW w:w="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Investigator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vedotin</w:t>
            </w:r>
          </w:p>
        </w:tc>
        <w:tc>
          <w:tcPr>
            <w:tcW w:w="60" w:type="dxa"/>
            <w:vAlign w:val="bottom"/>
          </w:tcPr>
          <w:p>
            <w:pPr>
              <w:spacing w:after="0"/>
              <w:rPr>
                <w:sz w:val="14"/>
                <w:szCs w:val="14"/>
                <w:color w:val="auto"/>
              </w:rPr>
            </w:pPr>
          </w:p>
        </w:tc>
        <w:tc>
          <w:tcPr>
            <w:tcW w:w="1080" w:type="dxa"/>
            <w:vAlign w:val="bottom"/>
          </w:tcPr>
          <w:p>
            <w:pPr>
              <w:jc w:val="center"/>
              <w:ind w:left="90"/>
              <w:spacing w:after="0"/>
              <w:rPr>
                <w:sz w:val="20"/>
                <w:szCs w:val="20"/>
                <w:color w:val="auto"/>
              </w:rPr>
            </w:pPr>
            <w:r>
              <w:rPr>
                <w:rFonts w:ascii="Arial" w:cs="Arial" w:eastAsia="Arial" w:hAnsi="Arial"/>
                <w:sz w:val="14"/>
                <w:szCs w:val="14"/>
                <w:b w:val="1"/>
                <w:bCs w:val="1"/>
                <w:color w:val="auto"/>
                <w:w w:val="94"/>
              </w:rPr>
              <w:t>Choice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vedotin</w:t>
            </w:r>
          </w:p>
        </w:tc>
        <w:tc>
          <w:tcPr>
            <w:tcW w:w="40" w:type="dxa"/>
            <w:vAlign w:val="bottom"/>
          </w:tcPr>
          <w:p>
            <w:pPr>
              <w:spacing w:after="0"/>
              <w:rPr>
                <w:sz w:val="14"/>
                <w:szCs w:val="1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(n=23)</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left="90"/>
              <w:spacing w:after="0" w:line="142" w:lineRule="exact"/>
              <w:rPr>
                <w:sz w:val="20"/>
                <w:szCs w:val="20"/>
                <w:color w:val="auto"/>
              </w:rPr>
            </w:pPr>
            <w:r>
              <w:rPr>
                <w:rFonts w:ascii="Arial" w:cs="Arial" w:eastAsia="Arial" w:hAnsi="Arial"/>
                <w:sz w:val="14"/>
                <w:szCs w:val="14"/>
                <w:b w:val="1"/>
                <w:bCs w:val="1"/>
                <w:color w:val="auto"/>
                <w:w w:val="95"/>
              </w:rPr>
              <w:t>(n=11)</w:t>
            </w: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95"/>
              </w:rPr>
              <w:t>(n=10)</w:t>
            </w: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Response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Disease Control Rate</w:t>
            </w:r>
          </w:p>
        </w:tc>
        <w:tc>
          <w:tcPr>
            <w:tcW w:w="4400" w:type="dxa"/>
            <w:vAlign w:val="bottom"/>
            <w:gridSpan w:val="6"/>
          </w:tcPr>
          <w:p>
            <w:pPr>
              <w:jc w:val="right"/>
              <w:ind w:right="14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27%</w:t>
            </w:r>
          </w:p>
        </w:tc>
        <w:tc>
          <w:tcPr>
            <w:tcW w:w="1660" w:type="dxa"/>
            <w:vAlign w:val="bottom"/>
            <w:gridSpan w:val="4"/>
          </w:tcPr>
          <w:p>
            <w:pPr>
              <w:jc w:val="right"/>
              <w:ind w:right="140"/>
              <w:spacing w:after="0"/>
              <w:rPr>
                <w:sz w:val="20"/>
                <w:szCs w:val="20"/>
                <w:color w:val="auto"/>
              </w:rPr>
            </w:pPr>
            <w:r>
              <w:rPr>
                <w:rFonts w:ascii="Arial" w:cs="Arial" w:eastAsia="Arial" w:hAnsi="Arial"/>
                <w:sz w:val="18"/>
                <w:szCs w:val="18"/>
                <w:color w:val="auto"/>
              </w:rPr>
              <w:t>90%</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6600" w:type="dxa"/>
            <w:vAlign w:val="bottom"/>
            <w:gridSpan w:val="8"/>
          </w:tcPr>
          <w:p>
            <w:pPr>
              <w:spacing w:after="0"/>
              <w:rPr>
                <w:sz w:val="20"/>
                <w:szCs w:val="20"/>
                <w:color w:val="auto"/>
              </w:rPr>
            </w:pPr>
            <w:r>
              <w:rPr>
                <w:rFonts w:ascii="Arial" w:cs="Arial" w:eastAsia="Arial" w:hAnsi="Arial"/>
                <w:sz w:val="18"/>
                <w:szCs w:val="18"/>
                <w:i w:val="1"/>
                <w:iCs w:val="1"/>
                <w:color w:val="auto"/>
              </w:rPr>
              <w:t>Responses per RECIST 1.1; IC = Investigator’s Choice;</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00" w:type="dxa"/>
            <w:vAlign w:val="bottom"/>
            <w:gridSpan w:val="15"/>
          </w:tcPr>
          <w:p>
            <w:pPr>
              <w:jc w:val="right"/>
              <w:ind w:right="1260"/>
              <w:spacing w:after="0"/>
              <w:rPr>
                <w:sz w:val="20"/>
                <w:szCs w:val="20"/>
                <w:color w:val="auto"/>
              </w:rPr>
            </w:pPr>
            <w:r>
              <w:rPr>
                <w:rFonts w:ascii="Arial" w:cs="Arial" w:eastAsia="Arial" w:hAnsi="Arial"/>
                <w:sz w:val="18"/>
                <w:szCs w:val="18"/>
                <w:b w:val="1"/>
                <w:bCs w:val="1"/>
                <w:color w:val="auto"/>
              </w:rPr>
              <w:t>EMERGE: Progression Free Survival (PFS) and Overall Survival (OS) Data</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rPr>
              <w:t>High gpNMB Expression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Triple Negative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gpNMB Over-Expression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glembatumumab</w:t>
            </w:r>
          </w:p>
        </w:tc>
        <w:tc>
          <w:tcPr>
            <w:tcW w:w="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190"/>
              <w:spacing w:after="0" w:line="119" w:lineRule="exact"/>
              <w:rPr>
                <w:sz w:val="20"/>
                <w:szCs w:val="20"/>
                <w:color w:val="auto"/>
              </w:rPr>
            </w:pPr>
            <w:r>
              <w:rPr>
                <w:rFonts w:ascii="Arial" w:cs="Arial" w:eastAsia="Arial" w:hAnsi="Arial"/>
                <w:sz w:val="13"/>
                <w:szCs w:val="13"/>
                <w:b w:val="1"/>
                <w:bCs w:val="1"/>
                <w:color w:val="auto"/>
              </w:rPr>
              <w:t>Investigator</w:t>
            </w: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glembatumumab</w:t>
            </w:r>
          </w:p>
        </w:tc>
        <w:tc>
          <w:tcPr>
            <w:tcW w:w="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Investigator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vedotin</w:t>
            </w:r>
          </w:p>
        </w:tc>
        <w:tc>
          <w:tcPr>
            <w:tcW w:w="60" w:type="dxa"/>
            <w:vAlign w:val="bottom"/>
          </w:tcPr>
          <w:p>
            <w:pPr>
              <w:spacing w:after="0"/>
              <w:rPr>
                <w:sz w:val="14"/>
                <w:szCs w:val="14"/>
                <w:color w:val="auto"/>
              </w:rPr>
            </w:pPr>
          </w:p>
        </w:tc>
        <w:tc>
          <w:tcPr>
            <w:tcW w:w="1080" w:type="dxa"/>
            <w:vAlign w:val="bottom"/>
          </w:tcPr>
          <w:p>
            <w:pPr>
              <w:jc w:val="center"/>
              <w:ind w:left="190"/>
              <w:spacing w:after="0"/>
              <w:rPr>
                <w:sz w:val="20"/>
                <w:szCs w:val="20"/>
                <w:color w:val="auto"/>
              </w:rPr>
            </w:pPr>
            <w:r>
              <w:rPr>
                <w:rFonts w:ascii="Arial" w:cs="Arial" w:eastAsia="Arial" w:hAnsi="Arial"/>
                <w:sz w:val="14"/>
                <w:szCs w:val="14"/>
                <w:b w:val="1"/>
                <w:bCs w:val="1"/>
                <w:color w:val="auto"/>
                <w:w w:val="89"/>
              </w:rPr>
              <w:t>Choice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vedotin</w:t>
            </w:r>
          </w:p>
        </w:tc>
        <w:tc>
          <w:tcPr>
            <w:tcW w:w="4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Choice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2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3.5</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p=0.18</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9"/>
              </w:rPr>
              <w:t>p=0.0017</w:t>
            </w: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800" w:type="dxa"/>
            <w:vAlign w:val="bottom"/>
            <w:gridSpan w:val="3"/>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Median OS (months)</w:t>
            </w:r>
          </w:p>
        </w:tc>
        <w:tc>
          <w:tcPr>
            <w:tcW w:w="25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1"/>
              </w:rPr>
              <w:t>10.0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p=0.31</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p=0.003</w:t>
            </w: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December 2013, we initiated METRIC, a randomized, controlled Phase 2b study of glembatumumab vedotin in patients with triple negative breast cancer that over-express gpNMB. Clinical trial sites are open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 significant opportunity existed to expand the study into the EU. The amendment expanded patient entry criteria to position it for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We implemented these changes in parallel to regulatory discussions to maintain momentum at open clinical trial sites. Since implementation, both the FDA and central European regulatory authorities have reviewed the protocol design, and we believe the METRIC study could support marketing approval in both the U.S. and Europe dependent upon data review. Our goal is to complete enrollment by year end 2016.</w:t>
      </w:r>
    </w:p>
    <w:p>
      <w:pPr>
        <w:spacing w:after="0" w:line="1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Treatment of Metastatic Melanoma: </w:t>
      </w:r>
      <w:r>
        <w:rPr>
          <w:rFonts w:ascii="Arial" w:cs="Arial" w:eastAsia="Arial" w:hAnsi="Arial"/>
          <w:sz w:val="17"/>
          <w:szCs w:val="17"/>
          <w:color w:val="auto"/>
        </w:rPr>
        <w:t>The Phase 1/2 open-label, multi-center, dose escalation study evaluated the safety, tolerability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pharmacokinetics of glembatumumab vedotin in 117 patients with unresectable stage III or IV melanoma who had failed no more than one prior line of cytotoxic therapy. The MTD was determined to be 1.88 mg/kg administered intravenously once every three weeks. The study achieved its primary activity objective with an overall response rate (ORR) in the Phase 2 cohort of 15% (5/34). Median PFS was 3.3 months for patients treated with the Phase 2 MTD. Glembatumumab vedotin was generally well tolerated, with the most frequent treatment-related adverse events being rash, fatigue, alopecia, pruritus, diarrhea and nausea. A nonsignificant trend toward prolonged PFS was seen for patients with tumors expressing higher levels of gpNMB. The development of rash, which may be associated with the presence of gpNMB in the skin, also seemed to correlate with greater PFS.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2014, we initiated a single arm, single-agent, open label Phase 2 study of glembatumumab vedotin in patients with unresectable stage</w:t>
      </w:r>
    </w:p>
    <w:p>
      <w:pPr>
        <w:spacing w:after="0" w:line="46" w:lineRule="exact"/>
        <w:rPr>
          <w:sz w:val="20"/>
          <w:szCs w:val="20"/>
          <w:color w:val="auto"/>
        </w:rPr>
      </w:pPr>
    </w:p>
    <w:p>
      <w:pPr>
        <w:ind w:right="20" w:firstLine="8"/>
        <w:spacing w:after="0" w:line="302" w:lineRule="auto"/>
        <w:tabs>
          <w:tab w:leader="none" w:pos="225" w:val="left"/>
        </w:tabs>
        <w:numPr>
          <w:ilvl w:val="0"/>
          <w:numId w:val="7"/>
        </w:numPr>
        <w:rPr>
          <w:rFonts w:ascii="Arial" w:cs="Arial" w:eastAsia="Arial" w:hAnsi="Arial"/>
          <w:sz w:val="16"/>
          <w:szCs w:val="16"/>
          <w:color w:val="auto"/>
        </w:rPr>
      </w:pPr>
      <w:r>
        <w:rPr>
          <w:rFonts w:ascii="Arial" w:cs="Arial" w:eastAsia="Arial" w:hAnsi="Arial"/>
          <w:sz w:val="16"/>
          <w:szCs w:val="16"/>
          <w:color w:val="auto"/>
        </w:rPr>
        <w:t>or IV melanoma (n=60) and enrollment has been completed. The Company is currently amending the protocol to add a second cohort of patients to a glembatumumab vedotin and varlilumab combination arm to assess the potential clinical benefit of the combination and to explore varlilumab’s potential biologic and immunologic effect when combined with an antibody drug conjugate. The primary endpoint of each cohort is ORR. Secondary endpoints include</w:t>
      </w:r>
    </w:p>
    <w:p>
      <w:pPr>
        <w:sectPr>
          <w:pgSz w:w="11900" w:h="16838" w:orient="portrait"/>
          <w:cols w:equalWidth="0" w:num="1">
            <w:col w:w="11420"/>
          </w:cols>
          <w:pgMar w:left="240" w:top="337" w:right="239" w:bottom="0" w:gutter="0" w:footer="0" w:header="0"/>
        </w:sectPr>
      </w:pPr>
    </w:p>
    <w:bookmarkStart w:id="11" w:name="page12"/>
    <w:bookmarkEnd w:id="11"/>
    <w:p>
      <w:pPr>
        <w:jc w:val="both"/>
        <w:ind w:right="240"/>
        <w:spacing w:after="0" w:line="264" w:lineRule="auto"/>
        <w:rPr>
          <w:sz w:val="20"/>
          <w:szCs w:val="20"/>
          <w:color w:val="auto"/>
        </w:rPr>
      </w:pPr>
      <w:r>
        <w:rPr>
          <w:rFonts w:ascii="Arial" w:cs="Arial" w:eastAsia="Arial" w:hAnsi="Arial"/>
          <w:sz w:val="18"/>
          <w:szCs w:val="18"/>
          <w:color w:val="auto"/>
        </w:rPr>
        <w:t>analyses of PFS, duration of response, OS, retrospective investigation of whether the anticancer activity of glembatumumab vedotin is dependent upon the degree of gpNMB expression in tumor tissue and safety of both the monotherapy and combination regimen. The Company expects to present data from the single-agent cohort at an appropriate medical meeting in the second half of 2016.</w:t>
      </w:r>
    </w:p>
    <w:p>
      <w:pPr>
        <w:spacing w:after="0" w:line="177"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 xml:space="preserve">Treatment of Other Indications: </w:t>
      </w:r>
      <w:r>
        <w:rPr>
          <w:rFonts w:ascii="Arial" w:cs="Arial" w:eastAsia="Arial" w:hAnsi="Arial"/>
          <w:sz w:val="18"/>
          <w:szCs w:val="18"/>
          <w:color w:val="auto"/>
        </w:rPr>
        <w:t>We have entered into a collaborative relationship with PrECOG, LLC, which represents a research network</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Eastern Cooperative Oncology Group (ECOG), under which PrECOG, LLC, is conducting an open-label Phase 1/2 study in patients with unresectable stage IIIB or IV, gpNMB-expressing, advanced or metastatic squamous cell cancer (SCC) of the lung, who have progressed on prior platinum-based chemotherapy. This study opened to enrollment in April 2016. The study will include a dose-escalation phase followed by a two-stage Phase 2 portion (Simon two-stage design). The Phase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dose-escalation portion of the study will assess the safety and tolerability of glembatumumab vedotin at the current dose of 1.9 mg/kg and then 2.2 mg/kg in order to determine whether higher dosing is feasible in this population. The first stage of the Phase 2 portion will enroll approximately 20 patients, and if at least two patients achieve a partial response or complete response, a second stage may enroll an additional 15 patients. The primary objective of the Phase 2 portion of the study is to assess the anti-tumor efficacy of glembatumumab vedotin in squamous cell lung cancer as measured by ORR. Secondary objectives of the study include analyses of safety and tolerability and further assessment of anti-tumor activity across a broad range of endpoints.</w:t>
      </w:r>
    </w:p>
    <w:p>
      <w:pPr>
        <w:spacing w:after="0" w:line="15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have also entered into a Cooperative Research and Development Agreement, or CRADA, with the National Cancer Institute, or NCI, under which NCI is sponsoring two studies of glembatumumab vedotin—one in uveal melanoma and one in pediatric osteosarcoma. Both studies are currently open to enrollment. The uveal melanoma study is a single arm, open label study in patients with locally recurrent or metastatic uveal melanoma. The primary outcome measure is ORR. Secondary outcome measures include change in gpNMB expression on tumor tissue via immunohistochemistry, safety, OS and PFS. The osteosarcoma study is a single arm, open label, evaluation of adolescent and adult patients with recurrent or refractory osteosarcoma. The co-primary objectives are to determine whether glembatumumab vedotin therapy either increases the disease control rate at 4 months in patients with recurrent measurable osteosarcoma as compared to historical experience and/or whether glembatumumab vedotin therapy produces an objective response rate greater than 20% in patients without previous eribulin (eribulin mesylate) treatment. Secondary outcome measures include safety, pharmacokinetics and the relation of gpNMB expression as measured by immunohistochemistry to clinical response.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360" w:firstLine="648"/>
        <w:spacing w:after="0" w:line="273" w:lineRule="auto"/>
        <w:rPr>
          <w:sz w:val="20"/>
          <w:szCs w:val="20"/>
          <w:color w:val="auto"/>
        </w:rPr>
      </w:pPr>
      <w:r>
        <w:rPr>
          <w:rFonts w:ascii="Arial" w:cs="Arial" w:eastAsia="Arial" w:hAnsi="Arial"/>
          <w:sz w:val="17"/>
          <w:szCs w:val="17"/>
          <w:color w:val="auto"/>
        </w:rPr>
        <w:t xml:space="preserve">Varlilumab, a fully human monoclonal agonist antibody, binds and activates CD27, a critical co-stimulatory molecule in the immune activation cascade, primarily by stimulating T cells to attack cancer cells. Restricted expression and regulation of CD27 enables varlilumab specifically to activate T cells, resulting in an enhanced immune response with a favorable safety profile. Varlilumab has also been shown to directly kill or inhibit the growth of CD27 expressing lymphomas and leukemias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We have entered into license agreements with the University of Southampton, UK for intellectual property to use anti-CD27 antibodies and with Medarex (now a subsidiary of the Bristol-Myers Squibb Company, or BMS) for access to the UltiMab technology to develop and commercialize human antibodies to CD27.</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Patient treatment is complete in the open label Phase 1 study of varlilumab in patients with selected malignant solid tumors or hematologic cancers at multiple clinical sites in the U.S. Initial dose escalation cohorts were conducted to determine an optimal dose for future study, and no maximum tolerated dose was reached. The lymphoid malignancies dose escalation arm completed enrollment (n=24), and a new cohort was added to include evaluation of T cell malignancies. An expansion cohort was also added at 0.3 mg/kg dosed once every three weeks in patients with Hodgkin lymphoma (n= up to 15). The solid tumor arm, which included patients with various solid tumors, completed dose escalation in 2013. Two expansion cohorts were subsequently added at 3 mg/kg dosed weekly in metastatic melanoma (n=16) and renal cell carcinoma, or RCC, (n=15) to better characterize clinical activity and further define the safety profile in preparation for combination studies.</w:t>
      </w:r>
    </w:p>
    <w:p>
      <w:pPr>
        <w:spacing w:after="0" w:line="18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presented updated data from this Phase 1 study in November 2014. Varlilumab was very well tolerated and induced immunologic activity in patients that is consistent with both its mechanism of action and preclinical models. A total of 90 patients have been dosed in the study. 56 patients have been dosed in dose escalation cohorts (various solid and hematologic B-cell tumors), and 34 patients have been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Two patients experienced significant objective responses including a complete response in Hodgkin lymphoma (continues at 33.1+ months) and a partial response in renal cell carcinoma of 21.9 months, which evolved to an ongoing complete response that continues at 2.8+ months. Thirteen patients experienced stable disease with a range of 3-41.4+ months (as of April 2016) to-date. Based on the results observed in hematologic malignancies, an expansion cohort in up to 15 patients with Hodgkin lymphoma, and an abbreviated dose escalation in T cell hematologic malignancies were added and are now closed to enrollment. Any incremental data updates from this study will be included in future scientific presentations/publications.</w:t>
      </w:r>
    </w:p>
    <w:p>
      <w:pPr>
        <w:spacing w:after="0" w:line="18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6"/>
          <w:szCs w:val="16"/>
          <w:color w:val="auto"/>
        </w:rPr>
        <w:t>In May 2014, we entered into a clinical trial collaboration with Bristol-Myers Squibb to evaluate the safety, tolerability and preliminary efficacy of varlilumab and Opdivo</w:t>
      </w:r>
      <w:r>
        <w:rPr>
          <w:rFonts w:ascii="Arial" w:cs="Arial" w:eastAsia="Arial" w:hAnsi="Arial"/>
          <w:sz w:val="20"/>
          <w:szCs w:val="20"/>
          <w:color w:val="auto"/>
          <w:vertAlign w:val="superscript"/>
        </w:rPr>
        <w:t>®</w:t>
      </w:r>
      <w:r>
        <w:rPr>
          <w:rFonts w:ascii="Arial" w:cs="Arial" w:eastAsia="Arial" w:hAnsi="Arial"/>
          <w:sz w:val="16"/>
          <w:szCs w:val="16"/>
          <w:color w:val="auto"/>
        </w:rPr>
        <w:t>, Bristol-Myers Squibb’s PD-1 immune checkpoint inhibitor, in a Phase 1/2 study. Under the terms of this clinical trial collaboration, Bristol-Myers Squibb made a one-time payment to us of $5.0 million, and the companies amended the terms of our existing license agreement with Medarex (a subsidiary of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agonist antibody combination regimens. The clinical trial collaboration provides that the companies will share development costs and that we will be responsible for conducting the Phase 1/2 study.</w:t>
      </w:r>
    </w:p>
    <w:p>
      <w:pPr>
        <w:sectPr>
          <w:pgSz w:w="11900" w:h="16838" w:orient="portrait"/>
          <w:cols w:equalWidth="0" w:num="1">
            <w:col w:w="11420"/>
          </w:cols>
          <w:pgMar w:left="240" w:top="125" w:right="239" w:bottom="0" w:gutter="0" w:footer="0" w:header="0"/>
        </w:sectPr>
      </w:pPr>
    </w:p>
    <w:bookmarkStart w:id="12" w:name="page13"/>
    <w:bookmarkEnd w:id="12"/>
    <w:p>
      <w:pPr>
        <w:spacing w:after="0" w:line="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The Phase 1 dose escalation portion of the study, conducted in patients with solid tumors, has completed enrollment (n=36) and primarily enrolled patients with colorectal and ovarian cancer.</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Data was presented from the Phase 1 portion of the varlilumab and nivolumab study in a poster at the American Association for Cancer Research (AACR) Annual Meeting 2016 in April. The primary objective of the Phase 1 portion of the study was to evaluate the safety and tolerability of the combination. The combination showed acceptable tolerability and safety across all dose levels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favorable immune biomarkers, such as increase in inflammatory chemokines and decrease in T regulatory cells, were also noted. In a subset of patients (n=17) on study who had both pre- and post-tumor biopsies available, preliminary evidence suggest a correlation between biomarker data and stable disease or better in seven of these patients (4 ovarian cancer, 2 colorectal cancer, 1 squamous cell carcinoma of the head and neck). All dose levels of the combination therapy showed acceptable tolerability and safety, without identification of a maximum tolerated dose. In the Phase 2 portion of the study, varlilumab will be administered at 3 mg/kg, which is based upon cumulative data across multiple studies.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Phase 2 portion of the study opened to enrollment in April 2016 and includes cohorts in advanced non-small cell lung cancer (n=35), colorectal cancer (n=18), ovarian cancer (n=18), head and neck squamous cell carcinoma (n=18), renal cell carcinoma (n=25) and glioblastoma (n=20). The primary objective of the Phase 2 cohorts will be ORR, except glioblastoma, where the primary objective is the rate of 12-month overall survival. Secondary objectives include pharmacokinetics assessments, determining the immunogenicity of varlilumab when given in combination with Opdivo and further assessing the anti-tumor activity of combination treatment.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March 2015, we entered into a clinical trial collaboration with Roche to evaluate the safety, tolerability and preliminary efficacy of varlilumab and atezolizumab (anti-PDL1), Roche’s investigational cancer immunotherapy, in a Phase 1/2 study. The Phase 1 portion of the study is being conducted in multiple tumor types, and the primary outcome is safety and tolerability. The Phase 2 portion of the study will be conducted in RCC, and the primary outcome is ORR. Secondary outcome measures include safety and tolerability, pharmacokinetics, immunogenicity and further assessment of anti-tumor activity across a broad range of endpoints. Under the terms of this agreement, Roche will provide study drug, and we will be responsible for conducting and funding the study, which opened to enrollment in December 2015.</w:t>
      </w:r>
    </w:p>
    <w:p>
      <w:pPr>
        <w:spacing w:after="0" w:line="19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In April 2015, we initiated a Phase 1/2 safety pilot and expansion study examining the combination of varlilumab and Yervoy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stage III or IV metastatic melanoma. In the Phase 2 portion of the study, patients with tumors that express NY-ESO-1 will also receive CDX-1401. The Phase 1 portion of the study will assess the safety and tolerability of varlilumab at varying doses when administered with Yervoy to identify a recommended dose for the Phase 2 portion of the study. The Phase 2 study will include two cohorts—one comprised of patients who are NY-ESO-1 positive and one comprised of patients who are NY-ESO-1 negative. Patients who are NY-ESO-1 positive will also receive CDX-1401 (with poly-ICLC at 2 mg given as an adjuvant) in addition to varlilumab and Yervoy. The primary objective for both cohorts is objective response rate up to 24 weeks. Secondary objectives for the Phase 2 study include safety and tolerability, immunogenicity, pharmacokinetics and further assessment of anti-tumor activity across a broad range of endpoints.</w:t>
      </w:r>
    </w:p>
    <w:p>
      <w:pPr>
        <w:spacing w:after="0" w:line="203"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In May 2015, we initiated a Phase 1/2 safety and tolerability study examining the combination of varlilumab and sunitinib (Sutent</w:t>
      </w:r>
      <w:r>
        <w:rPr>
          <w:rFonts w:ascii="Arial" w:cs="Arial" w:eastAsia="Arial" w:hAnsi="Arial"/>
          <w:sz w:val="20"/>
          <w:szCs w:val="20"/>
          <w:color w:val="auto"/>
          <w:vertAlign w:val="superscript"/>
        </w:rPr>
        <w:t>®</w:t>
      </w:r>
      <w:r>
        <w:rPr>
          <w:rFonts w:ascii="Arial" w:cs="Arial" w:eastAsia="Arial" w:hAnsi="Arial"/>
          <w:sz w:val="16"/>
          <w:szCs w:val="16"/>
          <w:color w:val="auto"/>
        </w:rPr>
        <w:t>) in patients with metastatic clear cell renal cell carcinoma. The Phase 1 portion of the study will assess the safety and tolerability of varlilumab at varying doses when administered with sunitinib to identify a recommended dose for the Phase 2 portion of the study. The primary objective of the Phase 2 portion of the study is to assess the preliminary anti-tumor efficacy of the varlilumab/sunitinib combination measured by the overall response rate. Secondary objectives include safety and tolerability, pharmacokinetics, immunogenicity and further assessment of anti-tumor activity across a broad range of endpoints.</w:t>
      </w:r>
    </w:p>
    <w:p>
      <w:pPr>
        <w:spacing w:after="0" w:line="17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In addition to our sponsored studies and clinical trial collaborations, we anticipate that varlilumab’s potential activity will also be explored in investigator sponsored studies at various academic institutions.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elicits potent, broad, anti-tumor immune responses across populations with different genetic backgrounds. In humans, NY-ESO-1 has been detected in 20% to 30% of all melanoma, lung, esophageal, liver, gastric, prostate, ovarian and bladder cancers, thus representing a broad opportunity.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We have completed a Phase 1 study of CDX-1401 which assessed the safety, immunogenicity and clinical activity of escalating doses of CDX-1401 with TLR agonists (resiquimod and/or Poly ICLC) in 45 patients with advanced malignancies refractory to all available therapies. Results were published in </w:t>
      </w:r>
      <w:r>
        <w:rPr>
          <w:rFonts w:ascii="Arial" w:cs="Arial" w:eastAsia="Arial" w:hAnsi="Arial"/>
          <w:sz w:val="17"/>
          <w:szCs w:val="17"/>
          <w:i w:val="1"/>
          <w:iCs w:val="1"/>
          <w:color w:val="auto"/>
        </w:rPr>
        <w:t xml:space="preserve">Science Translational Medicine </w:t>
      </w:r>
      <w:r>
        <w:rPr>
          <w:rFonts w:ascii="Arial" w:cs="Arial" w:eastAsia="Arial" w:hAnsi="Arial"/>
          <w:sz w:val="17"/>
          <w:szCs w:val="17"/>
          <w:color w:val="auto"/>
        </w:rPr>
        <w:t>in April 2014. Sixty percent of patients had confirmed NY-ESO expression in archived tumor sample. Thirteen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stable disease for up to 13.4 months with a median of 6.7 months. Treatment was well tolerated, and there were no dose limiting toxicities.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 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We are currently developing a follow on program that will better assess the impact of CDX-1401 activity on response to subsequent checkpoint inhibitor therapy in these diseases.</w:t>
      </w:r>
    </w:p>
    <w:p>
      <w:pPr>
        <w:sectPr>
          <w:pgSz w:w="11900" w:h="16846" w:orient="portrait"/>
          <w:cols w:equalWidth="0" w:num="1">
            <w:col w:w="11400"/>
          </w:cols>
          <w:pgMar w:left="240" w:top="125" w:right="259" w:bottom="0" w:gutter="0" w:footer="0" w:header="0"/>
        </w:sectPr>
      </w:pPr>
    </w:p>
    <w:bookmarkStart w:id="13" w:name="page14"/>
    <w:bookmarkEnd w:id="13"/>
    <w:p>
      <w:pPr>
        <w:spacing w:after="0" w:line="2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Phase 1 study identified a well-tolerated and immunogenic regimen to take forward into future studies. As described above, in April 2015, we initiated a Phase 1/2 safety pilot and expansion study examining the combination of varlilumab and Yervoy in patients with stage III or IV metastatic melanoma. In the Phase 2 portion of the study, patients with tumors that express NY-ESO-1 will also receive CDX-1401.</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addition to our sponsored studies, CDX-1401’s potential activity is also being explored in investigator sponsored and collaborative studies. A Phase 2 study of CDX-1401 in combination with CDX-301 is being conducted in metastatic melanoma by the Cancer Immunotherapy Trials Network under a CRADA with the Cancer Therapy Evaluation Program of the NCI. This study will determine if CDX-1401 works better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now complete. Based on results to date, plans for additional studies are being considered by NCI.</w:t>
      </w:r>
    </w:p>
    <w:p>
      <w:pPr>
        <w:spacing w:after="0" w:line="165"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Additionally, a Phase 1/2b multi-arm study of the IDO1 inhibitor epacadostat (INCB024360) in combination with CDX-1401 and Hiltonol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is being conducted in patients in remission with ovarian, fallopian tube or primary peritoneal cancer by the Roswell Park Cancer Institute. Celldex is providing CDX-1401 and Hiltonol in support of this study. Patients’ tumors must have expressed NY-ESO-1 or the LAGE-1 antigen to be eligible for the study. Primary outcome measures include identifying a maximum tolerated dose determined by the incidence of dose limiting toxicities and progression free survival. Secondary outcome measures include additional safety analyses and immune monitoring.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CDX-301, a recombinant FMS-like tyrosine kinase 3 ligand, or Flt3L, is a potent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 tolerated and can effectively mobilize hematopoietic stem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cell (HSC) populations in healthy volunteers. In December 2013, we announced data from a preclinical combination study of CDX-301 and</w:t>
      </w:r>
    </w:p>
    <w:p>
      <w:pPr>
        <w:spacing w:after="0" w:line="2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(plerixafor injection, formerly AMD3100) demonstrating that the combination of these agents significantly increases hematopoietic stem cell mobilization in mice. The data demonstrate a novel potent cell mobilization regimen combining CDX-301 and Mozobil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which may have significant potential for use in autologous and allogeneic hematopoietic stem cell transplantation.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Related donors of patients with hematological malignancies requiring hematopoietic stem cell transplant are administered CDX-301 for 5 or 7 days alone or in combination with Mozobil to mobilize CD34+ stem cells. The primary efficacy endpoint of the study is determine if treatment of the donor results in the collection of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2 million CD34+ HSCs/kg recipient body weight in </w:t>
      </w:r>
      <w:r>
        <w:rPr>
          <w:rFonts w:ascii="Arial" w:cs="Arial" w:eastAsia="Arial" w:hAnsi="Arial"/>
          <w:sz w:val="16"/>
          <w:szCs w:val="16"/>
          <w:u w:val="single" w:color="auto"/>
          <w:color w:val="auto"/>
        </w:rPr>
        <w:t>&lt;</w:t>
      </w:r>
      <w:r>
        <w:rPr>
          <w:rFonts w:ascii="Arial" w:cs="Arial" w:eastAsia="Arial" w:hAnsi="Arial"/>
          <w:sz w:val="16"/>
          <w:szCs w:val="16"/>
          <w:color w:val="auto"/>
        </w:rPr>
        <w:t xml:space="preserve"> 2 leukopoiesis collections. Other key endpoints are the safety of the treatment regimen in the donor and clinical outcomes in the recipient, including stem cell engraftment, graft-versus-host disease, immune reconstitution and relapse. Preliminary results from this Phase 2 study were presented at the annual meeting of the American Society for Blood and Marrow Transplantation in February 2016. These preliminary data from three donor/patient pairs showed that CDX-301 given as a single agent was well tolerated and effective at mobilizing hematopoietic stem cells in healthy donors. The stem cell graft contained notable increases in naïve lymphocytes and plasmacytoid dendritic cells consistent with preclinical data suggesting a possible better outcome. Recipients experienced successful engraftment in an expected time frame. Given that hematopoietic stem cell transplantation is outside of our core focus, in an effort to prioritize human and capital resources we have decided not to advance CDX-301 in this particular indication at this time.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our sponsored studies and clinical trial collaborations, CDX-301’s potential activity is also being explored in investigator sponsored studies at various academic institutions. This includes a Phase 1/2 study of CDX-301 and Hiltonol in combination with low-dose radiotherapy in patients with low-grade B-cell lymphomas conducted by the Icahn School of Medicine at Mount Sinai. The primary outcome of the study is objective response rate. Secondary outcome measures include safety and tumor specific immune response.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CDX-014 is a fully-human monoclonal ADC that targets T cell immunoglobulin and mucin domain 1, or TIM-1, a molecule that is upregulated in several cancers, including renal cell and ovarian carcinomas. TIM-1 is associated with kidney injury, and the shedding of its ectodomain is a predictive biomarker for tumor progression. TIM-1 has very restricted expression in healthy tissues, making it a promising target for antibody mediated therapy. The TIM-1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The Investigative New Drug (IND) Application is active, and we expect to initiate a Phase 1 clinical study in renal cell carcinoma in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Rintega</w:t>
      </w:r>
    </w:p>
    <w:p>
      <w:pPr>
        <w:spacing w:after="0" w:line="225" w:lineRule="exact"/>
        <w:rPr>
          <w:sz w:val="20"/>
          <w:szCs w:val="20"/>
          <w:color w:val="auto"/>
        </w:rPr>
      </w:pPr>
    </w:p>
    <w:p>
      <w:pPr>
        <w:ind w:right="20" w:firstLine="648"/>
        <w:spacing w:after="0" w:line="280" w:lineRule="auto"/>
        <w:rPr>
          <w:sz w:val="20"/>
          <w:szCs w:val="20"/>
          <w:color w:val="auto"/>
        </w:rPr>
      </w:pPr>
      <w:r>
        <w:rPr>
          <w:rFonts w:ascii="Arial" w:cs="Arial" w:eastAsia="Arial" w:hAnsi="Arial"/>
          <w:sz w:val="16"/>
          <w:szCs w:val="16"/>
          <w:color w:val="auto"/>
        </w:rPr>
        <w:t>On March 7, 2016, we announced that our Phase 3 study of Rintega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patients with newly diagnosed EGFRvIII-positive glioblastoma was being discontinued. This decision was made based on the outcome of a preplanned interim analysis conducted by an independent Data Safety and Monitoring Board (DSMB). The DSMB determined that continuation of the study would not result in reaching statistical significance for the primary endpoint of the study, overall survival in patients with minimal residual disease, as both the Rintega arm and the control arm were performing on par with each other. In the ACT IV study, Rintega performed consistently with prior Phase 2 studies but the control arm significantly outperformed expectations (Hazard ratio = 0.99; median OS: Rintega 20.4 months vs. control 21.1 months). Based on this recommendation, we discontinued the study and do not anticipate incurring substantial additional costs related to Rintega at this time. All patients on the Rintega arm of the ACT IV study, prior Phase 2 studies and existing compassionate use</w:t>
      </w:r>
    </w:p>
    <w:p>
      <w:pPr>
        <w:sectPr>
          <w:pgSz w:w="11900" w:h="16859" w:orient="portrait"/>
          <w:cols w:equalWidth="0" w:num="1">
            <w:col w:w="11420"/>
          </w:cols>
          <w:pgMar w:left="240" w:top="341" w:right="239" w:bottom="0" w:gutter="0" w:footer="0" w:header="0"/>
        </w:sectPr>
      </w:pPr>
    </w:p>
    <w:bookmarkStart w:id="14" w:name="page15"/>
    <w:bookmarkEnd w:id="14"/>
    <w:p>
      <w:pPr>
        <w:ind w:right="120"/>
        <w:spacing w:after="0" w:line="277" w:lineRule="auto"/>
        <w:rPr>
          <w:sz w:val="20"/>
          <w:szCs w:val="20"/>
          <w:color w:val="auto"/>
        </w:rPr>
      </w:pPr>
      <w:r>
        <w:rPr>
          <w:rFonts w:ascii="Arial" w:cs="Arial" w:eastAsia="Arial" w:hAnsi="Arial"/>
          <w:sz w:val="18"/>
          <w:szCs w:val="18"/>
          <w:color w:val="auto"/>
        </w:rPr>
        <w:t>recipients were offered ongoing access to Rintega on a compassionate use basis. We are in the process of conducting a thorough analysis of the data. It is our goal to share this information either through scientific publication or at a medical meeting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critical accounting policies are more fully described in Note 2 to our financial statements included in our Annual Report on Form 10-K/A for the year ended December 31, 2015 and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with Three Months Ended March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5"/>
              </w:rPr>
              <w:t>Increase/(Decrease)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3"/>
          </w:tcPr>
          <w:p>
            <w:pPr>
              <w:jc w:val="right"/>
              <w:ind w:right="125"/>
              <w:spacing w:after="0" w:line="142"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7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3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70"/>
        </w:trPr>
        <w:tc>
          <w:tcPr>
            <w:tcW w:w="4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27,447</w:t>
            </w: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25,125</w:t>
            </w: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2,322</w:t>
            </w:r>
          </w:p>
        </w:tc>
        <w:tc>
          <w:tcPr>
            <w:tcW w:w="7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420" w:type="dxa"/>
            <w:vAlign w:val="bottom"/>
          </w:tcPr>
          <w:p>
            <w:pPr>
              <w:spacing w:after="0"/>
              <w:rPr>
                <w:sz w:val="18"/>
                <w:szCs w:val="18"/>
                <w:color w:val="auto"/>
              </w:rPr>
            </w:pPr>
          </w:p>
        </w:tc>
        <w:tc>
          <w:tcPr>
            <w:tcW w:w="17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37,007</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(35,704)</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(30,981)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$4.5 million increase in net loss for the three months ended March 31, 2016 compared to the three months ended March 31, 2015 was primarily the result of an increase in research and development and general and administrative expenses, partially offset by an increase in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$0.1 million increase in product development and licensing agreements revenue for the three months ended March 31, 2016 compared to the three months ended March 31, 2015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 $0.7 million increase in contracts and grants revenue for the three months ended March 31, 2016 compared to the three months ended March 31, 2015 was primarily related to our Rockefeller University agreement pursuant to which we perform research and development services for Rockefeller and an increase in grant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Increase/(Decrease)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1235"/>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2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8,832</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6,546</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2,286</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783</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1,165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(382)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1,493</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149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License Fees</w:t>
            </w: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(103)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4"/>
              </w:rPr>
              <w:t>14,008</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14,535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(527)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payroll taxes and recruiting costs. The $2.3 million increase in personnel expenses for the three months ended March 31, 2016 compared to the three months ended March 31, 2015 was primarily due to increased headcount and higher stock-based compensation of $0.5 million. We expect personnel expenses to remain relatively consistent over the next twelve months, although there may be fluctuations on a quarterly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Laboratory supply expenses include laboratory materials and supplies, services, and other related expenses incurred in the development of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technology. The $0.4 million decrease in laboratory supply expense for the three months ended March 31, 2016 compared to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2015 was primarily due to lower manufacturing supply purchases. We expect supply expenses to remain relatively consistent over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although there may be fluctuations on a quarterly basis.</w:t>
      </w:r>
    </w:p>
    <w:p>
      <w:pPr>
        <w:sectPr>
          <w:pgSz w:w="11900" w:h="16838" w:orient="portrait"/>
          <w:cols w:equalWidth="0" w:num="1">
            <w:col w:w="11420"/>
          </w:cols>
          <w:pgMar w:left="240" w:top="125" w:right="239" w:bottom="271"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$0.1 million </w:t>
      </w:r>
      <w:r>
        <w:rPr>
          <w:rFonts w:ascii="Arial" w:cs="Arial" w:eastAsia="Arial" w:hAnsi="Arial"/>
          <w:sz w:val="17"/>
          <w:szCs w:val="17"/>
          <w:color w:val="auto"/>
        </w:rPr>
        <w:t>increase in facility expenses for the three months ended March 31, 2016 compared to the three months ended March 31, 2015 was primarily due to</w:t>
      </w:r>
      <w:r>
        <w:rPr>
          <w:rFonts w:ascii="Arial" w:cs="Arial" w:eastAsia="Arial" w:hAnsi="Arial"/>
          <w:sz w:val="18"/>
          <w:szCs w:val="18"/>
          <w:color w:val="auto"/>
        </w:rPr>
        <w:t xml:space="preserve"> </w:t>
      </w:r>
      <w:r>
        <w:rPr>
          <w:rFonts w:ascii="Arial" w:cs="Arial" w:eastAsia="Arial" w:hAnsi="Arial"/>
          <w:sz w:val="17"/>
          <w:szCs w:val="17"/>
          <w:color w:val="auto"/>
        </w:rPr>
        <w:t xml:space="preserve">leases for additional space we entered into during the past year. We expect </w:t>
      </w:r>
      <w:r>
        <w:rPr>
          <w:rFonts w:ascii="Arial" w:cs="Arial" w:eastAsia="Arial" w:hAnsi="Arial"/>
          <w:sz w:val="18"/>
          <w:szCs w:val="18"/>
          <w:color w:val="auto"/>
        </w:rPr>
        <w:t>facility expenses to remain relatively consistent over the next twelve months,</w:t>
      </w:r>
      <w:r>
        <w:rPr>
          <w:rFonts w:ascii="Arial" w:cs="Arial" w:eastAsia="Arial" w:hAnsi="Arial"/>
          <w:sz w:val="17"/>
          <w:szCs w:val="17"/>
          <w:color w:val="auto"/>
        </w:rPr>
        <w:t xml:space="preserve"> </w:t>
      </w:r>
      <w:r>
        <w:rPr>
          <w:rFonts w:ascii="Arial" w:cs="Arial" w:eastAsia="Arial" w:hAnsi="Arial"/>
          <w:sz w:val="18"/>
          <w:szCs w:val="18"/>
          <w:color w:val="auto"/>
        </w:rPr>
        <w:t>although there may be fluctuations on a quarterly basis.</w:t>
      </w:r>
    </w:p>
    <w:p>
      <w:pPr>
        <w:spacing w:after="0" w:line="19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License fee expenses include annual license maintenance fees and milestone payments due upon the achievement of certain development, regulatory and/or commercial milestones. The $0.1 million decrease in license fee expenses for the three months ended March 31, 2016 compared to the three months ended March 31, </w:t>
      </w:r>
      <w:r>
        <w:rPr>
          <w:rFonts w:ascii="Arial" w:cs="Arial" w:eastAsia="Arial" w:hAnsi="Arial"/>
          <w:sz w:val="16"/>
          <w:szCs w:val="16"/>
          <w:color w:val="auto"/>
        </w:rPr>
        <w:t>2015 was due to the timing of certain development and/or regulatory milestones achieved by our drug candidates. We expect</w:t>
      </w:r>
      <w:r>
        <w:rPr>
          <w:rFonts w:ascii="Arial" w:cs="Arial" w:eastAsia="Arial" w:hAnsi="Arial"/>
          <w:sz w:val="17"/>
          <w:szCs w:val="17"/>
          <w:color w:val="auto"/>
        </w:rPr>
        <w:t xml:space="preserve"> license fee expense to remain relatively consistent over the next twelve months, although there may be fluctuations on a quarterly basis.</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Product development expenses include clinical investigator site fees, external trial monitoring costs, data accumulation costs, contracted research and outside clinical drug product manufacturing. The $0.5 million decrease in product development expenses for the three months ended March 31, 2016 compared to the three months ended March 31, 2015 was primarily the result of a decrease in clinical trial costs of $2.6 million primarily related to decreases in Rintega ACT IV costs of $3.9 million, partially offset by increases in glembatumumab vedotin and varlilumab clinical trial costs of $1.1 million. An increase in contract manufacturing of $1.4 million was primarily the result of a non-cash expense of $1.6 million related to Rintega supply costs we had initially recorded as a prepaid asset in connection with its </w:t>
      </w:r>
      <w:r>
        <w:rPr>
          <w:rFonts w:ascii="Arial" w:cs="Arial" w:eastAsia="Arial" w:hAnsi="Arial"/>
          <w:sz w:val="16"/>
          <w:szCs w:val="16"/>
          <w:color w:val="auto"/>
        </w:rPr>
        <w:t>amended and restated supply agreement with Biosyn Corporation. An increase in contract diagnostics</w:t>
      </w:r>
      <w:r>
        <w:rPr>
          <w:rFonts w:ascii="Arial" w:cs="Arial" w:eastAsia="Arial" w:hAnsi="Arial"/>
          <w:sz w:val="17"/>
          <w:szCs w:val="17"/>
          <w:color w:val="auto"/>
        </w:rPr>
        <w:t xml:space="preserve"> </w:t>
      </w:r>
      <w:r>
        <w:rPr>
          <w:rFonts w:ascii="Arial" w:cs="Arial" w:eastAsia="Arial" w:hAnsi="Arial"/>
          <w:sz w:val="16"/>
          <w:szCs w:val="16"/>
          <w:color w:val="auto"/>
        </w:rPr>
        <w:t xml:space="preserve">of $0.8 million was primarily related to the Rintega program. </w:t>
      </w:r>
      <w:r>
        <w:rPr>
          <w:rFonts w:ascii="Arial" w:cs="Arial" w:eastAsia="Arial" w:hAnsi="Arial"/>
          <w:sz w:val="17"/>
          <w:szCs w:val="17"/>
          <w:color w:val="auto"/>
        </w:rPr>
        <w:t>We expect product development expenses to decrease over the next twelve months due to the</w:t>
      </w:r>
      <w:r>
        <w:rPr>
          <w:rFonts w:ascii="Arial" w:cs="Arial" w:eastAsia="Arial" w:hAnsi="Arial"/>
          <w:sz w:val="16"/>
          <w:szCs w:val="16"/>
          <w:color w:val="auto"/>
        </w:rPr>
        <w:t xml:space="preserve"> </w:t>
      </w:r>
      <w:r>
        <w:rPr>
          <w:rFonts w:ascii="Arial" w:cs="Arial" w:eastAsia="Arial" w:hAnsi="Arial"/>
          <w:sz w:val="17"/>
          <w:szCs w:val="17"/>
          <w:color w:val="auto"/>
        </w:rPr>
        <w:t>discontinuation of the Rintega program, which impact will be partially offset by increased expenses in our glembatumumab vedotin and varlilumab programs, although there may be fluctuations on a quarterly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$3.2 million increase in general and administrative expenses for the three months ended March 31, 2016 compared to the three months ended March 31, 2015 was primarily due to higher stock-based compensation of $1.1 million, increased headcount and Rintega and glembatumumab vedotin commercial planning costs. We expect general and administrative expense to decrease over the next twelve months primarily due to a decrease in Rintega commercial planning costs, although there may be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expenses for the three months ended March 31, 2016 were relatively consistent compared to the three months ended March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amortization expense of acquired intangible assets to remain relatively consistent over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$0.2 million increase in investment and other income, net for the three months ended March 31, 2016 compared to the three months ended March 31, 2015 was primarily due to higher levels of cash and investment balances compared to prior year. We anticipate investment income to decrease over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March 31, 2016, our principal sources of liquidity consisted of cash, cash equivalents and marketable securities of $254.0 million. We incurred a net loss of $34.7 million for the three months ended March 31, 2016. Net cash used in operations for the three months ended March 31, 2016 was $34.9 million. We believe that the cash, cash equivalents and marketable securities at March 31, 2016 are sufficient to meet estimated working capital requirements and fund planned operations through the first half of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ectPr>
          <w:pgSz w:w="11900" w:h="16838" w:orient="portrait"/>
          <w:cols w:equalWidth="0" w:num="1">
            <w:col w:w="11420"/>
          </w:cols>
          <w:pgMar w:left="240" w:top="125" w:right="239" w:bottom="100" w:gutter="0" w:footer="0" w:header="0"/>
        </w:sectPr>
      </w:pPr>
    </w:p>
    <w:bookmarkStart w:id="16" w:name="page17"/>
    <w:bookmarkEnd w:id="16"/>
    <w:p>
      <w:pPr>
        <w:jc w:val="both"/>
        <w:ind w:right="160" w:firstLine="648"/>
        <w:spacing w:after="0" w:line="286" w:lineRule="auto"/>
        <w:rPr>
          <w:sz w:val="20"/>
          <w:szCs w:val="20"/>
          <w:color w:val="auto"/>
        </w:rPr>
      </w:pPr>
      <w:r>
        <w:rPr>
          <w:rFonts w:ascii="Arial" w:cs="Arial" w:eastAsia="Arial" w:hAnsi="Arial"/>
          <w:sz w:val="17"/>
          <w:szCs w:val="17"/>
          <w:color w:val="auto"/>
        </w:rPr>
        <w:t>Net cash used in operating activities was $34.9 million for the three months ended March 31, 2016 compared to $32.6 million for the three months ended March 31, 2015. The increase in net cash used in operating activities was primarily due to an increase in net loss of $4.5 million. We expect that cash used in operating activities will decrease over the next twelve months primarily related to the discontinuation of the Rintega program.</w:t>
      </w:r>
    </w:p>
    <w:p>
      <w:pPr>
        <w:spacing w:after="0" w:line="166"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Net cash used in operating activities was $32.6 million for the three months ended March 31, 2015 compared to $31.9 million for the three months ended March 31, 2014. The increase in net cash used in operating activities was primarily due to an increase in net loss of $0.3 million.</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Net cash provided by investing activities was $25.5 million for the three months ended March 31, 2016 compared to net cash used in investing activities of $65.0 million for the three months ended March 31, 2015. The increase in net cash provided by investing activities was primarily due to $26.1 million of net sales and maturities of marketable securities for the three months ended March 31, 2016 compared to $63.5 million of net purchases of marketable securities for the three months ended March 31, 2015.</w:t>
      </w:r>
    </w:p>
    <w:p>
      <w:pPr>
        <w:spacing w:after="0" w:line="1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Net cash used in investing activities was $65.0 million for the three months ended March 31, 2015 compared to $81.3 million for the three months ended March 31, 2014. The increase in net cash used in investing activities was primarily due to $63.5 million of net purchases of marketable securities for the three months ended March 31, 2015 compared to $81.1 million for the three months ended March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Net cash provided by financing activities was $0.3 million for the three months ended March 31, 2016 compared to $191.8 million for the three months ended March 31, 2015. During the three months ended March 31, 2015, we issued 8,337,500 shares of our common stock in an underwritten public offering resulting in net proceeds to us of $188.8 million, after deducting underwriting fees and offering expenses. Net proceeds from stock issuances pursuant to employee benefit plans were $0.3 million during the three months ended March 31, 2016 compared to $3.0 million for the three months ended March 31, 2015.</w:t>
      </w:r>
    </w:p>
    <w:p>
      <w:pPr>
        <w:spacing w:after="0" w:line="18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Net cash provided by financing activities was $191.8 million for the three months ended March 31, 2015 compared to $0.7 million for the three months ended March 31, 2014. Net proceeds from stock issuances pursuant to employee benefit plans were $3.0 million during the three months ended March 31, 2015 compared to $0.7 million for the three months ended March 31,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10-K/A for the year ended December 31, 2015 which was filed with the SEC on February 25, 2016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Refer to Note 2, “Significant Accounting Policies,” in the accompanying notes to the condensed consolidated financial statements for a discussion of recent accounting pronouncements.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2016 due to the short-term maturities of these instruments.</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March 31, 2016,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2016.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ectPr>
          <w:pgSz w:w="11900" w:h="16838" w:orient="portrait"/>
          <w:cols w:equalWidth="0" w:num="1">
            <w:col w:w="11420"/>
          </w:cols>
          <w:pgMar w:left="240" w:top="125" w:right="239" w:bottom="0" w:gutter="0" w:footer="0" w:header="0"/>
        </w:sectPr>
      </w:pPr>
    </w:p>
    <w:bookmarkStart w:id="17" w:name="page18"/>
    <w:bookmarkEnd w:id="17"/>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2016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10-K/A for the year ended December 31, 2015, which could materially affect our business, financial condition or future results. The risks described in our Annual Report on Form 10-K/A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10-K/A filed with the Securities and Exchange Commission on February 25,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2"/>
          </w:tcPr>
          <w:p>
            <w:pPr>
              <w:jc w:val="right"/>
              <w:ind w:right="5548"/>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r>
      <w:tr>
        <w:trPr>
          <w:trHeight w:val="132"/>
        </w:trPr>
        <w:tc>
          <w:tcPr>
            <w:tcW w:w="10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20" w:type="dxa"/>
            <w:vAlign w:val="bottom"/>
            <w:gridSpan w:val="3"/>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2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04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4"/>
                <w:szCs w:val="14"/>
                <w:b w:val="1"/>
                <w:bCs w:val="1"/>
                <w:color w:val="auto"/>
              </w:rPr>
              <w:t>Item 6.</w:t>
            </w: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auto"/>
            </w:tcBorders>
          </w:tcPr>
          <w:p>
            <w:pPr>
              <w:jc w:val="right"/>
              <w:ind w:right="4708"/>
              <w:spacing w:after="0"/>
              <w:rPr>
                <w:sz w:val="20"/>
                <w:szCs w:val="20"/>
                <w:color w:val="auto"/>
              </w:rPr>
            </w:pPr>
            <w:r>
              <w:rPr>
                <w:rFonts w:ascii="Arial" w:cs="Arial" w:eastAsia="Arial" w:hAnsi="Arial"/>
                <w:sz w:val="14"/>
                <w:szCs w:val="14"/>
                <w:b w:val="1"/>
                <w:bCs w:val="1"/>
                <w:color w:val="auto"/>
              </w:rPr>
              <w:t>Exhibits</w:t>
            </w:r>
          </w:p>
        </w:tc>
        <w:tc>
          <w:tcPr>
            <w:tcW w:w="40" w:type="dxa"/>
            <w:vAlign w:val="bottom"/>
          </w:tcPr>
          <w:p>
            <w:pPr>
              <w:spacing w:after="0"/>
              <w:rPr>
                <w:sz w:val="24"/>
                <w:szCs w:val="24"/>
                <w:color w:val="auto"/>
              </w:rPr>
            </w:pPr>
          </w:p>
        </w:tc>
      </w:tr>
      <w:tr>
        <w:trPr>
          <w:trHeight w:val="411"/>
        </w:trPr>
        <w:tc>
          <w:tcPr>
            <w:tcW w:w="1040" w:type="dxa"/>
            <w:vAlign w:val="bottom"/>
          </w:tcPr>
          <w:p>
            <w:pPr>
              <w:ind w:left="1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7"/>
              </w:rPr>
              <w:t>Third Restated Certificate of Incorporation of the Company, incorporated by reference to Exhibit 3.1 of the Company’s Registration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2"/>
              </w:rPr>
              <w:t>Company’s Registration Statement on Form S-4 (Reg. No. 333-59215), filed July 16, 1998 with the Securities and Exchange Commission.</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3"/>
              </w:rPr>
              <w:t>Second Certificate of Amendment of Third Restated Certificate of Incorporation of the Company, incorporated by reference to Exhibit 3.2</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7"/>
              </w:rPr>
              <w:t>of the Company’s Registration Statement on Form S-4 (Reg. No. 333-59215), filed July 16, 1998 with the Securities and Exchange</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Commission.</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 of</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 of</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Section 1350 Certifications</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4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-4057650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40" w:hanging="1152"/>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40" w:hanging="1152"/>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5, 2016</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5, 2016</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Treasurer and Chief Financial</w:t>
      </w:r>
    </w:p>
    <w:p>
      <w:pPr>
        <w:sectPr>
          <w:pgSz w:w="11900" w:h="16875" w:orient="portrait"/>
          <w:cols w:equalWidth="0" w:num="1">
            <w:col w:w="11460"/>
          </w:cols>
          <w:pgMar w:left="240" w:top="125"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60" w:type="dxa"/>
            <w:vAlign w:val="bottom"/>
            <w:gridSpan w:val="2"/>
          </w:tcPr>
          <w:p>
            <w:pPr>
              <w:ind w:left="42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60" w:type="dxa"/>
            <w:vAlign w:val="bottom"/>
            <w:gridSpan w:val="2"/>
          </w:tcPr>
          <w:p>
            <w:pPr>
              <w:ind w:left="42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996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9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9"/>
              </w:rPr>
              <w:t>Second Certificate of Amendment of Third Restated Certificate of Incorporation of the Company, incorporated by reference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Exhibit 3.2 of the Company’s Registration Statement on Form S-4 (Reg. No. 333-59215), filed July 16, 1998 with the Securities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Third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Sixth Certificate of Amendment of Third Restated Certificate of Incorporation of the Company, incorporated by reference to Exhibit 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of 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-4426585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-4426585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500" w:hanging="1312"/>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500" w:hanging="1312"/>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5, 2016</w:t>
            </w:r>
          </w:p>
        </w:tc>
        <w:tc>
          <w:tcPr>
            <w:tcW w:w="2940" w:type="dxa"/>
            <w:vAlign w:val="bottom"/>
          </w:tcPr>
          <w:p>
            <w:pPr>
              <w:ind w:left="21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94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88"/>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5, 2016</w:t>
            </w:r>
          </w:p>
        </w:tc>
        <w:tc>
          <w:tcPr>
            <w:tcW w:w="28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540" w:type="dxa"/>
            <w:vAlign w:val="bottom"/>
          </w:tcPr>
          <w:p>
            <w:pPr>
              <w:spacing w:after="0"/>
              <w:rPr>
                <w:sz w:val="16"/>
                <w:szCs w:val="16"/>
                <w:color w:val="auto"/>
              </w:rPr>
            </w:pPr>
          </w:p>
        </w:tc>
        <w:tc>
          <w:tcPr>
            <w:tcW w:w="286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8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May 5, 2016</w:t>
            </w:r>
          </w:p>
        </w:tc>
        <w:tc>
          <w:tcPr>
            <w:tcW w:w="2940" w:type="dxa"/>
            <w:vAlign w:val="bottom"/>
          </w:tcPr>
          <w:p>
            <w:pPr>
              <w:ind w:left="21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40" w:type="dxa"/>
            <w:vAlign w:val="bottom"/>
          </w:tcPr>
          <w:p>
            <w:pPr>
              <w:spacing w:after="0"/>
              <w:rPr>
                <w:sz w:val="16"/>
                <w:szCs w:val="16"/>
                <w:color w:val="auto"/>
              </w:rPr>
            </w:pPr>
          </w:p>
        </w:tc>
        <w:tc>
          <w:tcPr>
            <w:tcW w:w="294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40" w:type="dxa"/>
            <w:vAlign w:val="bottom"/>
          </w:tcPr>
          <w:p>
            <w:pPr>
              <w:spacing w:after="0"/>
              <w:rPr>
                <w:sz w:val="20"/>
                <w:szCs w:val="20"/>
                <w:color w:val="auto"/>
              </w:rPr>
            </w:pPr>
          </w:p>
        </w:tc>
        <w:tc>
          <w:tcPr>
            <w:tcW w:w="2940" w:type="dxa"/>
            <w:vAlign w:val="bottom"/>
          </w:tcPr>
          <w:p>
            <w:pPr>
              <w:ind w:left="21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5, 2016</w:t>
            </w:r>
          </w:p>
        </w:tc>
        <w:tc>
          <w:tcPr>
            <w:tcW w:w="2940" w:type="dxa"/>
            <w:vAlign w:val="bottom"/>
          </w:tcPr>
          <w:p>
            <w:pPr>
              <w:ind w:left="21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540" w:type="dxa"/>
            <w:vAlign w:val="bottom"/>
          </w:tcPr>
          <w:p>
            <w:pPr>
              <w:spacing w:after="0"/>
              <w:rPr>
                <w:sz w:val="16"/>
                <w:szCs w:val="16"/>
                <w:color w:val="auto"/>
              </w:rPr>
            </w:pPr>
          </w:p>
        </w:tc>
        <w:tc>
          <w:tcPr>
            <w:tcW w:w="2940" w:type="dxa"/>
            <w:vAlign w:val="bottom"/>
          </w:tcPr>
          <w:p>
            <w:pPr>
              <w:ind w:left="21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540" w:type="dxa"/>
            <w:vAlign w:val="bottom"/>
          </w:tcPr>
          <w:p>
            <w:pPr>
              <w:spacing w:after="0"/>
              <w:rPr>
                <w:sz w:val="18"/>
                <w:szCs w:val="18"/>
                <w:color w:val="auto"/>
              </w:rPr>
            </w:pPr>
          </w:p>
        </w:tc>
        <w:tc>
          <w:tcPr>
            <w:tcW w:w="2940" w:type="dxa"/>
            <w:vAlign w:val="bottom"/>
          </w:tcPr>
          <w:p>
            <w:pPr>
              <w:ind w:left="21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5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upperLetter"/>
      <w:start w:val="6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2019-12-29T12:42:26Z</dcterms:created>
  <dcterms:modified xsi:type="dcterms:W3CDTF">2019-12-29T12:42:26Z</dcterms:modified>
</cp:coreProperties>
</file>