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28, 2011, 32,555,382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Three Months Ended March 31, 2011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4"/>
          <w:szCs w:val="24"/>
          <w:color w:val="auto"/>
        </w:rPr>
      </w:pPr>
    </w:p>
    <w:p>
      <w:pPr>
        <w:ind w:left="1078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6634480</wp:posOffset>
            </wp:positionH>
            <wp:positionV relativeFrom="paragraph">
              <wp:posOffset>20955</wp:posOffset>
            </wp:positionV>
            <wp:extent cx="617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I—Financial Information</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at March 31, 2011 and December 31, 2010</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Operations for the Three Months Ended March 31, 2011 and 2010</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for the Three Months Ended March 31, 2011 and 2010</w:t>
              </w:r>
            </w:hyperlink>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312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2. Management’s Discussion and Analysis of Financial Condition and Results of Operations</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tcBorders>
              <w:top w:val="single" w:sz="8" w:color="0000EE"/>
            </w:tcBorders>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 Quantitative and Qualitative Disclosures About Market Risk</w:t>
              </w:r>
            </w:hyperlink>
          </w:p>
        </w:tc>
        <w:tc>
          <w:tcPr>
            <w:tcW w:w="9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4"/>
          </w:tcPr>
          <w:p>
            <w:pPr>
              <w:spacing w:after="0"/>
              <w:rPr>
                <w:sz w:val="24"/>
                <w:szCs w:val="24"/>
                <w:color w:val="auto"/>
              </w:rPr>
            </w:pPr>
          </w:p>
        </w:tc>
        <w:tc>
          <w:tcPr>
            <w:tcW w:w="300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8100" w:type="dxa"/>
            <w:vAlign w:val="bottom"/>
            <w:gridSpan w:val="20"/>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Item 1. Legal Proceedings</w:t>
              </w:r>
            </w:hyperlink>
          </w:p>
        </w:tc>
        <w:tc>
          <w:tcPr>
            <w:tcW w:w="160" w:type="dxa"/>
            <w:vAlign w:val="bottom"/>
            <w:tcBorders>
              <w:top w:val="single" w:sz="8" w:color="0000EE"/>
            </w:tcBorders>
          </w:tcPr>
          <w:p>
            <w:pPr>
              <w:spacing w:after="0"/>
              <w:rPr>
                <w:sz w:val="24"/>
                <w:szCs w:val="24"/>
                <w:color w:val="auto"/>
              </w:rPr>
            </w:pPr>
          </w:p>
        </w:tc>
        <w:tc>
          <w:tcPr>
            <w:tcW w:w="5860" w:type="dxa"/>
            <w:vAlign w:val="bottom"/>
            <w:gridSpan w:val="10"/>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1A. Risk Factors</w:t>
              </w:r>
            </w:hyperlink>
          </w:p>
        </w:tc>
        <w:tc>
          <w:tcPr>
            <w:tcW w:w="6320" w:type="dxa"/>
            <w:vAlign w:val="bottom"/>
            <w:gridSpan w:val="12"/>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6. Exhibits</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6760" w:type="dxa"/>
            <w:vAlign w:val="bottom"/>
            <w:gridSpan w:val="13"/>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 Index</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3"/>
          </w:tcPr>
          <w:p>
            <w:pPr>
              <w:spacing w:after="0"/>
              <w:rPr>
                <w:sz w:val="24"/>
                <w:szCs w:val="24"/>
                <w:color w:val="auto"/>
              </w:rPr>
            </w:pPr>
          </w:p>
        </w:tc>
        <w:tc>
          <w:tcPr>
            <w:tcW w:w="5060" w:type="dxa"/>
            <w:vAlign w:val="bottom"/>
            <w:gridSpan w:val="11"/>
          </w:tcPr>
          <w:p>
            <w:pPr>
              <w:jc w:val="center"/>
              <w:ind w:left="3910"/>
              <w:spacing w:after="0"/>
              <w:rPr>
                <w:sz w:val="20"/>
                <w:szCs w:val="20"/>
                <w:color w:val="auto"/>
              </w:rPr>
            </w:pPr>
            <w:r>
              <w:rPr>
                <w:rFonts w:ascii="Arial" w:cs="Arial" w:eastAsia="Arial" w:hAnsi="Arial"/>
                <w:sz w:val="18"/>
                <w:szCs w:val="18"/>
                <w:color w:val="auto"/>
                <w:w w:val="99"/>
              </w:rPr>
              <w:t>2</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10101"/>
            </w:tcBorders>
          </w:tcPr>
          <w:p>
            <w:pPr>
              <w:spacing w:after="0"/>
              <w:rPr>
                <w:sz w:val="9"/>
                <w:szCs w:val="9"/>
                <w:color w:val="auto"/>
              </w:rPr>
            </w:pPr>
          </w:p>
        </w:tc>
        <w:tc>
          <w:tcPr>
            <w:tcW w:w="180" w:type="dxa"/>
            <w:vAlign w:val="bottom"/>
            <w:tcBorders>
              <w:bottom w:val="single" w:sz="8" w:color="010101"/>
            </w:tcBorders>
          </w:tcPr>
          <w:p>
            <w:pPr>
              <w:spacing w:after="0"/>
              <w:rPr>
                <w:sz w:val="9"/>
                <w:szCs w:val="9"/>
                <w:color w:val="auto"/>
              </w:rPr>
            </w:pPr>
          </w:p>
        </w:tc>
        <w:tc>
          <w:tcPr>
            <w:tcW w:w="400" w:type="dxa"/>
            <w:vAlign w:val="bottom"/>
            <w:tcBorders>
              <w:bottom w:val="single" w:sz="8" w:color="010101"/>
            </w:tcBorders>
          </w:tcPr>
          <w:p>
            <w:pPr>
              <w:spacing w:after="0"/>
              <w:rPr>
                <w:sz w:val="9"/>
                <w:szCs w:val="9"/>
                <w:color w:val="auto"/>
              </w:rPr>
            </w:pPr>
          </w:p>
        </w:tc>
        <w:tc>
          <w:tcPr>
            <w:tcW w:w="340" w:type="dxa"/>
            <w:vAlign w:val="bottom"/>
            <w:tcBorders>
              <w:bottom w:val="single" w:sz="8" w:color="010101"/>
            </w:tcBorders>
          </w:tcPr>
          <w:p>
            <w:pPr>
              <w:spacing w:after="0"/>
              <w:rPr>
                <w:sz w:val="9"/>
                <w:szCs w:val="9"/>
                <w:color w:val="auto"/>
              </w:rPr>
            </w:pPr>
          </w:p>
        </w:tc>
        <w:tc>
          <w:tcPr>
            <w:tcW w:w="240" w:type="dxa"/>
            <w:vAlign w:val="bottom"/>
            <w:tcBorders>
              <w:bottom w:val="single" w:sz="8" w:color="010101"/>
            </w:tcBorders>
          </w:tcPr>
          <w:p>
            <w:pPr>
              <w:spacing w:after="0"/>
              <w:rPr>
                <w:sz w:val="9"/>
                <w:szCs w:val="9"/>
                <w:color w:val="auto"/>
              </w:rPr>
            </w:pPr>
          </w:p>
        </w:tc>
        <w:tc>
          <w:tcPr>
            <w:tcW w:w="100" w:type="dxa"/>
            <w:vAlign w:val="bottom"/>
            <w:tcBorders>
              <w:bottom w:val="single" w:sz="8" w:color="010101"/>
            </w:tcBorders>
          </w:tcPr>
          <w:p>
            <w:pPr>
              <w:spacing w:after="0"/>
              <w:rPr>
                <w:sz w:val="9"/>
                <w:szCs w:val="9"/>
                <w:color w:val="auto"/>
              </w:rPr>
            </w:pPr>
          </w:p>
        </w:tc>
        <w:tc>
          <w:tcPr>
            <w:tcW w:w="60" w:type="dxa"/>
            <w:vAlign w:val="bottom"/>
            <w:tcBorders>
              <w:bottom w:val="single" w:sz="8" w:color="010101"/>
            </w:tcBorders>
          </w:tcPr>
          <w:p>
            <w:pPr>
              <w:spacing w:after="0"/>
              <w:rPr>
                <w:sz w:val="9"/>
                <w:szCs w:val="9"/>
                <w:color w:val="auto"/>
              </w:rPr>
            </w:pPr>
          </w:p>
        </w:tc>
        <w:tc>
          <w:tcPr>
            <w:tcW w:w="440" w:type="dxa"/>
            <w:vAlign w:val="bottom"/>
            <w:tcBorders>
              <w:bottom w:val="single" w:sz="8" w:color="010101"/>
            </w:tcBorders>
          </w:tcPr>
          <w:p>
            <w:pPr>
              <w:spacing w:after="0"/>
              <w:rPr>
                <w:sz w:val="9"/>
                <w:szCs w:val="9"/>
                <w:color w:val="auto"/>
              </w:rPr>
            </w:pPr>
          </w:p>
        </w:tc>
        <w:tc>
          <w:tcPr>
            <w:tcW w:w="30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280" w:type="dxa"/>
            <w:vAlign w:val="bottom"/>
            <w:tcBorders>
              <w:bottom w:val="single" w:sz="8" w:color="010101"/>
            </w:tcBorders>
          </w:tcPr>
          <w:p>
            <w:pPr>
              <w:spacing w:after="0"/>
              <w:rPr>
                <w:sz w:val="9"/>
                <w:szCs w:val="9"/>
                <w:color w:val="auto"/>
              </w:rPr>
            </w:pPr>
          </w:p>
        </w:tc>
        <w:tc>
          <w:tcPr>
            <w:tcW w:w="520" w:type="dxa"/>
            <w:vAlign w:val="bottom"/>
            <w:tcBorders>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1920" w:type="dxa"/>
            <w:vAlign w:val="bottom"/>
            <w:tcBorders>
              <w:bottom w:val="single" w:sz="8" w:color="010101"/>
            </w:tcBorders>
          </w:tcPr>
          <w:p>
            <w:pPr>
              <w:spacing w:after="0"/>
              <w:rPr>
                <w:sz w:val="9"/>
                <w:szCs w:val="9"/>
                <w:color w:val="auto"/>
              </w:rPr>
            </w:pPr>
          </w:p>
        </w:tc>
        <w:tc>
          <w:tcPr>
            <w:tcW w:w="120" w:type="dxa"/>
            <w:vAlign w:val="bottom"/>
            <w:tcBorders>
              <w:bottom w:val="single" w:sz="8" w:color="010101"/>
            </w:tcBorders>
          </w:tcPr>
          <w:p>
            <w:pPr>
              <w:spacing w:after="0"/>
              <w:rPr>
                <w:sz w:val="9"/>
                <w:szCs w:val="9"/>
                <w:color w:val="auto"/>
              </w:rPr>
            </w:pPr>
          </w:p>
        </w:tc>
        <w:tc>
          <w:tcPr>
            <w:tcW w:w="1140" w:type="dxa"/>
            <w:vAlign w:val="bottom"/>
            <w:tcBorders>
              <w:bottom w:val="single" w:sz="8" w:color="010101"/>
            </w:tcBorders>
          </w:tcPr>
          <w:p>
            <w:pPr>
              <w:spacing w:after="0"/>
              <w:rPr>
                <w:sz w:val="9"/>
                <w:szCs w:val="9"/>
                <w:color w:val="auto"/>
              </w:rPr>
            </w:pPr>
          </w:p>
        </w:tc>
        <w:tc>
          <w:tcPr>
            <w:tcW w:w="960" w:type="dxa"/>
            <w:vAlign w:val="bottom"/>
            <w:tcBorders>
              <w:bottom w:val="single" w:sz="8" w:color="010101"/>
            </w:tcBorders>
          </w:tcPr>
          <w:p>
            <w:pPr>
              <w:spacing w:after="0"/>
              <w:rPr>
                <w:sz w:val="9"/>
                <w:szCs w:val="9"/>
                <w:color w:val="auto"/>
              </w:rPr>
            </w:pPr>
          </w:p>
        </w:tc>
        <w:tc>
          <w:tcPr>
            <w:tcW w:w="620" w:type="dxa"/>
            <w:vAlign w:val="bottom"/>
            <w:tcBorders>
              <w:bottom w:val="single" w:sz="8" w:color="010101"/>
            </w:tcBorders>
          </w:tcPr>
          <w:p>
            <w:pPr>
              <w:spacing w:after="0"/>
              <w:rPr>
                <w:sz w:val="9"/>
                <w:szCs w:val="9"/>
                <w:color w:val="auto"/>
              </w:rPr>
            </w:pPr>
          </w:p>
        </w:tc>
        <w:tc>
          <w:tcPr>
            <w:tcW w:w="60" w:type="dxa"/>
            <w:vAlign w:val="bottom"/>
            <w:tcBorders>
              <w:bottom w:val="single" w:sz="8" w:color="010101"/>
            </w:tcBorders>
          </w:tcPr>
          <w:p>
            <w:pPr>
              <w:spacing w:after="0"/>
              <w:rPr>
                <w:sz w:val="9"/>
                <w:szCs w:val="9"/>
                <w:color w:val="auto"/>
              </w:rPr>
            </w:pPr>
          </w:p>
        </w:tc>
        <w:tc>
          <w:tcPr>
            <w:tcW w:w="220" w:type="dxa"/>
            <w:vAlign w:val="bottom"/>
            <w:tcBorders>
              <w:bottom w:val="single" w:sz="8" w:color="010101"/>
            </w:tcBorders>
          </w:tcPr>
          <w:p>
            <w:pPr>
              <w:spacing w:after="0"/>
              <w:rPr>
                <w:sz w:val="9"/>
                <w:szCs w:val="9"/>
                <w:color w:val="auto"/>
              </w:rPr>
            </w:pPr>
          </w:p>
        </w:tc>
        <w:tc>
          <w:tcPr>
            <w:tcW w:w="20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1220" w:type="dxa"/>
            <w:vAlign w:val="bottom"/>
            <w:tcBorders>
              <w:bottom w:val="single" w:sz="8" w:color="010101"/>
            </w:tcBorders>
          </w:tcPr>
          <w:p>
            <w:pPr>
              <w:spacing w:after="0"/>
              <w:rPr>
                <w:sz w:val="9"/>
                <w:szCs w:val="9"/>
                <w:color w:val="auto"/>
              </w:rPr>
            </w:pPr>
          </w:p>
        </w:tc>
        <w:tc>
          <w:tcPr>
            <w:tcW w:w="280" w:type="dxa"/>
            <w:vAlign w:val="bottom"/>
            <w:tcBorders>
              <w:bottom w:val="single" w:sz="8" w:color="010101"/>
            </w:tcBorders>
          </w:tcPr>
          <w:p>
            <w:pPr>
              <w:spacing w:after="0"/>
              <w:rPr>
                <w:sz w:val="9"/>
                <w:szCs w:val="9"/>
                <w:color w:val="auto"/>
              </w:rPr>
            </w:pPr>
          </w:p>
        </w:tc>
        <w:tc>
          <w:tcPr>
            <w:tcW w:w="100" w:type="dxa"/>
            <w:vAlign w:val="bottom"/>
            <w:tcBorders>
              <w:bottom w:val="single" w:sz="8" w:color="010101"/>
            </w:tcBorders>
          </w:tcPr>
          <w:p>
            <w:pPr>
              <w:spacing w:after="0"/>
              <w:rPr>
                <w:sz w:val="9"/>
                <w:szCs w:val="9"/>
                <w:color w:val="auto"/>
              </w:rPr>
            </w:pPr>
          </w:p>
        </w:tc>
        <w:tc>
          <w:tcPr>
            <w:tcW w:w="1260" w:type="dxa"/>
            <w:vAlign w:val="bottom"/>
            <w:tcBorders>
              <w:bottom w:val="single" w:sz="8" w:color="010101"/>
            </w:tcBorders>
          </w:tcPr>
          <w:p>
            <w:pPr>
              <w:spacing w:after="0"/>
              <w:rPr>
                <w:sz w:val="9"/>
                <w:szCs w:val="9"/>
                <w:color w:val="auto"/>
              </w:rPr>
            </w:pPr>
          </w:p>
        </w:tc>
        <w:tc>
          <w:tcPr>
            <w:tcW w:w="10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510"/>
        </w:trPr>
        <w:tc>
          <w:tcPr>
            <w:tcW w:w="8100" w:type="dxa"/>
            <w:vAlign w:val="bottom"/>
            <w:gridSpan w:val="2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100" w:type="dxa"/>
            <w:vAlign w:val="bottom"/>
            <w:gridSpan w:val="20"/>
          </w:tcPr>
          <w:p>
            <w:pPr>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00" w:type="dxa"/>
            <w:vAlign w:val="bottom"/>
            <w:gridSpan w:val="20"/>
          </w:tcPr>
          <w:p>
            <w:pPr>
              <w:spacing w:after="0" w:line="194" w:lineRule="exact"/>
              <w:rPr>
                <w:sz w:val="20"/>
                <w:szCs w:val="20"/>
                <w:color w:val="auto"/>
              </w:rPr>
            </w:pPr>
            <w:r>
              <w:rPr>
                <w:rFonts w:ascii="Arial" w:cs="Arial" w:eastAsia="Arial" w:hAnsi="Arial"/>
                <w:sz w:val="18"/>
                <w:szCs w:val="18"/>
                <w:b w:val="1"/>
                <w:bCs w:val="1"/>
                <w:color w:val="auto"/>
              </w:rPr>
              <w:t>Item 1. Unaudited Financial Statements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4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rPr>
              <w:t>CELLDEX THERAPEUTICS, INC.</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7"/>
          </w:tcPr>
          <w:p>
            <w:pPr>
              <w:jc w:val="center"/>
              <w:ind w:left="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jc w:val="center"/>
              <w:ind w:right="178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7"/>
          </w:tcPr>
          <w:p>
            <w:pPr>
              <w:jc w:val="center"/>
              <w:ind w:left="1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2011</w:t>
            </w:r>
          </w:p>
        </w:tc>
        <w:tc>
          <w:tcPr>
            <w:tcW w:w="100" w:type="dxa"/>
            <w:vAlign w:val="bottom"/>
          </w:tcPr>
          <w:p>
            <w:pPr>
              <w:spacing w:after="0"/>
              <w:rPr>
                <w:sz w:val="24"/>
                <w:szCs w:val="24"/>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December 31,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gridSpan w:val="19"/>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8"/>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34,167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8"/>
          </w:tcPr>
          <w:p>
            <w:pPr>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900" w:type="dxa"/>
            <w:vAlign w:val="bottom"/>
            <w:tcBorders>
              <w:top w:val="single" w:sz="8" w:color="CCEEFF"/>
            </w:tcBorders>
            <w:gridSpan w:val="18"/>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26,353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900" w:type="dxa"/>
            <w:vAlign w:val="bottom"/>
            <w:tcBorders>
              <w:bottom w:val="single" w:sz="8" w:color="CCEEFF"/>
            </w:tcBorders>
            <w:gridSpan w:val="18"/>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92,404</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8"/>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8"/>
          </w:tcPr>
          <w:p>
            <w:pPr>
              <w:spacing w:after="0"/>
              <w:rPr>
                <w:sz w:val="20"/>
                <w:szCs w:val="20"/>
                <w:color w:val="auto"/>
              </w:rPr>
            </w:pPr>
            <w:r>
              <w:rPr>
                <w:rFonts w:ascii="Arial" w:cs="Arial" w:eastAsia="Arial" w:hAnsi="Arial"/>
                <w:sz w:val="18"/>
                <w:szCs w:val="18"/>
                <w:color w:val="auto"/>
              </w:rPr>
              <w:t>Current Portion of Long-Term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Current Portion of Term Loan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8"/>
          </w:tcPr>
          <w:p>
            <w:pPr>
              <w:spacing w:after="0"/>
              <w:rPr>
                <w:sz w:val="20"/>
                <w:szCs w:val="20"/>
                <w:color w:val="auto"/>
              </w:rPr>
            </w:pPr>
            <w:r>
              <w:rPr>
                <w:rFonts w:ascii="Arial" w:cs="Arial" w:eastAsia="Arial" w:hAnsi="Arial"/>
                <w:sz w:val="18"/>
                <w:szCs w:val="18"/>
                <w:color w:val="auto"/>
              </w:rPr>
              <w:t>Convertible Subordinated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900" w:type="dxa"/>
            <w:vAlign w:val="bottom"/>
            <w:tcBorders>
              <w:top w:val="single" w:sz="8" w:color="CCEEFF"/>
            </w:tcBorders>
            <w:gridSpan w:val="18"/>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color w:val="auto"/>
              </w:rPr>
              <w:t>Term Loan, less Current Portion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900" w:type="dxa"/>
            <w:vAlign w:val="bottom"/>
            <w:tcBorders>
              <w:bottom w:val="single" w:sz="8" w:color="CCEEFF"/>
            </w:tcBorders>
            <w:gridSpan w:val="18"/>
          </w:tcPr>
          <w:p>
            <w:pPr>
              <w:ind w:left="1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26,619</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9"/>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900" w:type="dxa"/>
            <w:vAlign w:val="bottom"/>
            <w:gridSpan w:val="18"/>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 Issued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90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Outstanding at March 31, 2011 and December 31, 2010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18"/>
          </w:tcPr>
          <w:p>
            <w:pPr>
              <w:spacing w:after="0" w:line="201" w:lineRule="exact"/>
              <w:rPr>
                <w:sz w:val="20"/>
                <w:szCs w:val="20"/>
                <w:color w:val="auto"/>
              </w:rPr>
            </w:pPr>
            <w:r>
              <w:rPr>
                <w:rFonts w:ascii="Arial" w:cs="Arial" w:eastAsia="Arial" w:hAnsi="Arial"/>
                <w:sz w:val="18"/>
                <w:szCs w:val="18"/>
                <w:color w:val="auto"/>
              </w:rPr>
              <w:t>Common Stock, $.001 Par Value; 297,000,000 Shares Authorized; 32,055,382 Shares Issued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00" w:type="dxa"/>
            <w:vAlign w:val="bottom"/>
            <w:gridSpan w:val="18"/>
          </w:tcPr>
          <w:p>
            <w:pPr>
              <w:ind w:left="160"/>
              <w:spacing w:after="0"/>
              <w:rPr>
                <w:sz w:val="20"/>
                <w:szCs w:val="20"/>
                <w:color w:val="auto"/>
              </w:rPr>
            </w:pPr>
            <w:r>
              <w:rPr>
                <w:rFonts w:ascii="Arial" w:cs="Arial" w:eastAsia="Arial" w:hAnsi="Arial"/>
                <w:sz w:val="18"/>
                <w:szCs w:val="18"/>
                <w:color w:val="auto"/>
              </w:rPr>
              <w:t>Outstanding at March 31, 2011 and December 31, 2010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233,259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-6459220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-6459220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2,760</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2,751</w:t>
            </w: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(170,266)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(160,207)</w:t>
            </w:r>
          </w:p>
        </w:tc>
      </w:tr>
      <w:tr>
        <w:trPr>
          <w:trHeight w:val="210"/>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4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65,785</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75,255</w:t>
            </w:r>
          </w:p>
        </w:tc>
        <w:tc>
          <w:tcPr>
            <w:tcW w:w="100" w:type="dxa"/>
            <w:vAlign w:val="bottom"/>
            <w:tcBorders>
              <w:bottom w:val="single" w:sz="8" w:color="CCEEFF"/>
            </w:tcBorders>
          </w:tcPr>
          <w:p>
            <w:pPr>
              <w:spacing w:after="0"/>
              <w:rPr>
                <w:sz w:val="18"/>
                <w:szCs w:val="18"/>
                <w:color w:val="auto"/>
              </w:rPr>
            </w:pPr>
          </w:p>
        </w:tc>
      </w:tr>
      <w:tr>
        <w:trPr>
          <w:trHeight w:val="210"/>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4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92,404</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March 31, 2011</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March 31, 2010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Product Royalties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2,502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6,853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2,386</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7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(10,059)</w:t>
            </w:r>
          </w:p>
        </w:tc>
        <w:tc>
          <w:tcPr>
            <w:tcW w:w="2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Basic and Diluted Net Loss Per Common Share (Note 4)</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2"/>
              </w:rPr>
              <w:t>Shares Used in Calculating Basic and Diluted Net Loss per Share (Note 4)</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32,047</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940" w:type="dxa"/>
            <w:vAlign w:val="bottom"/>
            <w:gridSpan w:val="5"/>
          </w:tcPr>
          <w:p>
            <w:pPr>
              <w:jc w:val="center"/>
              <w:ind w:left="1370"/>
              <w:spacing w:after="0"/>
              <w:rPr>
                <w:sz w:val="20"/>
                <w:szCs w:val="20"/>
                <w:color w:val="auto"/>
              </w:rPr>
            </w:pPr>
            <w:r>
              <w:rPr>
                <w:rFonts w:ascii="Arial" w:cs="Arial" w:eastAsia="Arial" w:hAnsi="Arial"/>
                <w:sz w:val="18"/>
                <w:szCs w:val="18"/>
                <w:color w:val="auto"/>
                <w:w w:val="89"/>
              </w:rPr>
              <w:t>See accompanying notes to unaudited condensed consolidated financial statements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80" w:type="dxa"/>
            <w:vAlign w:val="bottom"/>
          </w:tcPr>
          <w:p>
            <w:pPr>
              <w:jc w:val="right"/>
              <w:ind w:right="245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010101"/>
            </w:tcBorders>
          </w:tcPr>
          <w:p>
            <w:pPr>
              <w:spacing w:after="0"/>
              <w:rPr>
                <w:sz w:val="10"/>
                <w:szCs w:val="10"/>
                <w:color w:val="auto"/>
              </w:rPr>
            </w:pPr>
          </w:p>
        </w:tc>
        <w:tc>
          <w:tcPr>
            <w:tcW w:w="5500" w:type="dxa"/>
            <w:vAlign w:val="bottom"/>
            <w:tcBorders>
              <w:bottom w:val="single" w:sz="8" w:color="010101"/>
            </w:tcBorders>
          </w:tcPr>
          <w:p>
            <w:pPr>
              <w:spacing w:after="0"/>
              <w:rPr>
                <w:sz w:val="10"/>
                <w:szCs w:val="10"/>
                <w:color w:val="auto"/>
              </w:rPr>
            </w:pPr>
          </w:p>
        </w:tc>
        <w:tc>
          <w:tcPr>
            <w:tcW w:w="278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122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122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March 31, 2011</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March 31, 2010</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(6,582)</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of Accretion of Marketable Securities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Loss on Sales and Maturities of Marketable Securities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Gain on Sales or Disposal of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(1,100)</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Long-Term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0"/>
        </w:trPr>
        <w:tc>
          <w:tcPr>
            <w:tcW w:w="7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(8,864)</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Borders>
              <w:bottom w:val="single" w:sz="8" w:color="CCEEFF"/>
            </w:tcBorders>
          </w:tcPr>
          <w:p>
            <w:pPr>
              <w:spacing w:after="0"/>
              <w:rPr>
                <w:sz w:val="18"/>
                <w:szCs w:val="18"/>
                <w:color w:val="auto"/>
              </w:rPr>
            </w:pPr>
          </w:p>
        </w:tc>
      </w:tr>
      <w:tr>
        <w:trPr>
          <w:trHeight w:val="23"/>
        </w:trPr>
        <w:tc>
          <w:tcPr>
            <w:tcW w:w="70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900" w:orient="portrait"/>
          <w:cols w:equalWidth="0" w:num="1">
            <w:col w:w="11460"/>
          </w:cols>
          <w:pgMar w:left="240" w:top="125" w:right="1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8,653</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(3,245)</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Proceeds from Sales or Disposal of Assets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Net Proceeds from Stock Issuances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Term Loan</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Payment of Convertible Subordinated Debt</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(12,503)</w:t>
            </w:r>
          </w:p>
        </w:tc>
        <w:tc>
          <w:tcPr>
            <w:tcW w:w="4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Other Long-Term Liabilities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(7,549)</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(11,147)</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21,287</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10,140</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2010, which are included in the Company’s Annual Report on Form 10-K filed with the Securities and Exchange Commission (“SEC”) on March 9, 2011.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2011.</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At March 31, 2011, the Company had cash, cash equivalents and marketable securities of $44.3 million; working capital of $37.3 million; and a Term Loan balance of $15.0 million. The Company incurred a loss of $10.1 million for the three months ended March 31, 2011. Net cash used in operations for the three months ended March 31, 2011 was $8.9 million. In April 2011, the Company sold 500,000 shares of common stock under the Cantor Agreement and raised $2.1 million in gross proceeds. The Company believes that the cash, cash equivalents and marketable securities at March 31, 2011 in addition to the $2.1 million raised from the completed sales of common stock under the Cantor Agreement, interest income on invested funds and the Company’s ability to control certain costs, including those related to clinical trials, manufacturing and preclinical activities, will be sufficient to meet estimated working capital requirements and fund planned operations for at least the next twelve months.</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next twelve months, the Company will take further steps to raise additional capital to meet its long-term liquidity needs including, but not limited to,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If the Company is unable to raise the funds necessary to meet its long-term liquidity needs, it may have to delay or discontinue the development of one or more programs, license out programs earlier than expected, raise funds at significant discount or on other unfavorable terms, or sell all or part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2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months ended March 31, 2011 are consistent with those discussed in Note 2 to the consolidated financial statements in our Annual Report on Form 10-K for the year ended December 31, 2010, except for the adoption of new accounting standards during the first three months of 2011 as discussed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9" w:gutter="0" w:footer="0" w:header="0"/>
        </w:sectPr>
      </w:pPr>
    </w:p>
    <w:bookmarkStart w:id="4" w:name="page5"/>
    <w:bookmarkEnd w:id="4"/>
    <w:p>
      <w:pPr>
        <w:spacing w:after="0" w:line="8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January 2011, the Company adopted a new U.S. GAAP accounting standard which revises the accounting guidance for milestone revenue recognition. The new guidance allows for revenue recognition contingent upon the achievement of a milestone in its entirety, in the period in which the milestone is achieved, only if the milestone meets all the criteria within the guidance to be considered substantive. The Company adopted this guidance beginning with agreements entered into on or after January 1, 2011. This standard may impact the Company in the event it completes future transactions or collaborative relationships that include milestone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2011 and 2010, comprehensive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3"/>
          </w:tcPr>
          <w:p>
            <w:pPr>
              <w:ind w:left="74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(10,059)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(6,582)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Unrealized foreign exchange translation loss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gain</w:t>
            </w:r>
          </w:p>
        </w:tc>
        <w:tc>
          <w:tcPr>
            <w:tcW w:w="2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2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(10,050</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(6,465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3,727,434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4,299,850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Convertible debt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353,563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3,732,103</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4,665,413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In connection with the acquisition of CuraGen Corporation (“CuraGen”), the Company assumed the $12.5 million in 4% convertible subordinated debt due February 15, 2011 (the “CuraGen Debt”). Effective October 1, 2009, Celldex, CuraGen, and The Bank of New York Mellon (the “Trustee”) amended the CuraGen Debt to provide that the CuraGen Debt shall be convertible into 353,563 shares of Celldex common stock at the rate of 28.27823 shares of Celldex common stock per $1,000 principal amount of notes, or $35.36 per share. The initial carrying value of the CuraGen Debt was accreted ratably, over the term of the CuraGen Debt, to $12.5 million due at maturity. In February 2011, the Company paid the Trustee $12.8 million to satisfy all outstanding principal and accrued interest related to the CuraGen Debt.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2011</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4"/>
              </w:rPr>
              <w:t>2,725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34,167</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34,167</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36,892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24"/>
                <w:szCs w:val="2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24"/>
                <w:szCs w:val="2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2010</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10,975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780"/>
              <w:spacing w:after="0"/>
              <w:rPr>
                <w:sz w:val="20"/>
                <w:szCs w:val="20"/>
                <w:color w:val="auto"/>
              </w:rPr>
            </w:pPr>
            <w:r>
              <w:rPr>
                <w:rFonts w:ascii="Arial" w:cs="Arial" w:eastAsia="Arial" w:hAnsi="Arial"/>
                <w:sz w:val="18"/>
                <w:szCs w:val="18"/>
                <w:color w:val="auto"/>
                <w:w w:val="83"/>
              </w:rPr>
              <w:t>39,811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39,811</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50,786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Marketable securities have been valued at each balance sheet date, using observable market inputs that may include trade information, broker or dealer quotes, bids, offers or a</w:t>
      </w:r>
    </w:p>
    <w:p>
      <w:pPr>
        <w:sectPr>
          <w:pgSz w:w="11900" w:h="16925" w:orient="portrait"/>
          <w:cols w:equalWidth="0" w:num="1">
            <w:col w:w="11420"/>
          </w:cols>
          <w:pgMar w:left="240" w:top="368" w:right="239" w:bottom="0" w:gutter="0" w:footer="0" w:header="0"/>
        </w:sectPr>
      </w:pPr>
    </w:p>
    <w:bookmarkStart w:id="5" w:name="page6"/>
    <w:bookmarkEnd w:id="5"/>
    <w:p>
      <w:pPr>
        <w:spacing w:after="0" w:line="2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combination of these data sources.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approximates the carrying value of the principal portion of the Term Loan and note payable at March 31, 2011. Intangible assets acquired in business combinations were accounted for using Level 3 inputs.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31, 2011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15,137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two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23,826</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8,063</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two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10,173</w:t>
            </w:r>
          </w:p>
        </w:tc>
        <w:tc>
          <w:tcPr>
            <w:tcW w:w="30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3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14,836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two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26,264</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11,798</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two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13,392</w:t>
            </w:r>
          </w:p>
        </w:tc>
        <w:tc>
          <w:tcPr>
            <w:tcW w:w="30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-2094230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As of March 31, 2011, unrealized losses in the portfolio were primarily due to increases in interest rates. The marketable securities held by the Company were high investment grade and there were no marketable securities that the Company considered to be other-than-temporarily impaired as of March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Estimated</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2"/>
              </w:rPr>
              <w:t>March 31, 2011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December 31, 2010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2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6"/>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360" w:type="dxa"/>
            <w:vAlign w:val="bottom"/>
            <w:gridSpan w:val="2"/>
          </w:tcPr>
          <w:p>
            <w:pPr>
              <w:ind w:left="440"/>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IPR&amp;D</w:t>
            </w:r>
          </w:p>
        </w:tc>
        <w:tc>
          <w:tcPr>
            <w:tcW w:w="1360" w:type="dxa"/>
            <w:vAlign w:val="bottom"/>
            <w:gridSpan w:val="2"/>
          </w:tcPr>
          <w:p>
            <w:pPr>
              <w:spacing w:after="0"/>
              <w:rPr>
                <w:sz w:val="20"/>
                <w:szCs w:val="20"/>
                <w:color w:val="auto"/>
              </w:rPr>
            </w:pPr>
            <w:r>
              <w:rPr>
                <w:rFonts w:ascii="Arial" w:cs="Arial" w:eastAsia="Arial" w:hAnsi="Arial"/>
                <w:sz w:val="18"/>
                <w:szCs w:val="18"/>
                <w:color w:val="auto"/>
              </w:rPr>
              <w:t>Indefinite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 years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TopoTarget Agreement</w:t>
            </w:r>
          </w:p>
        </w:tc>
        <w:tc>
          <w:tcPr>
            <w:tcW w:w="1360" w:type="dxa"/>
            <w:vAlign w:val="bottom"/>
            <w:gridSpan w:val="2"/>
          </w:tcPr>
          <w:p>
            <w:pPr>
              <w:spacing w:after="0"/>
              <w:rPr>
                <w:sz w:val="20"/>
                <w:szCs w:val="20"/>
                <w:color w:val="auto"/>
              </w:rPr>
            </w:pPr>
            <w:r>
              <w:rPr>
                <w:rFonts w:ascii="Arial" w:cs="Arial" w:eastAsia="Arial" w:hAnsi="Arial"/>
                <w:sz w:val="18"/>
                <w:szCs w:val="18"/>
                <w:color w:val="auto"/>
              </w:rPr>
              <w:t>1.75 years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(2,229)</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 Technology</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4.5 - 11 years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ind w:left="180"/>
              <w:spacing w:after="0" w:line="201" w:lineRule="exact"/>
              <w:rPr>
                <w:sz w:val="20"/>
                <w:szCs w:val="20"/>
                <w:color w:val="auto"/>
              </w:rPr>
            </w:pPr>
            <w:r>
              <w:rPr>
                <w:rFonts w:ascii="Arial" w:cs="Arial" w:eastAsia="Arial" w:hAnsi="Arial"/>
                <w:sz w:val="18"/>
                <w:szCs w:val="18"/>
                <w:color w:val="auto"/>
              </w:rPr>
              <w:t>Strategic Partner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1360" w:type="dxa"/>
            <w:vAlign w:val="bottom"/>
            <w:gridSpan w:val="2"/>
          </w:tcPr>
          <w:p>
            <w:pPr>
              <w:spacing w:after="0"/>
              <w:rPr>
                <w:sz w:val="20"/>
                <w:szCs w:val="20"/>
                <w:color w:val="auto"/>
              </w:rPr>
            </w:pPr>
            <w:r>
              <w:rPr>
                <w:rFonts w:ascii="Arial" w:cs="Arial" w:eastAsia="Arial" w:hAnsi="Arial"/>
                <w:sz w:val="18"/>
                <w:szCs w:val="18"/>
                <w:color w:val="auto"/>
              </w:rPr>
              <w:t>8 years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360" w:type="dxa"/>
            <w:vAlign w:val="bottom"/>
            <w:gridSpan w:val="2"/>
            <w:vMerge w:val="restart"/>
          </w:tcPr>
          <w:p>
            <w:pPr>
              <w:spacing w:after="0"/>
              <w:rPr>
                <w:sz w:val="20"/>
                <w:szCs w:val="20"/>
                <w:color w:val="auto"/>
              </w:rPr>
            </w:pPr>
            <w:r>
              <w:rPr>
                <w:rFonts w:ascii="Arial" w:cs="Arial" w:eastAsia="Arial" w:hAnsi="Arial"/>
                <w:sz w:val="18"/>
                <w:szCs w:val="18"/>
                <w:color w:val="auto"/>
              </w:rPr>
              <w:t>Indefinite</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estimated fair value attributed to the April 2008 agreement (“TopoTarget Agreement”) between the Company (as a successor to CuraGen) and TopoTarget A/S (“TopoTarget”) relates to the Company’s rights under the TopoTarget Agreement to receive up to $6 million in either potential commercial milestone payments related to future net sales of Belinostat or 10% of any sublicense income received by TopoTarget (“TopoTarget Payments”). In February 2010, TopoTarget entered into a co-development and commercialization agreement for Belinostat with Spectrum Pharmaceuticals, Inc. which resulted in the Company’s receipt of $3 million of the TopoTarget Payments. The Company recorded this cash receipt as Other Income for the three months ended March 31,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Term Loan</w:t>
      </w:r>
    </w:p>
    <w:p>
      <w:pPr>
        <w:spacing w:after="0" w:line="229"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December 2010, the Company entered into a Loan and Security Agreement (the “Loan Agreement”) with MidCap Financial, LLC (“MidCap”) pursuant to which the Company borrowed $10 million (the “Term Loan”) from MidCap. In March 2011, as the Company had anticipated, the Company amended the Loan Agreement and borrowed an additional $5 million from General Electric Capital Corporation (“GECC”) (collectively with MidCap, the “Lenders”) to increase the amount owed under the Term Loan to $15 million. No additional advances are</w:t>
      </w:r>
    </w:p>
    <w:p>
      <w:pPr>
        <w:sectPr>
          <w:pgSz w:w="11900" w:h="16860" w:orient="portrait"/>
          <w:cols w:equalWidth="0" w:num="1">
            <w:col w:w="11460"/>
          </w:cols>
          <w:pgMar w:left="240" w:top="125" w:right="199" w:bottom="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available under the Loan Agreement. The Term Loan accrues interest at a fixed annual interest rate equal to the greater of (i) the sum of (A) the LIBOR Rate (as defined in the Loan Agreement) plus (B) 6.25%; or (ii) a minimum rate of 9.50%. Interest on the Term Loan is payable monthly and principal is due in 27 equal consecutive monthly installments commencing on October 1, 2011. Notwithstanding the foregoing, all unpaid principal and accrued interest with respect to the Term Loan is due and payable on the earlier of (A) December 30, 2013 or (B) the date that the Term Loan otherwise becomes due and payable under the terms of the Loan Agreement. The Company may prepay all, but not less than all, of the Term Loan subject to a prepayment premium of 1% in year three, 2% in year two, and 4% in year one of the original principal amount of the Term Loan.</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obligations of the Company under the Loan Agreement are secured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 Company’s obligations under the Loan Agreement shall be immediately due and payable. At March 31, 2011, the Company believes it is in compliance with the Loan Agreement.</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Upon repayment of the Term Loan in full, the Company is also obligated to make a final payment fee of $0.5 million (“Final Payment”) which the Company is accreting ratably over the term of the Term Loan to interest expense. At March 31, 2011 and December 31, 2010, the Company had $0.2 million in capitalized deferred financing costs incurred in connection with the Term Loan and is amortizing these costs over the term of the Term Loan to interest expense. Interest expense on the Term Loan including the accretion of the Final Payment and amortization of the deferred financing costs was $0.3 million for the three months ended March 31, 2011.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March 31, 2011</w:t>
            </w:r>
          </w:p>
        </w:tc>
        <w:tc>
          <w:tcPr>
            <w:tcW w:w="10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 2010</w:t>
            </w:r>
          </w:p>
        </w:tc>
      </w:tr>
      <w:tr>
        <w:trPr>
          <w:trHeight w:val="142"/>
        </w:trPr>
        <w:tc>
          <w:tcPr>
            <w:tcW w:w="5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4"/>
          </w:tcPr>
          <w:p>
            <w:pPr>
              <w:jc w:val="right"/>
              <w:ind w:right="9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CuraGen Severance</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Loan Payable</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ind w:left="180"/>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6,651</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Long-Term Portion</w:t>
            </w:r>
          </w:p>
        </w:tc>
        <w:tc>
          <w:tcPr>
            <w:tcW w:w="25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January 2011, the Company received approval from the New Jersey Economic Development Authority and agreed to sell New Jersey tax benefits worth $0.6 million (consisting of R&amp;D tax credits) to an independent third party for $0.5 million. Under the agreement, the Company must maintain a base of operations in NJ for five years or the tax benefits must be paid back on a pro-rata basis based on the number of years completed.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January 2011, the Company entered into a controlled equity offering sales agreement (the “Cantor Agreement”) with Cantor Fitzgerald &amp; Co. (“Cantor”) pursuant to which the Company may issue and sell up to 5,000,000 shares of its common stock from time to time through Cantor, acting as agent. The Company agreed to pay Cantor a commission up to 5% of the gross proceeds from each sale and to reimburse Cantor for certain expenses incurred in connection with entering into the Cantor Agreement. As of March 31, 2011, the Company had not sold any shares of common stock under the Cantor Agreement. In April 2011, the Company sold 500,000 shares of common stock under the Cantor Agreement and raised $2.1 million in gross proceeds.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the following stock-based compensation plans: the 2004 Employee Stock Purchase Plan (the “2004 ESPP Plan”), the 2008 Stock Option and Incentive Plan (the “2008 Plan”), Celldex Research’s 2005 Equity Incentive Plan (the “Celldex Research 2005 Plan”) and the CuraGen 2007 Plan. The Company assumed the obligations under the Celldex Research 2005 Plan and CuraGen 2007 Plan in connection with the AVANT Merger and CuraGen Merger, respectively, and there are no shares available for future grant under either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At March 31, 2011, a total of 62,500 shares of common stock are reserved for issuance under the 2004 ESPP Plan. Under the 2004 ESPP Plan, each participating employee may purchase up to 250 shares of common stock per year, through payroll deductions, at a purchase price equal to 85% of the lower of the fair market value of the common stock at either the beginning of the offering period or the applicable exercise date. No shares were issued under the 2004 ESPP Plan during the three months ended March 31, 2011. At March 31, 2011, 51,009 shares were available for issuance under the 2004 ESPP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ectPr>
          <w:pgSz w:w="11900" w:h="16838" w:orient="portrait"/>
          <w:cols w:equalWidth="0" w:num="1">
            <w:col w:w="11420"/>
          </w:cols>
          <w:pgMar w:left="240" w:top="341" w:right="239" w:bottom="0" w:gutter="0" w:footer="0" w:header="0"/>
        </w:sectPr>
      </w:pPr>
    </w:p>
    <w:bookmarkStart w:id="7" w:name="page8"/>
    <w:bookmarkEnd w:id="7"/>
    <w:p>
      <w:pPr>
        <w:ind w:right="20" w:firstLine="648"/>
        <w:spacing w:after="0" w:line="264"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8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At March 31, 2011, the 2008 Plan allowed for a maximum of 3,900,000 shares of common stock to be issued prior to October 19,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is accelerated upon a change in control as defined in the 2008 Plan.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2011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left="246"/>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020" w:type="dxa"/>
            <w:vAlign w:val="bottom"/>
          </w:tcPr>
          <w:p>
            <w:pPr>
              <w:jc w:val="center"/>
              <w:ind w:left="266"/>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4,019,982</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6.93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16,250</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4.08</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Canceled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(308,798)</w:t>
            </w:r>
          </w:p>
        </w:tc>
        <w:tc>
          <w:tcPr>
            <w:tcW w:w="1020" w:type="dxa"/>
            <w:vAlign w:val="bottom"/>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8.08</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2011</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3,727,434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6.82</w:t>
            </w:r>
          </w:p>
        </w:tc>
        <w:tc>
          <w:tcPr>
            <w:tcW w:w="14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2011</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20" w:type="dxa"/>
            <w:vAlign w:val="bottom"/>
            <w:vMerge w:val="restart"/>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1"/>
              </w:rPr>
              <w:t>6.83</w:t>
            </w: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3,695,448</w:t>
            </w:r>
          </w:p>
        </w:tc>
        <w:tc>
          <w:tcPr>
            <w:tcW w:w="2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2011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2,638,599</w:t>
            </w: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7.16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1,780,463</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months ended March 31, 2011 was $2.57. The total fair value of stock options that vested during the three months ended March 31, 2011 was $1.1 million.</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aggregate intrinsic value of stock options outstanding at March 31, 2011 was $0.5 million. The aggregate intrinsic value of stock options vested and expected to vest at March 31, 2011 was $0.5 million. As of March 31, 2011, total compensation cost related to non-vested employee and non-employee director stock options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not yet recognized was approximately $3.5 million, net of estimated forfeitures, which is expected to be recognized as expense over a weighted average period of 2.3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activity under the 2008 Plan for the three months ended March 31, 2011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9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December 31, 2010</w:t>
            </w: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(4,669)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March 31, 2011</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Stock-based compensation expense related to employee and non-employee stock options, restricted stock and employee stock purchases for the three months ended March 31, 2011 and 2010 was recorded as follows: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9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60" w:type="dxa"/>
            <w:vAlign w:val="bottom"/>
            <w:gridSpan w:val="4"/>
          </w:tcPr>
          <w:p>
            <w:pPr>
              <w:jc w:val="right"/>
              <w:ind w:right="570"/>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11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values of employee and non-employee director stock options and employee stock purchases granted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2011 and 2010 were valued using the 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3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2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(options)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stock price volatility (2004 ESPP)</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(options)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 Years</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option term (2004 ESPP)</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0.5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0.5 Years</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(options)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 — 3.2%</w:t>
            </w:r>
          </w:p>
        </w:tc>
      </w:tr>
    </w:tbl>
    <w:p>
      <w:pPr>
        <w:sectPr>
          <w:pgSz w:w="11900" w:h="16838"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Risk-free interest rate (2004 ESPP)</w:t>
            </w:r>
          </w:p>
        </w:tc>
        <w:tc>
          <w:tcPr>
            <w:tcW w:w="4440" w:type="dxa"/>
            <w:vAlign w:val="bottom"/>
          </w:tcPr>
          <w:p>
            <w:pPr>
              <w:jc w:val="right"/>
              <w:ind w:right="470"/>
              <w:spacing w:after="0"/>
              <w:rPr>
                <w:sz w:val="20"/>
                <w:szCs w:val="20"/>
                <w:color w:val="auto"/>
              </w:rPr>
            </w:pPr>
            <w:r>
              <w:rPr>
                <w:rFonts w:ascii="Arial" w:cs="Arial" w:eastAsia="Arial" w:hAnsi="Arial"/>
                <w:sz w:val="18"/>
                <w:szCs w:val="18"/>
                <w:color w:val="auto"/>
              </w:rPr>
              <w:t>0.2%</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4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None</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None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Revenue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Company’s licensed-in the rotavirus strain that was used to develop Glaxo’s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rotavirus vaccine in 1995 and owes a license fee of 30% to Cincinnati Children’s Hospital Medical Center (“CCH”) on net royalties received from Glaxo. The Company is obligated to maintain a license with CCH with respect to the Glaxo agreement. The term of the Glaxo agreement is through the expiration of the last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170" w:lineRule="exact"/>
        <w:rPr>
          <w:sz w:val="20"/>
          <w:szCs w:val="20"/>
          <w:color w:val="auto"/>
        </w:rPr>
      </w:pPr>
    </w:p>
    <w:p>
      <w:pPr>
        <w:ind w:right="60" w:firstLine="648"/>
        <w:spacing w:after="0" w:line="249" w:lineRule="auto"/>
        <w:rPr>
          <w:sz w:val="20"/>
          <w:szCs w:val="20"/>
          <w:color w:val="auto"/>
        </w:rPr>
      </w:pPr>
      <w:r>
        <w:rPr>
          <w:rFonts w:ascii="Arial" w:cs="Arial" w:eastAsia="Arial" w:hAnsi="Arial"/>
          <w:sz w:val="17"/>
          <w:szCs w:val="17"/>
          <w:color w:val="auto"/>
        </w:rPr>
        <w:t>In May 2005, the Company entered into an agreement whereby an affiliate of PRF purchased a 70% interest in the milestone payments and net royalties the Company will receive on worldwide sales of Rotarix</w:t>
      </w:r>
      <w:r>
        <w:rPr>
          <w:rFonts w:ascii="Arial" w:cs="Arial" w:eastAsia="Arial" w:hAnsi="Arial"/>
          <w:sz w:val="22"/>
          <w:szCs w:val="22"/>
          <w:color w:val="auto"/>
          <w:vertAlign w:val="superscript"/>
        </w:rPr>
        <w:t>®</w:t>
      </w:r>
      <w:r>
        <w:rPr>
          <w:rFonts w:ascii="Arial" w:cs="Arial" w:eastAsia="Arial" w:hAnsi="Arial"/>
          <w:sz w:val="17"/>
          <w:szCs w:val="17"/>
          <w:color w:val="auto"/>
        </w:rPr>
        <w:t>. We have received a total of $60 million in milestone payments under the PRF agreement. No additional milestone payments are due from PRF under the agreement. The PRF agreement terminates on December 12, 2012, unless otherwise extended. The Company’s retained interests in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net royalties which were not sold to PRF are recorded as product royalty revenue and a corresponding amount that is payable to CCH is recorded as royalty expense. Product royalty revenue and royalty expense related to the Company’s retained interest in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was $2.5 million and $2.1 million for the three months ended March 31, 2011 and 2010, respectively.</w:t>
      </w:r>
    </w:p>
    <w:p>
      <w:pPr>
        <w:spacing w:after="0" w:line="117"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Royalty rates on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escalate from 7% to 10% based on net product sales in countries that have valid patent protection. These royalty rates are discounted by 30% for “non-patent” countries (primarily international markets). In September 2006, the Company received notice from Glaxo that Glaxo would begin paying royalties on sales of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 the lower of the two royalty rates under their 1997 license agreement. Glaxo’s decision to pay the lower royalty rate (which is 70% of the full rate) is based upon Glaxo’s assertion that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not covered by the patents Glaxo licensed from the Company in Australia and certain European countries. If Glaxo’s position stands, the royalties to which PRF is entitled will no longer be limited by a $27.5 million annual threshold. With respect to the $27.5 million annual threshold, if worldwide net royalties on sales of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exceed $27.5 million in any year, we would retain approximately 65% of all royalties in excess of $27.5 million. Irrespective of Glaxo’s position, the Company will still retain approximately 65% of the royalties on worldwide sales of Rotarix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once PRF receives 2.45 times the aggregate cash payments of $60 million it made to the Company, though the potential amount of such residual royalties will be lower if Glaxo’s position stands.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April 16, 2008, the Company and Pfizer entered into a License and Development Agreement (the “Pfizer Agreement”) under which Pfizer was granted an exclusive worldwide license to a therapeutic cancer vaccine candidate, rindopepimut (CDX-110), in Phase 2b development for the treatment of glioblastoma multiforme. The Pfizer Agreement also gave Pfizer exclusive rights to the use of EGFRvIII vaccines in other potential indications. Under the Pfizer Agreement, Pfizer made an upfront payment to the Company of $40 million and made a $10 million equity investment in the Company. On May 27, 2008, the Company received $10 million from Pfizer in exchange for 781,250 shares of the Company’s common stock having a fair value of $10.9 million, or $13.91 per share, on that date. The $0.9 million over the amount received from Pfizer was recorded as a reduction to deferred revenue of the $40 million upfront payment received from Pfizer on June 18, 2008. The Pfizer Agreement also provided for reimbursement by Pfizer of all costs incurred by the Company in connection with the collaboration since the effective date.</w:t>
      </w:r>
    </w:p>
    <w:p>
      <w:pPr>
        <w:spacing w:after="0" w:line="17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had determined that its performance obligations under this collaboration should be accounted for as a single unit of accounting. The Company’s deliverables under this collaboration primarily included an exclusive license to its rindopepimut product candidate and its EGFRvIII technologies, research and development services as required under the collaboration and participation in the joint clinical development committee. The Company had estimated that its expected performance period under the collaboration would be 9.5 years based on an assessment of the period over which the Company would have met its performance obligations under the collaboration. The $40 million up-front payment, less the $0.9 million in excess fair value for the Company’s common stock discussed above, and research and development reimbursements, were initially recorded as deferred revenue and recognized as revenue on a straight-line basis over this 9.5 year period using the Contingency Adjusted Performance Model (“CAPM”).</w:t>
      </w:r>
    </w:p>
    <w:p>
      <w:pPr>
        <w:spacing w:after="0" w:line="16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September 1, 2010, the Company received written notice (the “Pfizer Notice”) from Pfizer of termination with respect to the Pfizer Agreement. The Pfizer Notice was given under a provision of the Pfizer Agreement which permitted termination at any time and for any reason, upon 60-days’ written notice to the Company. The Pfizer Notice did not state a reason for termination. In November 2010, the Pfizer Agreement was terminated (the “Pfizer Termination”) and all rights to rindopepimut were returned to the Company. As a result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Pfizer Termination, during three months ended December 31, 2010, the Company recognized the remaining deferred revenue related to the Pfizer Agreement to product development and licensing agreement revenue. The Company recorded $1.3 million in product development and licensing agreement revenue under the Pfizer Agreement for the three months ended March 31, 2010. Effective with the Pfizer Termination, Pfizer is no longer funding the development of rindopepimut. The Company incurred and invoiced Pfizer $0.3 million in reimbursable costs related to the Pfizer collaboration for the three months ended March 31, 2010.</w:t>
      </w:r>
    </w:p>
    <w:p>
      <w:pPr>
        <w:sectPr>
          <w:pgSz w:w="11900" w:h="16838" w:orient="portrait"/>
          <w:cols w:equalWidth="0" w:num="1">
            <w:col w:w="11420"/>
          </w:cols>
          <w:pgMar w:left="240" w:top="125" w:right="239" w:bottom="0" w:gutter="0" w:footer="0" w:header="0"/>
        </w:sectPr>
      </w:pPr>
    </w:p>
    <w:bookmarkStart w:id="9" w:name="page10"/>
    <w:bookmarkEnd w:id="9"/>
    <w:p>
      <w:pPr>
        <w:ind w:right="20" w:firstLine="648"/>
        <w:spacing w:after="0" w:line="257" w:lineRule="auto"/>
        <w:rPr>
          <w:sz w:val="20"/>
          <w:szCs w:val="20"/>
          <w:color w:val="auto"/>
        </w:rPr>
      </w:pPr>
      <w:r>
        <w:rPr>
          <w:rFonts w:ascii="Arial" w:cs="Arial" w:eastAsia="Arial" w:hAnsi="Arial"/>
          <w:sz w:val="18"/>
          <w:szCs w:val="18"/>
          <w:color w:val="auto"/>
        </w:rPr>
        <w:t>In connection with the Pfizer Agreement, the Company paid a total of $6.9 million in sublicense fees to Duke University and Thomas Jefferson University. The Company recorded these deferred sublicense fees to other assets in the consolidated balance sheets and was amortizing them to royalty expense over the 9.5-year performance period. As a result of the Pfizer Termination, during three months ended December 31, 2010, the Company recognized the remaining deferred costs related to the Pfizer Agreement to royalty expense. The Company recorded $0.2 million in royalty expense related to these deferred sublicense fees during the three months ended March 31,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has provided research and development support to Rockefeller on the development of their vaccine, DCVax-001, which the Company refers to as CDX-2401, aimed at providing protection from infection with HIV, the virus known to cause AIDS. Payments to the Company are made on a time and materials basis. No grant revenue was recorded from Rockefeller for the three months ended March 31, 2011. The Company recorded grant revenue from Rockefeller of $0.2 million for the three months ended March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is currently under examination by the Internal Revenue Service with respect to 2008. The Company is not currently under examination by any other jurisdictions for any tax year.</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March 31, 2011 and December 31, 2010 against the Company’s net deferred tax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58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rindopepimut, CDX-011, CDX-1307, CDX-1401, CDX-1135, CDX-1127 and other products and the growth of the markets for those product candidates;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on terms acceptable to us, or at all;</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CDX-1307, CDX-1401, and other preclinical and clinical testing;</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internally or to find another strategic partner to fund the development and commercialization of rindopepimut;</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w:t>
      </w:r>
    </w:p>
    <w:p>
      <w:pPr>
        <w:spacing w:after="0" w:line="225" w:lineRule="exact"/>
        <w:rPr>
          <w:rFonts w:ascii="Arial" w:cs="Arial" w:eastAsia="Arial" w:hAnsi="Arial"/>
          <w:sz w:val="18"/>
          <w:szCs w:val="18"/>
          <w:color w:val="auto"/>
        </w:rPr>
      </w:pPr>
    </w:p>
    <w:p>
      <w:pPr>
        <w:ind w:left="980" w:right="380" w:hanging="324"/>
        <w:spacing w:after="0" w:line="216"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GlaxoSmithKline’s plans with respect to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Vaccine Technologies’ plans concerning the CholeraGarde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(Peru-15) and ETEC E. coli vaccines, which are not within our control, and our ability to maintain strong, mutually beneficial relationships with those partners;</w:t>
      </w:r>
    </w:p>
    <w:p>
      <w:pPr>
        <w:spacing w:after="0" w:line="20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ectPr>
          <w:pgSz w:w="11900" w:h="16838" w:orient="portrait"/>
          <w:cols w:equalWidth="0" w:num="1">
            <w:col w:w="11420"/>
          </w:cols>
          <w:pgMar w:left="240" w:top="125" w:right="239" w:bottom="0" w:gutter="0" w:footer="0" w:header="0"/>
        </w:sectPr>
      </w:pPr>
    </w:p>
    <w:bookmarkStart w:id="10" w:name="page11"/>
    <w:bookmarkEnd w:id="10"/>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2010 and other reports that Celldex files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a biopharmaceutical company currently focusing on the development of several immunotherapy technologies. Our lead programs include rindopepimut (CDX-110), a vaccine that is expected to enter into Phase 3 development for glioblastoma multiforme in the second half of 2011, and CDX-011, an antibody-drug conjugate currently in a randomized Phase 2b trial for treatment of advanced breast cancer. We have additional programs at various stages of clinical and preclinical development, including CDX-1127 a therapeutic human antibody candidate for cancer indications, APC Targeting Technology™ programs, CDX-1307 and CDX-1401, and an immune cell mobilizing agent CDX-301. We are currently resourcing our priority programs and supplement the development of additional programs through external collaborations and funding.</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by our partner GlaxoSmithKline. Our product candidates address market opportunities for which we believe current therapies are inadequate or non-existent.</w:t>
      </w:r>
    </w:p>
    <w:p>
      <w:pPr>
        <w:spacing w:after="0" w:line="19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preventative and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product candidates are in various stages of clinical trials. We expect that a large percentage of our research and development expenses will be incurred in support of our current and future clinical trial programs.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240" w:type="dxa"/>
            <w:vAlign w:val="bottom"/>
          </w:tcPr>
          <w:p>
            <w:pPr>
              <w:spacing w:after="0"/>
              <w:rPr>
                <w:sz w:val="14"/>
                <w:szCs w:val="14"/>
                <w:color w:val="auto"/>
              </w:rPr>
            </w:pPr>
          </w:p>
        </w:tc>
        <w:tc>
          <w:tcPr>
            <w:tcW w:w="4060" w:type="dxa"/>
            <w:vAlign w:val="bottom"/>
          </w:tcPr>
          <w:p>
            <w:pPr>
              <w:ind w:left="1540"/>
              <w:spacing w:after="0"/>
              <w:rPr>
                <w:sz w:val="20"/>
                <w:szCs w:val="20"/>
                <w:color w:val="auto"/>
              </w:rPr>
            </w:pPr>
            <w:r>
              <w:rPr>
                <w:rFonts w:ascii="Arial" w:cs="Arial" w:eastAsia="Arial" w:hAnsi="Arial"/>
                <w:sz w:val="14"/>
                <w:szCs w:val="14"/>
                <w:b w:val="1"/>
                <w:bCs w:val="1"/>
                <w:color w:val="auto"/>
              </w:rPr>
              <w:t>Indication/Field</w:t>
            </w:r>
          </w:p>
        </w:tc>
        <w:tc>
          <w:tcPr>
            <w:tcW w:w="260" w:type="dxa"/>
            <w:vAlign w:val="bottom"/>
          </w:tcPr>
          <w:p>
            <w:pPr>
              <w:spacing w:after="0"/>
              <w:rPr>
                <w:sz w:val="14"/>
                <w:szCs w:val="14"/>
                <w:color w:val="auto"/>
              </w:rPr>
            </w:pPr>
          </w:p>
        </w:tc>
        <w:tc>
          <w:tcPr>
            <w:tcW w:w="208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4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CDX-110 (rindopepimut)</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Glioblastoma multiforme</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2b</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CDX-011 (glembatumumab vedotin)</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Metastatic breast cancer and melanoma</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2b</w:t>
            </w: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CDX-1307</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Muscle-invasive bladder cancer</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2</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Multiple solid tumors</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1/2</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PRECLINICAL</w:t>
            </w: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Cancer, autoimmune disease and transplant</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CDX-1127</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Immuno-modulation, multiple tumors</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Renal and ovarian cancer</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MARKETED PRODUCTS</w:t>
            </w: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Rotarix</w:t>
            </w:r>
            <w:r>
              <w:rPr>
                <w:rFonts w:ascii="Arial" w:cs="Arial" w:eastAsia="Arial" w:hAnsi="Arial"/>
                <w:sz w:val="23"/>
                <w:szCs w:val="23"/>
                <w:color w:val="auto"/>
                <w:vertAlign w:val="superscript"/>
              </w:rPr>
              <w:t>®</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Rotavirus infection</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GlaxoSmithKline</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Marketed</w:t>
            </w: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16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8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ectPr>
          <w:pgSz w:w="11900" w:h="16902" w:orient="portrait"/>
          <w:cols w:equalWidth="0" w:num="1">
            <w:col w:w="11420"/>
          </w:cols>
          <w:pgMar w:left="240" w:top="125" w:right="239" w:bottom="0" w:gutter="0" w:footer="0" w:header="0"/>
        </w:sectPr>
      </w:pPr>
    </w:p>
    <w:bookmarkStart w:id="11" w:name="page12"/>
    <w:bookmarkEnd w:id="11"/>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past five years through December 31, 2010, we incurred an aggregate of $96.4 million in research and development expenses. The following table indicates the amount incurred for each of our significant research programs and for other identified research and development activities during the three months ended March 31, 2011 and 2010. The amounts disclosed in the following table reflect direct research and development costs, license fees associated with the underlying technology and an allocation of indirect research and development costs to each program.</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88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3"/>
          </w:tcPr>
          <w:p>
            <w:pPr>
              <w:jc w:val="right"/>
              <w:ind w:right="516"/>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Rindopepimut</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1,056</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CDX-011</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CDX-1307</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586</w:t>
            </w:r>
          </w:p>
        </w:tc>
        <w:tc>
          <w:tcPr>
            <w:tcW w:w="9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CDX-1135</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810</w:t>
            </w:r>
          </w:p>
        </w:tc>
        <w:tc>
          <w:tcPr>
            <w:tcW w:w="9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CDX-301</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9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1,894</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1,836</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CDX-014</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9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685</w:t>
            </w:r>
          </w:p>
        </w:tc>
        <w:tc>
          <w:tcPr>
            <w:tcW w:w="9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1,011</w:t>
            </w: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880" w:type="dxa"/>
            <w:vAlign w:val="bottom"/>
            <w:tcBorders>
              <w:top w:val="single" w:sz="8" w:color="auto"/>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lead clinical development program, rindopepimut,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cancer cell growth. EGFRvIII is commonly present in glioblastoma multiforme, or GBM, the most common and aggressive form of brain cancer, and has also been observed in various other cancers such as lung, liver, and head and neck cancer. The Food and Drug Administration (“FDA”) has granted orphan drug designation for rindopepimut for the treatment of EGFRvIII expressing GBM as well as fast track designation.</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April 2008, we and Pfizer Inc. (“Pfizer”) entered into a License and Development Agreement (the “Pfizer Agreement”) under which Pfizer was granted an exclusive worldwide license to rindopepimut. The Pfizer Agreement also gave Pfizer exclusive rights to the use of EGFRvIII vaccines in other potential indications. The Pfizer Agreement also provided for reimbursement by Pfizer of all costs incurred by us in connection with the collaboration since the effective date.</w:t>
      </w:r>
    </w:p>
    <w:p>
      <w:pPr>
        <w:spacing w:after="0" w:line="187"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On September 1, 2010, we received written notice (the “Pfizer Notice”) from Pfizer of termination with respect to the Pfizer Agreement. The Pfizer Notice was given under a provision of the Pfizer Agreement which permitted termination at any time and for any reason, upon 60-days’ written notice to us. The Pfizer Notice did not state a reason for termination. In November 2010, the Pfizer Agreement was terminated (the “Pfizer Termination”) and all rights to rindopepimut were returned to us. Effective with the Pfizer Termination, Pfizer is no longer funding the development of rindopepimut.</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Phase 1 (VICTORI) and Phase 2a (ACTIVATE) studies of EGFRvIII immunotherapy were led by collaborating investigators at the Brain Center at Duke Comprehensive Cancer Center in Durham, North Carolina and at M.D. Anderson Cancer Center in Houston, Texas and enrolled 14 and 18 evaluable patients, respectively. An extension of the Phase 2a study (ACT II) at the same two institutions evaluated 22 additional GBM patients treated in combination with maintenance temozolomide (TMZ) (the current standard of care).</w:t>
      </w:r>
    </w:p>
    <w:p>
      <w:pPr>
        <w:spacing w:after="0" w:line="18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initiated a Phase 2b/3 randomized study (ACT III) of rindopepimut combined with standard of care, TMZ, versus standard of care alone in patients with GBM in over 30 sites throughout the United States. In December 2008, we announced an amendment to convert the ACT III study to a single-arm Phase 2 clinical trial in which all patients were to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GBM.</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two leading centers, reported progression-free rates at 8.5 months after diagnosis of 70% and 80%, respectively, and similar results were seen in the ACT III trial, which enrolled patients in over 25 centers in the United States.</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summarizes the progression free survival (“PFS”) and overall survival (“OS”) rates from clinical trials of rindopepimut as reported in November 2010 as compared to matched historical controls and the standard of care.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0" w:type="dxa"/>
            <w:vAlign w:val="bottom"/>
          </w:tcPr>
          <w:p>
            <w:pPr>
              <w:jc w:val="center"/>
              <w:ind w:left="268"/>
              <w:spacing w:after="0"/>
              <w:rPr>
                <w:sz w:val="20"/>
                <w:szCs w:val="20"/>
                <w:color w:val="auto"/>
              </w:rPr>
            </w:pPr>
            <w:r>
              <w:rPr>
                <w:rFonts w:ascii="Arial" w:cs="Arial" w:eastAsia="Arial" w:hAnsi="Arial"/>
                <w:sz w:val="14"/>
                <w:szCs w:val="14"/>
                <w:b w:val="1"/>
                <w:bCs w:val="1"/>
                <w:color w:val="auto"/>
                <w:w w:val="96"/>
              </w:rPr>
              <w:t>Median PFS from</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2"/>
          </w:tcPr>
          <w:p>
            <w:pPr>
              <w:ind w:left="460"/>
              <w:spacing w:after="0"/>
              <w:rPr>
                <w:sz w:val="20"/>
                <w:szCs w:val="20"/>
                <w:color w:val="auto"/>
              </w:rPr>
            </w:pPr>
            <w:r>
              <w:rPr>
                <w:rFonts w:ascii="Arial" w:cs="Arial" w:eastAsia="Arial" w:hAnsi="Arial"/>
                <w:sz w:val="14"/>
                <w:szCs w:val="14"/>
                <w:b w:val="1"/>
                <w:bCs w:val="1"/>
                <w:color w:val="auto"/>
              </w:rPr>
              <w:t>Median OS from</w:t>
            </w:r>
          </w:p>
        </w:tc>
        <w:tc>
          <w:tcPr>
            <w:tcW w:w="19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OS at 24 months</w:t>
            </w:r>
          </w:p>
        </w:tc>
        <w:tc>
          <w:tcPr>
            <w:tcW w:w="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9"/>
              </w:rPr>
              <w:t>diagnosis (months)</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diagnosis (months)</w:t>
            </w:r>
          </w:p>
        </w:tc>
        <w:tc>
          <w:tcPr>
            <w:tcW w:w="28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ACT III (n=65)</w:t>
            </w:r>
          </w:p>
        </w:tc>
        <w:tc>
          <w:tcPr>
            <w:tcW w:w="1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12.3(1)</w:t>
            </w:r>
          </w:p>
        </w:tc>
        <w:tc>
          <w:tcPr>
            <w:tcW w:w="22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24.3(2)</w:t>
            </w: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ACT II (n=22)</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15.3</w:t>
            </w:r>
          </w:p>
        </w:tc>
        <w:tc>
          <w:tcPr>
            <w:tcW w:w="2220" w:type="dxa"/>
            <w:vAlign w:val="bottom"/>
            <w:gridSpan w:val="2"/>
          </w:tcPr>
          <w:p>
            <w:pPr>
              <w:ind w:left="1620"/>
              <w:spacing w:after="0"/>
              <w:rPr>
                <w:sz w:val="20"/>
                <w:szCs w:val="20"/>
                <w:color w:val="auto"/>
              </w:rPr>
            </w:pPr>
            <w:r>
              <w:rPr>
                <w:rFonts w:ascii="Arial" w:cs="Arial" w:eastAsia="Arial" w:hAnsi="Arial"/>
                <w:sz w:val="18"/>
                <w:szCs w:val="18"/>
                <w:color w:val="auto"/>
              </w:rPr>
              <w:t>24.4</w:t>
            </w:r>
          </w:p>
        </w:tc>
        <w:tc>
          <w:tcPr>
            <w:tcW w:w="238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ACTIVATE (n=18)</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14.2</w:t>
            </w:r>
          </w:p>
        </w:tc>
        <w:tc>
          <w:tcPr>
            <w:tcW w:w="22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24.6</w:t>
            </w:r>
          </w:p>
        </w:tc>
        <w:tc>
          <w:tcPr>
            <w:tcW w:w="2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Matched historical control (n=17)(3)</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220" w:type="dxa"/>
            <w:vAlign w:val="bottom"/>
            <w:gridSpan w:val="2"/>
          </w:tcPr>
          <w:p>
            <w:pPr>
              <w:ind w:left="1620"/>
              <w:spacing w:after="0"/>
              <w:rPr>
                <w:sz w:val="20"/>
                <w:szCs w:val="20"/>
                <w:color w:val="auto"/>
              </w:rPr>
            </w:pPr>
            <w:r>
              <w:rPr>
                <w:rFonts w:ascii="Arial" w:cs="Arial" w:eastAsia="Arial" w:hAnsi="Arial"/>
                <w:sz w:val="18"/>
                <w:szCs w:val="18"/>
                <w:color w:val="auto"/>
              </w:rPr>
              <w:t>15.2</w:t>
            </w:r>
          </w:p>
        </w:tc>
        <w:tc>
          <w:tcPr>
            <w:tcW w:w="23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Standard of care radiation/TMZ (n=287)(4)</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22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14.6</w:t>
            </w:r>
          </w:p>
        </w:tc>
        <w:tc>
          <w:tcPr>
            <w:tcW w:w="2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4920" w:hanging="5612"/>
        <w:spacing w:after="0" w:line="528" w:lineRule="auto"/>
        <w:tabs>
          <w:tab w:leader="none" w:pos="673"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survival data for ACT III are estimated and not yet final.</w:t>
      </w:r>
    </w:p>
    <w:p>
      <w:pPr>
        <w:spacing w:after="0" w:line="225" w:lineRule="exact"/>
        <w:rPr>
          <w:rFonts w:ascii="Arial" w:cs="Arial" w:eastAsia="Arial" w:hAnsi="Arial"/>
          <w:sz w:val="18"/>
          <w:szCs w:val="18"/>
          <w:color w:val="auto"/>
        </w:rPr>
      </w:pPr>
    </w:p>
    <w:p>
      <w:pPr>
        <w:ind w:left="660" w:right="580" w:hanging="652"/>
        <w:spacing w:after="0" w:line="264" w:lineRule="auto"/>
        <w:tabs>
          <w:tab w:leader="none" w:pos="681"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Sampson, et al. J. Clin. Oncol. 2010 Nov 1, 28(31), 4722-9. Historical controls were treated at M.D. Anderson and matched for eligibility (EGFRvIII-positive, KPS greater-than or equal to 80%, complete resection, radiation/TMZ and without progression through ~ 3 months post-diagnosis).</w:t>
      </w:r>
    </w:p>
    <w:p>
      <w:pPr>
        <w:spacing w:after="0" w:line="181" w:lineRule="exact"/>
        <w:rPr>
          <w:rFonts w:ascii="Arial" w:cs="Arial" w:eastAsia="Arial" w:hAnsi="Arial"/>
          <w:sz w:val="18"/>
          <w:szCs w:val="18"/>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pacing w:after="0" w:line="225"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Importantly, rindopepimut showed a similar benefit in patients whether or not they expressed an active DNA repair gene (MGMT) that has been shown to limit the benefit from TMZ treatment. In ACT III, the number of patients who were expected to be resistant to the TMZ chemotherapy appeared to do better with vaccination than the numbers observed in the historical data. Patients who have an active DNA repair gene, MGMT (unmethylated),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17.2 months, which compares favorably with the published data from the SOC of radiation plus TMZ (R+TMZ) of 10.3 months. Those with unmethylated tumors (n=40) treated with the rindopepimut regimen experienced a PFS of</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11.2 months, which compared favorably to the PFS with SOC of 5.3 months in this patient population. Thus, rindopepimut would appear to benefit both methylated and unmethylated MGMT patients.</w:t>
      </w:r>
    </w:p>
    <w:p>
      <w:pPr>
        <w:spacing w:after="0" w:line="18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Discussions are ongoing with the FDA and other regulatory authorities regarding the registration strategy for rindopepimut. We are currently planning to initiate a pivotal Phase 3 randomized study of rindopepimut in patients with GBM in the second half of 2011.</w:t>
      </w:r>
    </w:p>
    <w:p>
      <w:pPr>
        <w:sectPr>
          <w:pgSz w:w="11900" w:h="16838" w:orient="portrait"/>
          <w:cols w:equalWidth="0" w:num="1">
            <w:col w:w="11420"/>
          </w:cols>
          <w:pgMar w:left="240" w:top="368" w:right="239" w:bottom="0" w:gutter="0" w:footer="0" w:header="0"/>
        </w:sectPr>
      </w:pPr>
    </w:p>
    <w:bookmarkStart w:id="13" w:name="page14"/>
    <w:bookmarkEnd w:id="13"/>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CDX-011 is an antibody-drug conjugate (ADC) that consists of a fully- 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w:t>
      </w:r>
    </w:p>
    <w:p>
      <w:pPr>
        <w:spacing w:after="0" w:line="169" w:lineRule="exact"/>
        <w:rPr>
          <w:sz w:val="20"/>
          <w:szCs w:val="20"/>
          <w:color w:val="auto"/>
        </w:rPr>
      </w:pPr>
    </w:p>
    <w:p>
      <w:pPr>
        <w:jc w:val="both"/>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have received prior therapy (median of seven prior regimens). The study began with a bridging phase to confirm the maximum tolerated dose (“MTD”) and then expanded into a Phase 2 open-label, multi-center study.</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any tumor shrinkage, 12-week PFS rate was 70% (7/10), and median PFS was 17.9 weeks. Tumor samples from a subset of patients across all dose groups were analyzed for GPNMB expression. The tumor samples from most patients showed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evidence of stromal and/or tumor cell expression of GPNMB. The most common treatment-related toxicities were fatigue, rash, nausea, alopecia (hair loss), neutropenia and vomiting.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2010, the FDA granted Fast Track designation to CDX-011 for the treatment of advanced, refractory/resistant GPNMB-expressing breast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cancer.</w:t>
      </w:r>
    </w:p>
    <w:p>
      <w:pPr>
        <w:spacing w:after="0" w:line="21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September 2010, we initiated a randomized Phase 2b controlled study in patients with heavily pre-treated, advanced breast cancer whose tumors are confirmed to express GPNMB via a validated, centralized diagnostic assay. We expect that a significant portion of the enrolled patients will have triple-negative disease, since GPNMB is frequently expressed in this patient population. Patients will be randomized (2:1) to receive either CDX-011 or single-agent “Investigator’s Choice” chemotherapy. Activity endpoints will include objective response rate (“ORR”), PFS and OS. We expect to complete enrollment of 120 patients at approximately 20-25 clinical sites in the United States in 2011 with preliminary data expected in 2012.</w:t>
      </w:r>
    </w:p>
    <w:p>
      <w:pPr>
        <w:spacing w:after="0" w:line="154"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In June 2006, a Phase 1/2 open-label, multi-center, dose escalation study was initiated to evaluate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tolerability and pharmacokinetics of CDX-011 for patients with un-resectable Stage III or Stage IV melanoma who have failed no more than one prior line of cytotoxic therapy. A total of 117 patients were enrolled in this trial. The trial initially evaluated doses of CDX-011 between 0.03 mg/kg to 2.63 mg/kg given once every three weeks. CDX-011 was generally well tolerated, with rash and neutropenia emerging at higher doses. The MTD was determined to be 1.88 mg/kg administered intravenously (IV) once every three weeks.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study achieved its primary activity objective with an ORR in the Phase 2 cohort of 15% (5/34). Median PFS was 3.9 months. CDX-011 was found to be active in advanced melanoma patients in the study. The most frequent treatment-related adverse events included rash, fatigue, alopecia (hair loss), pruritus, diarrhea and neuropathy.</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More frequent dosing schedules of CDX-011 were also evaluated, including a weekly and a two out of every three-week regimen, to explore if more frequent administration can provide additional activity in patients with metastatic melanoma. Doses of 1.0 mg/kg given once every week and 1.5 mg/kg given for two out of three weeks were identified as the MTD in each schedule. The response rate was observed to be 20% and 33%, respectively. This increased activity was accompanied by increased toxicity.</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Melanoma is a difficult disease to work with and, at this point in time, our intention is to first focus our resources on advancing CDX-011 in breast cancer. We intend to conduct additional Phase 2 development of CDX-011 in combination with other therapies in investigator sponsored studies to further develop this product candidate in melanoma.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lead APC Targeting Technology™ product candidate, CDX-1307,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8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Phase 1 studies are complete. The Phase 1 studies investigated the safety and immunogenicity of CDX-1307 alone and in combination with adjuvants, including GM-CSF (known to increase mannose receptor expression on dendritic cells) and Toll-Like Receptor (“TLR”) agonists (poly-ICLC or</w:t>
      </w:r>
    </w:p>
    <w:p>
      <w:pPr>
        <w:sectPr>
          <w:pgSz w:w="11900" w:h="16908" w:orient="portrait"/>
          <w:cols w:equalWidth="0" w:num="1">
            <w:col w:w="11420"/>
          </w:cols>
          <w:pgMar w:left="240" w:top="341"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Hiltonol™ and R848 or resiquimod).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Patients with an assortment of different tumor types that are known to express hCG-Beta were enrolled with retrospective analysis for hCG-Beta expression.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regimen of every two week dosing for four doses was utilized with the possibility of retreatment if patients demonstrate tumor regression or stable disease.</w:t>
      </w:r>
    </w:p>
    <w:p>
      <w:pPr>
        <w:spacing w:after="0" w:line="23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Phase 1 studies enrolled over 80 patients with heavily pretreated, advanced-stage colorectal, breast, pancreatic, bladder/ureteral, ovarian and testicular cancer. All patient cohorts demonstrated a favorable safety profile with no dose limiting toxicity. The combination of CDX-1307 with TLR agonists significantly enhanced immune responses against hCG-Beta. Immune responses occurred even in the presence of high circulating levels of hCG-Beta, suggesting that the CDX-1307 can overcome antigen tolerance in advanced and heavily pretreated cancers. Nine patients in the studies experienced disease stabilization from 2.3 months to 16 months following the initiation of CDX-1307 vaccination. These data provide the basis for advancing CDX-1307 into a front-line patient population selected for hCG-Beta-expressing cancers.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May 2010, we initiated a 60 patient randomized (1:1) Phase 2 controlled study to evaluate the CDX-1307 regimen in both neoadjuvant and adjuvant settings in patients with newly diagnosed muscle-invasive bladder cancers that express hCG-Beta. In April 2011, we amended the study design to be a 30 patient single-arm study.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CDX-1401, also developed from the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 which express the proprietary cancer antigen NY-ESO-1, which we licensed from the Ludwig Institute for Cancer Research in 2006. We believe that preclinical studies have shown that CDX-1401 is effective for activation of human T-cell responses against NY-ESO-1.</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TLR agonists poly-ICLC or Hiltonol™ and/or R848 or resiquimod. We expect to enroll approximately 70 patients with solid tumor cancers at multiple clinical sites in the United States.</w:t>
      </w:r>
    </w:p>
    <w:p>
      <w:pPr>
        <w:spacing w:after="0" w:line="1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 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 responses and 39% of the patients having increases in NY-ESO-1 specific T cell responses, including both CD4 and CD8 responses. Importantly, the T cell responses were directed against multiple regions of the NY-ESO-1 antigen.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Other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 In March 2011, we filed an Investigational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Drug (“IND”) application for CDX-301.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have entered into a License Agreement with the University of Southampton, UK, to develop human antibodies to CD27, a potentially important target for immunotherapy of various cancers. In preclinical models, antibodies to CD27 alone have been shown to mediate anti-tumor effects, and may be particularly effective in combination with other immunotherapy. CD27 is a critical molecule in the activation pathway of lymphocytes. It acts downstream from CD40 and may provide a novel way to regulate the immune responses. In September 2010, we exercised an option under our Research and Commercialization Agreement with Medarex, whereby we have a commercial license to the human antibody technology specifically for our CD27 antibody. Preclinical models with our human monoclonal antibody to CD27 have demonstrated immune cell activation and anti-tumor responses. We expect to initiate a dose escalation Phase 1 study during the fourth quarter of 2011 after completing required preclinical toxicology studies.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CDX-014 is a fully-human monoclonal ADC that targets TIM-1, an immunomudulatory protein that appears to down regulate immune response to tumors. The antibody, CDX-014, is linked to a potent chemotherapeutic, monomethyl auristatin E (MMAE), using Seattle Genetics’ proprietary technology.</w:t>
      </w:r>
    </w:p>
    <w:p>
      <w:pPr>
        <w:sectPr>
          <w:pgSz w:w="11900" w:h="16838" w:orient="portrait"/>
          <w:cols w:equalWidth="0" w:num="1">
            <w:col w:w="11420"/>
          </w:cols>
          <w:pgMar w:left="240" w:top="125" w:right="239" w:bottom="0" w:gutter="0" w:footer="0" w:header="0"/>
        </w:sectPr>
      </w:pPr>
    </w:p>
    <w:bookmarkStart w:id="15" w:name="page16"/>
    <w:bookmarkEnd w:id="15"/>
    <w:p>
      <w:pPr>
        <w:spacing w:after="0" w:line="5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 development path for CDX-1135 and are focusing on rare disease conditions of unregulated complement activation as the fastest route to FDA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pacing w:after="0" w:line="225"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w:t>
      </w:r>
      <w:r>
        <w:rPr>
          <w:rFonts w:ascii="Arial" w:cs="Arial" w:eastAsia="Arial" w:hAnsi="Arial"/>
          <w:sz w:val="23"/>
          <w:szCs w:val="23"/>
          <w:color w:val="auto"/>
          <w:vertAlign w:val="superscript"/>
        </w:rPr>
        <w:t>®</w:t>
      </w:r>
      <w:r>
        <w:rPr>
          <w:rFonts w:ascii="Arial" w:cs="Arial" w:eastAsia="Arial" w:hAnsi="Arial"/>
          <w:sz w:val="18"/>
          <w:szCs w:val="18"/>
          <w:color w:val="auto"/>
        </w:rPr>
        <w:t>,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In May 2005, we entered into an agreement whereby an affiliate of PRF purchased a 70% interest in the milestone payments and net royalties that we will receive on the development and worldwide sales of Rotarix</w:t>
      </w:r>
      <w:r>
        <w:rPr>
          <w:rFonts w:ascii="Arial" w:cs="Arial" w:eastAsia="Arial" w:hAnsi="Arial"/>
          <w:sz w:val="20"/>
          <w:szCs w:val="20"/>
          <w:color w:val="auto"/>
          <w:vertAlign w:val="superscript"/>
        </w:rPr>
        <w:t>®</w:t>
      </w:r>
      <w:r>
        <w:rPr>
          <w:rFonts w:ascii="Arial" w:cs="Arial" w:eastAsia="Arial" w:hAnsi="Arial"/>
          <w:sz w:val="16"/>
          <w:szCs w:val="16"/>
          <w:color w:val="auto"/>
        </w:rPr>
        <w:t>. We have received a total of $60 million in milestone payments under the PRF agreement. No additional milestone payments are due from PRF under the agreement. The PRF agreement terminates on December 12, 2012, unless otherwise extended.</w:t>
      </w:r>
    </w:p>
    <w:p>
      <w:pPr>
        <w:spacing w:after="0" w:line="162"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Royalty rates on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vaccine at the lower of the two royalty rates under their 1997 license agreement. Glaxo’s decision to pay the lower royalty rate (which is 70% of the full rate) is based upon Glaxo’s assertion that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With respect to the $27.5 million annual threshold, if worldwide net royalties on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exceed $27.5 million in any year, we would retain approximately 65% of all royalties in excess of $27.5 million. Irrespective of Glaxo’s position, we will still retain approximately 65% of the royalties on worldwide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if PRF receives 2.45 times the aggregate cash payments of $60 million it made to us, though the potential amount of such residual royalties will be lower if Glaxo’s position stands.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2010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2011 compared with Three Months Ended March 31,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1,347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(1,333)</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2,502</w:t>
            </w: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2,146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3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5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Royalty</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2,502</w:t>
            </w: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2,327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2,386</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2,835</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(449)</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(1,037)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12,174</w:t>
            </w:r>
          </w:p>
        </w:tc>
        <w:tc>
          <w:tcPr>
            <w:tcW w:w="3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340" w:type="dxa"/>
            <w:vAlign w:val="bottom"/>
            <w:tcBorders>
              <w:bottom w:val="single" w:sz="8" w:color="CCEEFF"/>
            </w:tcBorders>
            <w:gridSpan w:val="2"/>
          </w:tcPr>
          <w:p>
            <w:pPr>
              <w:spacing w:after="0"/>
              <w:rPr>
                <w:sz w:val="18"/>
                <w:szCs w:val="18"/>
                <w:color w:val="auto"/>
              </w:rPr>
            </w:pPr>
          </w:p>
        </w:tc>
        <w:tc>
          <w:tcPr>
            <w:tcW w:w="15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3,162</w:t>
            </w:r>
          </w:p>
        </w:tc>
        <w:tc>
          <w:tcPr>
            <w:tcW w:w="3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(3,078)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16" w:name="page17"/>
    <w:bookmarkEnd w:id="16"/>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3227705</wp:posOffset>
            </wp:positionH>
            <wp:positionV relativeFrom="page">
              <wp:posOffset>88900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$3.5 million increase in net loss for the three months ended March 31, 2011 compared to the three months ended March 31, 2010 was primarily the result of a decrease in other income and product development and licensing agreement revenue, partially offset by a decrease in amortization expense on acquired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The $1.3 million decrease in product development and licensing agreement revenue for the three months ended March 31, 2011 was primarily due to the Pfizer Termination which resulted in us recognizing the remaining deferred revenue related to the Pfizer Agreement in 2010. The $0.2 million decrease in contract and grant revenue for the three months ended March 31, 2011 was due to a decrease in revenue related to our vaccine development work on Rockefeller’s DCVax-001 (CDX-2401) program. The $0.4 million increase in product royalty revenue for the three months ended March 31, 2011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92"/>
              </w:rPr>
              <w:t>Increase/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3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618"/>
              <w:spacing w:after="0"/>
              <w:rPr>
                <w:sz w:val="20"/>
                <w:szCs w:val="20"/>
                <w:color w:val="auto"/>
              </w:rPr>
            </w:pPr>
            <w:r>
              <w:rPr>
                <w:rFonts w:ascii="Arial" w:cs="Arial" w:eastAsia="Arial" w:hAnsi="Arial"/>
                <w:sz w:val="14"/>
                <w:szCs w:val="14"/>
                <w:b w:val="1"/>
                <w:bCs w:val="1"/>
                <w:color w:val="auto"/>
                <w:w w:val="89"/>
              </w:rPr>
              <w:t>(Decrease)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39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2010</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98"/>
              <w:spacing w:after="0" w:line="142" w:lineRule="exact"/>
              <w:rPr>
                <w:sz w:val="20"/>
                <w:szCs w:val="20"/>
                <w:color w:val="auto"/>
              </w:rPr>
            </w:pPr>
            <w:r>
              <w:rPr>
                <w:rFonts w:ascii="Arial" w:cs="Arial" w:eastAsia="Arial" w:hAnsi="Arial"/>
                <w:sz w:val="14"/>
                <w:szCs w:val="14"/>
                <w:b w:val="1"/>
                <w:bCs w:val="1"/>
                <w:color w:val="auto"/>
                <w:w w:val="76"/>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3,203</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3,160</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43</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Laboratory Supplies</w:t>
            </w:r>
          </w:p>
        </w:tc>
        <w:tc>
          <w:tcPr>
            <w:tcW w:w="840" w:type="dxa"/>
            <w:vAlign w:val="bottom"/>
          </w:tcPr>
          <w:p>
            <w:pPr>
              <w:spacing w:after="0"/>
              <w:rPr>
                <w:sz w:val="18"/>
                <w:szCs w:val="18"/>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530</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536</w:t>
            </w:r>
          </w:p>
        </w:tc>
        <w:tc>
          <w:tcPr>
            <w:tcW w:w="480" w:type="dxa"/>
            <w:vAlign w:val="bottom"/>
          </w:tcPr>
          <w:p>
            <w:pPr>
              <w:spacing w:after="0"/>
              <w:rPr>
                <w:sz w:val="18"/>
                <w:szCs w:val="18"/>
                <w:color w:val="auto"/>
              </w:rPr>
            </w:pP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(6)</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1,174</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1,491</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(317)</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1,369</w:t>
            </w:r>
          </w:p>
        </w:tc>
        <w:tc>
          <w:tcPr>
            <w:tcW w:w="6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791</w:t>
            </w:r>
          </w:p>
        </w:tc>
        <w:tc>
          <w:tcPr>
            <w:tcW w:w="480" w:type="dxa"/>
            <w:vAlign w:val="bottom"/>
          </w:tcPr>
          <w:p>
            <w:pPr>
              <w:spacing w:after="0"/>
              <w:rPr>
                <w:sz w:val="20"/>
                <w:szCs w:val="20"/>
                <w:color w:val="auto"/>
              </w:rPr>
            </w:pP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578</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r>
    </w:tbl>
    <w:p>
      <w:pPr>
        <w:spacing w:after="0" w:line="18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Personnel expenses primarily include salary, benefits, stock-based compensation, payroll taxes and recruiting costs. The increase in personnel expenses for the three months ended March 31, 2011 was primarily due to higher headcount partially offset by a decrease in stock-based compensation expense. We expect personnel expenses to remain relatively consistent over the next twelve months, although there may be fluctuations on a quarterly basis.</w:t>
      </w:r>
    </w:p>
    <w:p>
      <w:pPr>
        <w:spacing w:after="0" w:line="14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Laboratory supply expense for the three months ended March 31, 2011 was relatively consistent as compared to the three months ended March 31, 2010. We expect supply expenses to increase over the next twelve months as a result of increased research and development activities, although there may be fluctuations on a quarterly basis.</w:t>
      </w:r>
    </w:p>
    <w:p>
      <w:pPr>
        <w:spacing w:after="0" w:line="187"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The $0.3 million decrease in facility expenses for the three months ended March 31, 2011 was primarily due to lower depreciation and amortization expenses. We expect facility expenses to remain relatively consistent over the next twelve months, although there may be fluctuations on a quarterly basis.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$0.6 million increase in product development expenses for the three months ended March 31, 2011 was primarily due to an increase in clinical expenses of $0.4 million largely due to our rindopepimut and CDX-011 programs. We expect product development expenses to increase over the next twelve months primarily due to the increase in clinical trial expenses related to our rindopepimut program, although there may be fluctuations on a quarterly basis.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Royalty expenses include product royalty and sublicense royalty fees on our out-licensed programs. The $0.2 million increase in royalty expenses for the three months ended March 31, 2011 was due to an increase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product royalty fees, partially offset by the lack of sublicense royalty fees during the three months ended March 31, 2011 due to the Pfizer Termination which resulted in us recognizing the remaining deferred sublicense fees related to the Pfizer Agreement in 2010.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are recorded as product royalty revenue and a corresponding amount that is payable to CCH is recorded as royalty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$0.4 million decrease in general and administrative expenses for the three months ended March 31, 2011 was primarily due to $0.2 million in lower stock-based compensation expense. We expect general and administrative expense to remain relatively consistent over the next twelve months, although there may be fluctuations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$1.0 million decrease in amortization expenses for the three months ended March 31, 2011 was due to the TopoTarget Agreement intangible asset acquired in connection with the CuraGen Merger. In February 2010, TopoTarget entered into a co-development and commercialization agreement for</w:t>
      </w:r>
    </w:p>
    <w:p>
      <w:pPr>
        <w:sectPr>
          <w:pgSz w:w="11900" w:h="16962" w:orient="portrait"/>
          <w:cols w:equalWidth="0" w:num="1">
            <w:col w:w="11420"/>
          </w:cols>
          <w:pgMar w:left="240" w:top="355" w:right="239" w:bottom="0" w:gutter="0" w:footer="0" w:header="0"/>
        </w:sectPr>
      </w:pPr>
    </w:p>
    <w:bookmarkStart w:id="17" w:name="page18"/>
    <w:bookmarkEnd w:id="17"/>
    <w:p>
      <w:pPr>
        <w:ind w:right="100"/>
        <w:spacing w:after="0" w:line="259" w:lineRule="auto"/>
        <w:rPr>
          <w:sz w:val="20"/>
          <w:szCs w:val="20"/>
          <w:color w:val="auto"/>
        </w:rPr>
      </w:pPr>
      <w:r>
        <w:rPr>
          <w:rFonts w:ascii="Arial" w:cs="Arial" w:eastAsia="Arial" w:hAnsi="Arial"/>
          <w:sz w:val="18"/>
          <w:szCs w:val="18"/>
          <w:color w:val="auto"/>
        </w:rPr>
        <w:t>Belinostat with Spectrum Pharmaceuticals, Inc. which resulted in our receipt of $3.0 million which we recorded as Other Income for the three months ended March 31, 2010 and we recorded amortization expense related to the TopoTarget Agreement of $1.2 million for the three months ended March 31, 2010. We expect amortization expense of acquired intangible assets to decrease over the next twelve months as the remaining value of the TopoTarget Agreement is being amortized through June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$3.1 million decrease in investment and other income, net for the three months ended March 31, 2011 was primarily due to $3.0 million received in connection with the TopoTarget Agreement during the three months ended March 31, 2010. We anticipate investment income to decrease over the next twelve months due to lower cash and investment balances caused by the utilization of cash and investment balances in the normal course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$0.1 million increase in interest expense for the three months ended March 31, 2011 was primarily due to the Term Loan we entered into in December 2010 and amended in March 2011. In February 2011, we paid $12.8 million to satisfy all outstanding principal and accrued interest related to the CuraGen Debt. We anticipate interest expense to remain relatively consistent over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At March 31, 2011, our principal sources of liquidity consisted of cash, cash equivalents and marketable securities of $44.3 million. Our working capital at March 31, 2011 was $37.3 million. At March 31, 2011, our Term Loan balance was $15.0 million. We incurred a loss of $10.1 million for the three months ended March 31, 2011. Net cash used in operations for the three months ended March 31, 2011 was $8.9 million. In April 2011, the Company sold 500,000 shares of common stock under the Cantor Agreement and raised $2.1 million in gross proceeds. We believe that the cash, cash equivalents and marketable securities at March 31, 2011 in addition to the $2.1 million raised from the completed sales of common stock under the Cantor Agreement, interest income on invested funds and our ability to control certain costs, including those related to clinical trials, manufacturing and preclinical activities, will be sufficient to meet estimated working capital requirements and fund planned operations for at least the next twelve months.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During the next twelve months, we will take further steps to raise additional capital to meet our long-term liquidity needs including, but not limited to,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license out programs earlier than expected, raise funds at significant discount or on other unfavorable terms, or sell all or part of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Net cash used in operating activities was $8.9 million for the three months ended March 31, 2011 compared to $6.9 million for the three months ended March 31, 2010. The increase in net cash used in operating activities was primarily due to decreases in other income and amortization of intangible assets during the three months ended March 31, 2011 resulting from the $3.0 million received in connection with the TopoTarget Agreement during the three months ended March 31, 2010. We expect that cash used in operations will increase over the next twelve months primarily related to costs incurred on our rindopepimut program.</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cash provided by investing activities was $5.3 million for the three months ended March 31, 2011 compared to net cash used in investing activities of $7.5 million for the three months ended March 31, 2010. The increase in net cash provided by investing activities was primarily due to net sales of marketable securities for the three months ended March 31, 2011 of $5.4 million as compared to net purchases of marketable securities for the three months ended March 31, 2010 of $7.2 million.</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Net cash used in financing activities was $7.5 million for the three months ended March 31, 2011. In February 2011, we paid $12.5 million to satisfy all outstanding principal related to the CuraGen Debt. In March 2011, we amended the Loan Agreement and borrowed an additional $5 million from GECC to increase the amount owed under the Term Loan to $15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April 2010, we filed a shelf registration statement with the Securities and Exchange Commission to register for sale any combination of the types of securities described in the filing up to a dollar amount of $150 million. The shelf registration went effective on April 22, 2010.</w:t>
      </w:r>
    </w:p>
    <w:p>
      <w:pPr>
        <w:spacing w:after="0" w:line="14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January 6, 2011, we entered into a controlled equity offering sales agreement (the “Cantor Agreement”) with Cantor Fitzgerald &amp; Co. (“Cantor”) pursuant to which we may issue and sell up to 5,000,000 shares of our common stock from time to time through Cantor, acting as agent. We agreed to pay Cantor a commission up to 5% of the gross proceeds from each sale and to reimburse Cantor for certain expenses incurred in connection with entering into the Cantor Agreement. As of March 31, 2011, we had not sold any shares of common stock under the Cantor Agreement. In April 2011, the Company sold 500,000 shares of common stock under the Cantor Agreement and raised $2.1 million in gross proceeds.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December 30, 2010, we entered into a Loan and Security Agreement (the “Loan Agreement”) with MidCap Financial, LLC (“MidCap”) pursuant to which we borrowed $10 million (the “Term Loan”) from MidCap. In March 2011, we amended the Loan Agreement and borrowed an additional $5 million from GECC to increase the amount owed under the Term Loan to $15 million. No additional advances are available under the Loan Agreement. The Term Loan accrues interest at a fixed annual interest rate equal to the greater of (i) the sum of (A) the LIBOR Rate (as defined in the Loan Agreement) plus</w:t>
      </w:r>
    </w:p>
    <w:p>
      <w:pPr>
        <w:spacing w:after="0" w:line="2" w:lineRule="exact"/>
        <w:rPr>
          <w:sz w:val="20"/>
          <w:szCs w:val="20"/>
          <w:color w:val="auto"/>
        </w:rPr>
      </w:pPr>
    </w:p>
    <w:p>
      <w:pPr>
        <w:ind w:right="80" w:firstLine="8"/>
        <w:spacing w:after="0" w:line="252" w:lineRule="auto"/>
        <w:tabs>
          <w:tab w:leader="none" w:pos="285" w:val="left"/>
        </w:tabs>
        <w:numPr>
          <w:ilvl w:val="0"/>
          <w:numId w:val="8"/>
        </w:numPr>
        <w:rPr>
          <w:rFonts w:ascii="Arial" w:cs="Arial" w:eastAsia="Arial" w:hAnsi="Arial"/>
          <w:sz w:val="18"/>
          <w:szCs w:val="18"/>
          <w:color w:val="auto"/>
        </w:rPr>
      </w:pPr>
      <w:r>
        <w:rPr>
          <w:rFonts w:ascii="Arial" w:cs="Arial" w:eastAsia="Arial" w:hAnsi="Arial"/>
          <w:sz w:val="18"/>
          <w:szCs w:val="18"/>
          <w:color w:val="auto"/>
        </w:rPr>
        <w:t>6.25%; or (ii) a minimum rate of 9.50%. Interest on the Term Loan is payable monthly and principal is due in 27 equal consecutive monthly installments commencing on October 1, 2011. Notwithstanding the foregoing, all unpaid principal and accrued interest with respect to the Term Loan is due and payable on the earlier of (A) December 30, 2013 or (B) the date that the Term Loan otherwise becomes due and payable under the terms of the Loan Agreement. We may prepay all, but not less than all, of the Term Loan subject to a prepayment premium of 1% in year three, 2% in year two, and 4% in year one of the original principal amount of the Term Loan. Upon repayment of the Term Loan in full, we are also obligated to make a final payment fee of $0.5 million (“Final Payment”).</w:t>
      </w:r>
    </w:p>
    <w:p>
      <w:pPr>
        <w:spacing w:after="0" w:line="19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 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 shall be immediately due and payable. At March 31, 2011, we believe we are in compliance with the Loan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2010 which was filed with the SEC on March 9, 2011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Refer to Note 2, “Significant Accounting Policies,” in the accompanying notes to the condensed consolidated financial statements for a discussion of recent accounting pronouncements.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March 31, 2011 due to the short-term maturities of these instruments.</w:t>
      </w:r>
    </w:p>
    <w:p>
      <w:pPr>
        <w:spacing w:after="0" w:line="1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As of March 31, 2011,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w:t>
      </w:r>
    </w:p>
    <w:p>
      <w:pPr>
        <w:sectPr>
          <w:pgSz w:w="11900" w:h="16844" w:orient="portrait"/>
          <w:cols w:equalWidth="0" w:num="1">
            <w:col w:w="11420"/>
          </w:cols>
          <w:pgMar w:left="240" w:top="517" w:right="239" w:bottom="0" w:gutter="0" w:footer="0" w:header="0"/>
        </w:sectPr>
      </w:pPr>
    </w:p>
    <w:bookmarkStart w:id="19" w:name="page20"/>
    <w:bookmarkEnd w:id="19"/>
    <w:p>
      <w:pPr>
        <w:ind w:right="60"/>
        <w:spacing w:after="0" w:line="279" w:lineRule="auto"/>
        <w:rPr>
          <w:sz w:val="20"/>
          <w:szCs w:val="20"/>
          <w:color w:val="auto"/>
        </w:rPr>
      </w:pPr>
      <w:r>
        <w:rPr>
          <w:rFonts w:ascii="Arial" w:cs="Arial" w:eastAsia="Arial" w:hAnsi="Arial"/>
          <w:sz w:val="17"/>
          <w:szCs w:val="17"/>
          <w:color w:val="auto"/>
        </w:rPr>
        <w:t>effective at the reasonable assurance level as of March 31, 2011.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2011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2010,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9, 2011.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640" w:type="dxa"/>
            <w:vAlign w:val="bottom"/>
            <w:gridSpan w:val="2"/>
          </w:tcPr>
          <w:p>
            <w:pPr>
              <w:ind w:left="4800"/>
              <w:spacing w:after="0"/>
              <w:rPr>
                <w:sz w:val="20"/>
                <w:szCs w:val="20"/>
                <w:color w:val="auto"/>
              </w:rPr>
            </w:pPr>
            <w:r>
              <w:rPr>
                <w:rFonts w:ascii="Arial" w:cs="Arial" w:eastAsia="Arial" w:hAnsi="Arial"/>
                <w:sz w:val="18"/>
                <w:szCs w:val="18"/>
                <w:color w:val="auto"/>
              </w:rPr>
              <w:t>29</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53"/>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6"/>
              </w:rPr>
              <w:t>Agreement and Plan of Merger, dated as of May 28, 2009, by and among Celldex Therapeutics, Inc., CuraGen Corporation and Cottrell</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8"/>
              </w:rPr>
              <w:t>Merger Sub, Inc. incorporated by reference to Exhibit 2.1 of the Company’s Current Report on Form 8-K filed May 29, 2009 with the</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2"/>
              </w:rPr>
              <w:t>Third Restated Certificate of Incorporation of the Company, incorporated by reference to Exhibit 3.1 of the Company’s Registration Statement</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on Form S-4 (Reg. No. 333-59215), filed July 16, 1998 with the 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6"/>
              </w:rPr>
              <w:t>Certificate of Amendment of Third Restated Certificate of Incorporation of the Company, incorporated by reference to Exhibit 3.1 of the</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4"/>
              </w:rPr>
              <w:t>Company’s Registration Statement on Form S-4 (Reg. No. 333-59215), filed July 16, 1998 with the 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3"/>
              </w:rPr>
              <w:t>Second Certificate of Amendment of Third Restated Certificate of Incorporation of the Company, incorporated by reference to Exhibit 3.2 of</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1"/>
              </w:rPr>
              <w:t>the Company’s Registration Statement on Form S-4 (Reg. No. 333-59215), filed July 16, 1998 with the 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 the</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Company’s Quarterly Report on Form 10-Q, filed May 10, 2002 with the 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4"/>
              </w:rPr>
              <w:t>Fourth Certificate of Amendment of Third Restated Certificate of Incorporation of the Company, incorporated by reference to Exhibit 3.1 of</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 of the</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 the</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Company’s Quarterly Report on Form 10-Q, filed November 10, 2008 with the 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3"/>
              </w:rPr>
              <w:t>Amendment No. 2 to Shareholder Rights Agreement dated November 5, 2004, between the Company and Computershare Trust Company,</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w w:val="94"/>
              </w:rPr>
              <w:t>N.A. (formerly EquiServe Trust Company, N.A.), as Rights Agent, incorporated by reference to Exhibit 10.1 of the Company’s Registration</w:t>
            </w:r>
          </w:p>
        </w:tc>
      </w:tr>
      <w:tr>
        <w:trPr>
          <w:trHeight w:val="216"/>
        </w:trPr>
        <w:tc>
          <w:tcPr>
            <w:tcW w:w="82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*31.1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*31.2</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gridSpan w:val="2"/>
          </w:tcPr>
          <w:p>
            <w:pPr>
              <w:ind w:left="280"/>
              <w:spacing w:after="0"/>
              <w:rPr>
                <w:sz w:val="20"/>
                <w:szCs w:val="20"/>
                <w:color w:val="auto"/>
              </w:rPr>
            </w:pPr>
            <w:r>
              <w:rPr>
                <w:rFonts w:ascii="Arial" w:cs="Arial" w:eastAsia="Arial" w:hAnsi="Arial"/>
                <w:sz w:val="18"/>
                <w:szCs w:val="18"/>
                <w:color w:val="auto"/>
              </w:rPr>
              <w:t>Section 1350 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-3954780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-3954780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60" w:hanging="872"/>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60" w:hanging="872"/>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1460"/>
          </w:cols>
          <w:pgMar w:left="240" w:top="125" w:right="199" w:bottom="0" w:gutter="0" w:footer="0" w:header="0"/>
        </w:sectPr>
      </w:pPr>
    </w:p>
    <w:bookmarkStart w:id="20" w:name="page21"/>
    <w:bookmarkEnd w:id="20"/>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5, 2011</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5, 2011</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00" w:type="dxa"/>
            <w:vAlign w:val="bottom"/>
            <w:gridSpan w:val="2"/>
          </w:tcPr>
          <w:p>
            <w:pPr>
              <w:ind w:left="34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9900" w:type="dxa"/>
            <w:vAlign w:val="bottom"/>
            <w:gridSpan w:val="2"/>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9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2.1</w:t>
            </w:r>
          </w:p>
        </w:tc>
        <w:tc>
          <w:tcPr>
            <w:tcW w:w="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Agreement and Plan of Merger, dated as of May 28, 2009, by and among Celldex Therapeutics, Inc., CuraGen Corporation and Cottrell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4"/>
              </w:rPr>
              <w:t>Merger Sub, Inc. incorporated by reference to Exhibit 2.1 of the Company’s Current Report on Form 8-K filed May 29, 2009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5"/>
              </w:rPr>
              <w:t>Third Restated Certificate of Incorporation of the Company, incorporated by reference to Exhibit 3.1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2"/>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9"/>
              </w:rPr>
              <w:t>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9"/>
              </w:rPr>
              <w:t>Second Certificate of Amendment of Third Restated Certificate of Incorporation of the Company,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4"/>
              </w:rPr>
              <w:t>Exhibit 3.2 of the Company’s Registration Statement on Form S-4 (Reg. No. 333-59215), filed July 16, 1998 with the Securities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Exchange Commission.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Fourth Certificate of Amendment of Third Restated Certificate of Incorporation of the Company,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5"/>
              </w:rPr>
              <w:t>Exhibit 3.1 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of 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6"/>
              </w:rPr>
              <w:t>Amendment No. 2 to Shareholder Rights Agreement dated November 5, 2004, between the Company and Computershare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Company, N.A. (formerly EquiServe Trust Company, N.A.) as Rights Agent, incorporated by reference to Exhibit 10.1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9"/>
              </w:rPr>
              <w:t>Company’s Registration Statement 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30"/>
        </w:trPr>
        <w:tc>
          <w:tcPr>
            <w:tcW w:w="128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-4426585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-4426585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40" w:hanging="761"/>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440" w:hanging="806"/>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40" w:hanging="40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40" w:hanging="388"/>
        <w:spacing w:after="0" w:line="308" w:lineRule="auto"/>
        <w:tabs>
          <w:tab w:leader="none" w:pos="7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5, 2011</w:t>
            </w:r>
          </w:p>
        </w:tc>
        <w:tc>
          <w:tcPr>
            <w:tcW w:w="2920" w:type="dxa"/>
            <w:vAlign w:val="bottom"/>
          </w:tcPr>
          <w:p>
            <w:pPr>
              <w:ind w:left="21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92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920" w:type="dxa"/>
            <w:vAlign w:val="bottom"/>
          </w:tcPr>
          <w:p>
            <w:pPr>
              <w:ind w:left="21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40" w:hanging="40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40" w:hanging="388"/>
        <w:spacing w:after="0" w:line="308" w:lineRule="auto"/>
        <w:tabs>
          <w:tab w:leader="none" w:pos="7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5, 2011</w:t>
            </w:r>
          </w:p>
        </w:tc>
        <w:tc>
          <w:tcPr>
            <w:tcW w:w="2920" w:type="dxa"/>
            <w:vAlign w:val="bottom"/>
          </w:tcPr>
          <w:p>
            <w:pPr>
              <w:ind w:left="21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92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920" w:type="dxa"/>
            <w:vAlign w:val="bottom"/>
          </w:tcPr>
          <w:p>
            <w:pPr>
              <w:ind w:left="21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5, 2011</w:t>
            </w:r>
          </w:p>
        </w:tc>
        <w:tc>
          <w:tcPr>
            <w:tcW w:w="2920" w:type="dxa"/>
            <w:vAlign w:val="bottom"/>
          </w:tcPr>
          <w:p>
            <w:pPr>
              <w:ind w:left="21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540" w:type="dxa"/>
            <w:vAlign w:val="bottom"/>
          </w:tcPr>
          <w:p>
            <w:pPr>
              <w:spacing w:after="0"/>
              <w:rPr>
                <w:sz w:val="16"/>
                <w:szCs w:val="16"/>
                <w:color w:val="auto"/>
              </w:rPr>
            </w:pPr>
          </w:p>
        </w:tc>
        <w:tc>
          <w:tcPr>
            <w:tcW w:w="292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540" w:type="dxa"/>
            <w:vAlign w:val="bottom"/>
          </w:tcPr>
          <w:p>
            <w:pPr>
              <w:spacing w:after="0"/>
              <w:rPr>
                <w:sz w:val="20"/>
                <w:szCs w:val="20"/>
                <w:color w:val="auto"/>
              </w:rPr>
            </w:pPr>
          </w:p>
        </w:tc>
        <w:tc>
          <w:tcPr>
            <w:tcW w:w="2920" w:type="dxa"/>
            <w:vAlign w:val="bottom"/>
          </w:tcPr>
          <w:p>
            <w:pPr>
              <w:ind w:left="21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5, 2011</w:t>
            </w:r>
          </w:p>
        </w:tc>
        <w:tc>
          <w:tcPr>
            <w:tcW w:w="2920" w:type="dxa"/>
            <w:vAlign w:val="bottom"/>
          </w:tcPr>
          <w:p>
            <w:pPr>
              <w:ind w:left="21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540" w:type="dxa"/>
            <w:vAlign w:val="bottom"/>
          </w:tcPr>
          <w:p>
            <w:pPr>
              <w:spacing w:after="0"/>
              <w:rPr>
                <w:sz w:val="16"/>
                <w:szCs w:val="16"/>
                <w:color w:val="auto"/>
              </w:rPr>
            </w:pPr>
          </w:p>
        </w:tc>
        <w:tc>
          <w:tcPr>
            <w:tcW w:w="292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540" w:type="dxa"/>
            <w:vAlign w:val="bottom"/>
          </w:tcPr>
          <w:p>
            <w:pPr>
              <w:spacing w:after="0"/>
              <w:rPr>
                <w:sz w:val="18"/>
                <w:szCs w:val="18"/>
                <w:color w:val="auto"/>
              </w:rPr>
            </w:pPr>
          </w:p>
        </w:tc>
        <w:tc>
          <w:tcPr>
            <w:tcW w:w="2920" w:type="dxa"/>
            <w:vAlign w:val="bottom"/>
          </w:tcPr>
          <w:p>
            <w:pPr>
              <w:ind w:left="21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2"/>
    </w:lvl>
  </w:abstractNum>
  <w:abstractNum w:abstractNumId="7">
    <w:nsid w:val="1F16E9E8"/>
    <w:multiLevelType w:val="hybridMultilevel"/>
    <w:lvl w:ilvl="0">
      <w:lvlJc w:val="left"/>
      <w:lvlText w:val="(%1)"/>
      <w:numFmt w:val="upperLetter"/>
      <w:start w:val="2"/>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2019-12-10T06:23:14Z</dcterms:created>
  <dcterms:modified xsi:type="dcterms:W3CDTF">2019-12-10T06:23:14Z</dcterms:modified>
</cp:coreProperties>
</file>