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25" w:lineRule="exact"/>
        <w:rPr>
          <w:sz w:val="24"/>
          <w:szCs w:val="24"/>
          <w:color w:val="auto"/>
        </w:rPr>
      </w:pPr>
    </w:p>
    <w:p>
      <w:pPr>
        <w:ind w:left="3340" w:right="1080" w:hanging="3008"/>
        <w:spacing w:after="0" w:line="421" w:lineRule="auto"/>
        <w:tabs>
          <w:tab w:leader="none" w:pos="62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2022</w:t>
      </w:r>
    </w:p>
    <w:p>
      <w:pPr>
        <w:spacing w:after="0" w:line="246" w:lineRule="exact"/>
        <w:rPr>
          <w:sz w:val="24"/>
          <w:szCs w:val="24"/>
          <w:color w:val="auto"/>
        </w:rPr>
      </w:pPr>
    </w:p>
    <w:p>
      <w:pPr>
        <w:ind w:left="3660" w:right="1080" w:hanging="3328"/>
        <w:spacing w:after="0" w:line="372" w:lineRule="auto"/>
        <w:tabs>
          <w:tab w:leader="none" w:pos="6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000-15006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CELLDEX THERAPEUTICS,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9920"/>
          </w:cols>
          <w:pgMar w:left="980" w:top="665" w:right="999" w:bottom="1440" w:gutter="0" w:footer="0" w:header="0"/>
        </w:sectPr>
      </w:pPr>
    </w:p>
    <w:p>
      <w:pPr>
        <w:spacing w:after="0" w:line="95"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jc w:val="center"/>
        <w:ind w:right="7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No. 13-3191702</w:t>
      </w:r>
    </w:p>
    <w:p>
      <w:pPr>
        <w:spacing w:after="0" w:line="26" w:lineRule="exact"/>
        <w:rPr>
          <w:sz w:val="24"/>
          <w:szCs w:val="24"/>
          <w:color w:val="auto"/>
        </w:rPr>
      </w:pPr>
    </w:p>
    <w:p>
      <w:pPr>
        <w:jc w:val="center"/>
        <w:ind w:right="1240"/>
        <w:spacing w:after="0"/>
        <w:rPr>
          <w:sz w:val="20"/>
          <w:szCs w:val="20"/>
          <w:color w:val="auto"/>
        </w:rPr>
      </w:pPr>
      <w:r>
        <w:rPr>
          <w:rFonts w:ascii="Arial" w:cs="Arial" w:eastAsia="Arial" w:hAnsi="Arial"/>
          <w:sz w:val="15"/>
          <w:szCs w:val="15"/>
          <w:color w:val="auto"/>
        </w:rPr>
        <w:t>(I.R.S. Employer Identification No.)</w:t>
      </w:r>
    </w:p>
    <w:p>
      <w:pPr>
        <w:spacing w:after="0" w:line="117" w:lineRule="exact"/>
        <w:rPr>
          <w:sz w:val="24"/>
          <w:szCs w:val="24"/>
          <w:color w:val="auto"/>
        </w:rPr>
      </w:pPr>
    </w:p>
    <w:p>
      <w:pPr>
        <w:sectPr>
          <w:pgSz w:w="11900" w:h="16838" w:orient="portrait"/>
          <w:cols w:equalWidth="0" w:num="2">
            <w:col w:w="5600" w:space="720"/>
            <w:col w:w="3600"/>
          </w:cols>
          <w:pgMar w:left="980" w:top="665" w:right="99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Perryville III Building, 53 Frontage Road, Suite 220, Hampton, New Jersey 08827</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(908) 200-7500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2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Trading 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w:t>
            </w:r>
          </w:p>
        </w:tc>
        <w:tc>
          <w:tcPr>
            <w:tcW w:w="180" w:type="dxa"/>
            <w:vAlign w:val="bottom"/>
          </w:tcPr>
          <w:p>
            <w:pPr>
              <w:spacing w:after="0"/>
              <w:rPr>
                <w:sz w:val="17"/>
                <w:szCs w:val="17"/>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CLDX</w:t>
            </w:r>
          </w:p>
        </w:tc>
        <w:tc>
          <w:tcPr>
            <w:tcW w:w="16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Nasdaq Capital Market</w:t>
            </w:r>
          </w:p>
        </w:tc>
      </w:tr>
    </w:tbl>
    <w:p>
      <w:pPr>
        <w:spacing w:after="0" w:line="8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w:t>
      </w:r>
    </w:p>
    <w:p>
      <w:pPr>
        <w:spacing w:after="0" w:line="45" w:lineRule="exact"/>
        <w:rPr>
          <w:sz w:val="24"/>
          <w:szCs w:val="24"/>
          <w:color w:val="auto"/>
        </w:rPr>
      </w:pPr>
    </w:p>
    <w:p>
      <w:pPr>
        <w:ind w:right="240"/>
        <w:spacing w:after="0" w:line="211" w:lineRule="exact"/>
        <w:rPr>
          <w:sz w:val="20"/>
          <w:szCs w:val="20"/>
          <w:color w:val="auto"/>
        </w:rPr>
      </w:pPr>
      <w:r>
        <w:rPr>
          <w:rFonts w:ascii="Arial" w:cs="Arial" w:eastAsia="Arial" w:hAnsi="Arial"/>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w:t>
      </w:r>
    </w:p>
    <w:p>
      <w:pPr>
        <w:spacing w:after="0" w:line="34" w:lineRule="exact"/>
        <w:rPr>
          <w:sz w:val="24"/>
          <w:szCs w:val="24"/>
          <w:color w:val="auto"/>
        </w:rPr>
      </w:pPr>
    </w:p>
    <w:p>
      <w:pPr>
        <w:ind w:right="200"/>
        <w:spacing w:after="0" w:line="211" w:lineRule="exact"/>
        <w:rPr>
          <w:sz w:val="20"/>
          <w:szCs w:val="20"/>
          <w:color w:val="auto"/>
        </w:rPr>
      </w:pPr>
      <w:r>
        <w:rPr>
          <w:rFonts w:ascii="Arial" w:cs="Arial" w:eastAsia="Arial" w:hAnsi="Arial"/>
          <w:sz w:val="16"/>
          <w:szCs w:val="16"/>
          <w:color w:val="auto"/>
        </w:rPr>
        <w:t xml:space="preserve">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6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9920"/>
          </w:cols>
          <w:pgMar w:left="980" w:top="665" w:right="999" w:bottom="1440" w:gutter="0" w:footer="0" w:header="0"/>
          <w:type w:val="continuous"/>
        </w:sectPr>
      </w:pPr>
    </w:p>
    <w:p>
      <w:pPr>
        <w:spacing w:after="0" w:line="33" w:lineRule="exact"/>
        <w:rPr>
          <w:sz w:val="24"/>
          <w:szCs w:val="24"/>
          <w:color w:val="auto"/>
        </w:rPr>
      </w:pPr>
    </w:p>
    <w:p>
      <w:pPr>
        <w:ind w:left="16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86" w:lineRule="exact"/>
        <w:rPr>
          <w:sz w:val="24"/>
          <w:szCs w:val="24"/>
          <w:color w:val="auto"/>
        </w:rPr>
      </w:pPr>
    </w:p>
    <w:p>
      <w:pPr>
        <w:ind w:left="166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14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jc w:val="center"/>
        <w:ind w:right="14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jc w:val="center"/>
        <w:ind w:right="14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2">
            <w:col w:w="5800" w:space="720"/>
            <w:col w:w="3400"/>
          </w:cols>
          <w:pgMar w:left="980" w:top="665" w:right="999" w:bottom="1440" w:gutter="0" w:footer="0" w:header="0"/>
          <w:type w:val="continuous"/>
        </w:sectPr>
      </w:pPr>
    </w:p>
    <w:p>
      <w:pPr>
        <w:ind w:right="20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340" w:right="1340"/>
        <w:spacing w:after="0" w:line="26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29, 2022, 46,754,348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483870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106680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gridSpan w:val="11"/>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6940" w:type="dxa"/>
            <w:vAlign w:val="bottom"/>
            <w:gridSpan w:val="8"/>
            <w:vMerge w:val="restart"/>
          </w:tcPr>
          <w:p>
            <w:pPr>
              <w:spacing w:after="0"/>
              <w:rPr>
                <w:sz w:val="14"/>
                <w:szCs w:val="1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40" w:type="dxa"/>
            <w:vAlign w:val="bottom"/>
            <w:tcBorders>
              <w:bottom w:val="single" w:sz="8" w:color="0000EE"/>
            </w:tcBorders>
            <w:gridSpan w:val="11"/>
            <w:vMerge w:val="continue"/>
          </w:tcPr>
          <w:p>
            <w:pPr>
              <w:spacing w:after="0"/>
              <w:rPr>
                <w:sz w:val="13"/>
                <w:szCs w:val="13"/>
                <w:color w:val="auto"/>
              </w:rPr>
            </w:pPr>
          </w:p>
        </w:tc>
        <w:tc>
          <w:tcPr>
            <w:tcW w:w="6940" w:type="dxa"/>
            <w:vAlign w:val="bottom"/>
            <w:gridSpan w:val="8"/>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20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Unaudited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March 31, 2022 and December 31, 2021</w:t>
              </w:r>
            </w:hyperlink>
          </w:p>
        </w:tc>
        <w:tc>
          <w:tcPr>
            <w:tcW w:w="298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gridSpan w:val="17"/>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and Comprehensive Loss for the Three Months Ended March 31, 2022</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6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2021</w:t>
              </w:r>
            </w:hyperlink>
          </w:p>
        </w:tc>
        <w:tc>
          <w:tcPr>
            <w:tcW w:w="2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2022 and 2021</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136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20" w:type="dxa"/>
            <w:vAlign w:val="bottom"/>
            <w:tcBorders>
              <w:right w:val="single" w:sz="8" w:color="0000EE"/>
            </w:tcBorders>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20" w:type="dxa"/>
            <w:vAlign w:val="bottom"/>
            <w:gridSpan w:val="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8680" w:type="dxa"/>
            <w:vAlign w:val="bottom"/>
            <w:gridSpan w:val="15"/>
          </w:tcPr>
          <w:p>
            <w:pPr>
              <w:ind w:left="20"/>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20" w:type="dxa"/>
            <w:vAlign w:val="bottom"/>
            <w:tcBorders>
              <w:top w:val="single" w:sz="8" w:color="0000EE"/>
            </w:tcBorders>
            <w:gridSpan w:val="3"/>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648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220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8"/>
          </w:tcPr>
          <w:p>
            <w:pPr>
              <w:ind w:left="20"/>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620" w:type="dxa"/>
            <w:vAlign w:val="bottom"/>
            <w:tcBorders>
              <w:top w:val="single" w:sz="8" w:color="0000EE"/>
            </w:tcBorders>
            <w:gridSpan w:val="2"/>
          </w:tcPr>
          <w:p>
            <w:pPr>
              <w:spacing w:after="0"/>
              <w:rPr>
                <w:sz w:val="17"/>
                <w:szCs w:val="17"/>
                <w:color w:val="auto"/>
              </w:rPr>
            </w:pPr>
          </w:p>
        </w:tc>
        <w:tc>
          <w:tcPr>
            <w:tcW w:w="42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gridSpan w:val="9"/>
          </w:tcPr>
          <w:p>
            <w:pPr>
              <w:spacing w:after="0" w:line="196"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Item 1. Legal Proceedings</w:t>
              </w:r>
            </w:hyperlink>
          </w:p>
        </w:tc>
        <w:tc>
          <w:tcPr>
            <w:tcW w:w="7140" w:type="dxa"/>
            <w:vAlign w:val="bottom"/>
            <w:gridSpan w:val="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732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20" w:type="dxa"/>
            <w:vAlign w:val="bottom"/>
            <w:tcBorders>
              <w:top w:val="single" w:sz="8" w:color="0000EE"/>
            </w:tcBorders>
            <w:gridSpan w:val="3"/>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1060" w:type="dxa"/>
            <w:vAlign w:val="bottom"/>
            <w:tcBorders>
              <w:top w:val="single" w:sz="8" w:color="0000EE"/>
            </w:tcBorders>
            <w:gridSpan w:val="4"/>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62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6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Exhibit Index</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tcBorders>
            <w:gridSpan w:val="6"/>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826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6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7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355,175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369,107</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and other receivables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r>
      <w:tr>
        <w:trPr>
          <w:trHeight w:val="20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390,699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410,839</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3,551</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27,190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50"/>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424,041</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444,654</w:t>
            </w: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16"/>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other long-term liabilities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r>
      <w:tr>
        <w:trPr>
          <w:trHeight w:val="20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16,528</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Long-term portion of operating lease liabilities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r>
      <w:tr>
        <w:trPr>
          <w:trHeight w:val="209"/>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25,178</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2"/>
        </w:trPr>
        <w:tc>
          <w:tcPr>
            <w:tcW w:w="7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Convertible preferred stock, $.01 par value; 3,000,000 shares authorized; no shares issued</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at March 31, 2022 and December 31, 2021</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100" w:type="dxa"/>
            <w:vAlign w:val="bottom"/>
          </w:tcPr>
          <w:p>
            <w:pPr>
              <w:ind w:left="220"/>
              <w:spacing w:after="0" w:line="201" w:lineRule="exact"/>
              <w:rPr>
                <w:sz w:val="20"/>
                <w:szCs w:val="20"/>
                <w:color w:val="auto"/>
              </w:rPr>
            </w:pPr>
            <w:r>
              <w:rPr>
                <w:rFonts w:ascii="Arial" w:cs="Arial" w:eastAsia="Arial" w:hAnsi="Arial"/>
                <w:sz w:val="18"/>
                <w:szCs w:val="18"/>
                <w:color w:val="auto"/>
                <w:w w:val="92"/>
              </w:rPr>
              <w:t>Common stock, $.001 par value; 297,000,000 shares authorized; 46,754,348 and 46,730,198</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w w:val="96"/>
              </w:rPr>
              <w:t>shares issued and outstanding at March 31, 2022 and December 31, 2021, respectively</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1,564,599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1,561,142</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(1,166,657)</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(1,143,607)</w:t>
            </w: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398,101</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419,476</w:t>
            </w:r>
          </w:p>
        </w:tc>
      </w:tr>
      <w:tr>
        <w:trPr>
          <w:trHeight w:val="209"/>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424,041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444,654</w:t>
            </w: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March 31, 2022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8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(Gain) loss on fair value remeasurement of contingent consideration</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23,431</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(23,257)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(16,639)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8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(0.49)</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used in calculating basic and diluted net loss per share</w:t>
            </w:r>
          </w:p>
        </w:tc>
        <w:tc>
          <w:tcPr>
            <w:tcW w:w="6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46,739</w:t>
            </w:r>
          </w:p>
        </w:tc>
        <w:tc>
          <w:tcPr>
            <w:tcW w:w="3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(23,050)</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loss on marketable securities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6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300"/>
        <w:spacing w:after="0" w:line="275" w:lineRule="auto"/>
        <w:rPr>
          <w:sz w:val="20"/>
          <w:szCs w:val="20"/>
          <w:color w:val="auto"/>
        </w:rPr>
      </w:pPr>
      <w:r>
        <w:rPr>
          <w:rFonts w:ascii="Arial" w:cs="Arial" w:eastAsia="Arial" w:hAnsi="Arial"/>
          <w:sz w:val="18"/>
          <w:szCs w:val="18"/>
          <w:b w:val="1"/>
          <w:bCs w:val="1"/>
          <w:color w:val="auto"/>
        </w:rPr>
        <w:t>CELLDEX THERAPEUTICS, INC. CONDENSED CONSOLIDATED STATEMENTS OF CASH FLOW (Unaudited)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March 31, 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(23,050)</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and premium of marketable securities, net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Gain on sale or disposal of assets</w:t>
            </w: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fair value remeasurement of contingent consideration</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Accounts and other receivables</w:t>
            </w:r>
          </w:p>
        </w:tc>
        <w:tc>
          <w:tcPr>
            <w:tcW w:w="2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Sales and maturities of marketable securities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Acquisition of property and equipment</w:t>
            </w:r>
          </w:p>
        </w:tc>
        <w:tc>
          <w:tcPr>
            <w:tcW w:w="2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or disposal of assets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Proceeds from issuance of stock from employee benefit plans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Accrued construction in progress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400"/>
        <w:spacing w:after="0" w:line="266" w:lineRule="auto"/>
        <w:rPr>
          <w:sz w:val="20"/>
          <w:szCs w:val="20"/>
          <w:color w:val="auto"/>
        </w:rPr>
      </w:pPr>
      <w:r>
        <w:rPr>
          <w:rFonts w:ascii="Arial" w:cs="Arial" w:eastAsia="Arial" w:hAnsi="Arial"/>
          <w:sz w:val="18"/>
          <w:szCs w:val="18"/>
          <w:b w:val="1"/>
          <w:bCs w:val="1"/>
          <w:color w:val="auto"/>
        </w:rPr>
        <w:t>CELLDEX THERAPEUTICS, INC. Notes to Unaudited Condensed Consolidated Financial Statements March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2021, which are included in the Company’s Annual Report on Form 10-K filed with the Securities and Exchange Commission on February 28, 2022.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2022.</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At March 31, 2022, the Company had cash, cash equivalents and marketable securities of $380.5 million. The Company has had recurring losses and incurred a loss of $23.1 million for the three months ended March 31, 2022. Net cash used in operations for the three months ended March 31, 2022 was $24.5 million. The Company believes that the cash, cash equivalents and marketable securities at the filing date of this Form 10-Q will be sufficient to meet estimated working capital requirements and fund planned operations for at least the next twelve months from the date of issuance of these financial statements.</w:t>
      </w:r>
    </w:p>
    <w:p>
      <w:pPr>
        <w:spacing w:after="0" w:line="17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contingent milestones from the acquisition of Kolltan Pharmaceuticals, Inc. (“Kolltan”),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COVID-19 pandemic continues to have a major impact in the US and around the world. The availability of vaccines holds promise for the future, though new variants of the virus and potential waning immunity from vaccines may result in continued impact from this pandemic in the future, which could adversely impact our operations. To date, we have managed delays and disruptions without significant impact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third-party suppliers and contract manufacturers for APIs and drug product. Any prolonged negative impacts to our business could materially impact our operating results and could lead to impairments of our intangible in-process research and development (“IPR&amp;D”) assets with a carrying value of $27.2 million at March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on Form 10-Q for the three months ended March 31, 2022 are consistent with those discussed in Note 2 to the financial statements in our Annual Report on Form 10-K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4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The adoption of this new guidance is not expected to have a material impact on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160" w:type="dxa"/>
            <w:vAlign w:val="bottom"/>
            <w:gridSpan w:val="2"/>
            <w:vMerge w:val="restart"/>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March 31, 2022</w:t>
            </w:r>
          </w:p>
        </w:tc>
        <w:tc>
          <w:tcPr>
            <w:tcW w:w="1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6"/>
          </w:tcPr>
          <w:p>
            <w:pPr>
              <w:jc w:val="right"/>
              <w:ind w:right="493"/>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Money market funds and cash equivalents</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355,175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6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371,708</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371,708</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Kolltan acquisition contingent consideration</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24"/>
                <w:szCs w:val="24"/>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8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4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December 31,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7"/>
          </w:tcPr>
          <w:p>
            <w:pPr>
              <w:ind w:left="360"/>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Money market funds and cash equivalents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26,220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26,220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369,107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395,327</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395,327</w:t>
            </w: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Kolltan acquisition contingent consideration</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6,862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the activity for the Company’s contingent consideration liabilities measured at fair value using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for the three months ended March 31, 2022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Other Liabilities:</w:t>
            </w:r>
          </w:p>
        </w:tc>
      </w:tr>
      <w:tr>
        <w:trPr>
          <w:trHeight w:val="148"/>
        </w:trPr>
        <w:tc>
          <w:tcPr>
            <w:tcW w:w="8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Contingent</w:t>
            </w:r>
          </w:p>
        </w:tc>
      </w:tr>
      <w:tr>
        <w:trPr>
          <w:trHeight w:val="171"/>
        </w:trPr>
        <w:tc>
          <w:tcPr>
            <w:tcW w:w="8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Consideration</w:t>
            </w:r>
          </w:p>
        </w:tc>
      </w:tr>
      <w:tr>
        <w:trPr>
          <w:trHeight w:val="209"/>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r>
      <w:tr>
        <w:trPr>
          <w:trHeight w:val="216"/>
        </w:trPr>
        <w:tc>
          <w:tcPr>
            <w:tcW w:w="8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09"/>
        </w:trPr>
        <w:tc>
          <w:tcPr>
            <w:tcW w:w="8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valuation technique used to measure fair value of the Company’s Level 3 liabilities, which consist of contingent consideration related to the acquisition of Kolltan in 2016, was primarily an income approach. The significant unobservable inputs used in the fair value measurement of the contingent consideration are estimates including probability of success, discount rates and amount of time until the conditions of the milestone payments are met. As of March 31, 2022, the weighted average probability of success used in calculating the fair value of contingent consideration was 52.2% (with a range of 5.1% to 68.6%), the weighted average discount rate was 11.3% (with a range of 11.0% to 12.0%) and the weighted average amount of time until the conditions of the milestone payments are met was 3 years. Weighted averages are calculated based on the relative fair value of our contingent consideration obligations.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During the three months ended March 31, 2022, the Company recorded a $0.5 million gain on fair value remeasurement of contingent consideration primarily due to changes in discount rates. During the three months ended March 31, 2021, the Company recorded a $0.5 million loss on fair value remeasurement of contingent consideration primarily due to changes in discount rates and the passage of time.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have any transfers in or out of Level 3 assets or liabilities during the three months ended March 31, 2022.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Gross Unrealized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Gains</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Losses</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center"/>
              <w:ind w:right="92"/>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2022</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and municipal obligations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148,739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(1,194)</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147,547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U.S. government and municipal obligations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148,739</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147,547</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177,807</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(602)</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177,205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30,423</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corporate debt securities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208,921</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207,628</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357,660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355,175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Gross Unrealized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Gains</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Losses</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center"/>
              <w:ind w:right="92"/>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and municipal obligations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80,674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80,541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51,135</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U.S. government and municipal obligations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131,993</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131,676</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170,034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170,006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67,425</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corporate debt securities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237,816</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237,431</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369,809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369,107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Company holds investment-grade marketable securities, and none were in a continuous unrealized loss position for more than twelve months as of March 31, 2022 and December 31, 2021. The unrealized losses are attributable to changes in interest rates and the Company does not believe any unrealized losses represent other-than-temporary impairments. Marketable securities include $0.8 million and $1.3 million in accrued interest at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March 31, 2022 and December 31, 2021, the carrying value of the Company’s indefinite-lived intangible assets was $27.2 million. Indefinite-lived intangible assets consist of acquired IPR&amp;D related to the development of the anti-KIT program, including barzolvolimab (also referred to as CDX-0159), which was recorded in connection with the Kolltan acquisition. Barzolvolimab is in Phase 1 development. As of March 31, 2022, the IPR&amp;D asset related to the anti-KIT program had not reached technological feasibility nor did the asset have alternative future uses.</w:t>
      </w:r>
    </w:p>
    <w:p>
      <w:pPr>
        <w:spacing w:after="0" w:line="18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include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128"/>
        </w:trPr>
        <w:tc>
          <w:tcPr>
            <w:tcW w:w="7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20" w:type="dxa"/>
            <w:vAlign w:val="bottom"/>
            <w:gridSpan w:val="4"/>
          </w:tcPr>
          <w:p>
            <w:pPr>
              <w:jc w:val="right"/>
              <w:ind w:right="874"/>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Contingent milestones (Note 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20" w:type="dxa"/>
            <w:vAlign w:val="bottom"/>
          </w:tcPr>
          <w:p>
            <w:pPr>
              <w:spacing w:after="0"/>
              <w:rPr>
                <w:sz w:val="18"/>
                <w:szCs w:val="18"/>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revenue (Note 10)</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8"/>
                <w:szCs w:val="18"/>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(2,505)</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18"/>
                <w:szCs w:val="18"/>
                <w:color w:val="auto"/>
              </w:rPr>
            </w:pPr>
          </w:p>
        </w:tc>
      </w:tr>
      <w:tr>
        <w:trPr>
          <w:trHeight w:val="210"/>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May 2016, the Company entered into a controlled equity offering sales agreement (the “Cantor Agreement”) with Cantor Fitzgerald &amp; Co. (“Cantor”) to allow the Company to issue and sell shares of its common stock from time to time through Cantor, acting as agent. At March 31, 2022, the Company had $50.0 million remaining in aggregate gross offering price available under the Company’s November 2020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changes in Stockholders’ Equity during the three months ended March 31, 2022 and 2021 are summarized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Stock Par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40" w:type="dxa"/>
            <w:vAlign w:val="bottom"/>
            <w:gridSpan w:val="12"/>
          </w:tcPr>
          <w:p>
            <w:pPr>
              <w:jc w:val="center"/>
              <w:spacing w:after="0" w:line="129" w:lineRule="exact"/>
              <w:rPr>
                <w:sz w:val="20"/>
                <w:szCs w:val="20"/>
                <w:color w:val="auto"/>
              </w:rPr>
            </w:pPr>
            <w:r>
              <w:rPr>
                <w:rFonts w:ascii="Arial" w:cs="Arial" w:eastAsia="Arial" w:hAnsi="Arial"/>
                <w:sz w:val="14"/>
                <w:szCs w:val="14"/>
                <w:b w:val="1"/>
                <w:bCs w:val="1"/>
                <w:color w:val="auto"/>
                <w:w w:val="90"/>
              </w:rPr>
              <w:t>(In thousands, except share amounts)</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at December 31, 2021</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46,730,198</w:t>
            </w:r>
          </w:p>
        </w:tc>
        <w:tc>
          <w:tcPr>
            <w:tcW w:w="6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w:t>
            </w:r>
          </w:p>
        </w:tc>
        <w:tc>
          <w:tcPr>
            <w:tcW w:w="9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$ 1,561,142</w:t>
            </w:r>
          </w:p>
        </w:tc>
        <w:tc>
          <w:tcPr>
            <w:tcW w:w="2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(1,143,607)</w:t>
            </w:r>
          </w:p>
        </w:tc>
        <w:tc>
          <w:tcPr>
            <w:tcW w:w="180" w:type="dxa"/>
            <w:vAlign w:val="bottom"/>
            <w:gridSpan w:val="3"/>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419,476</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24,150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304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3,153</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(1,782)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(23,050)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(23,050)</w:t>
            </w:r>
          </w:p>
        </w:tc>
        <w:tc>
          <w:tcPr>
            <w:tcW w:w="0" w:type="dxa"/>
            <w:vAlign w:val="bottom"/>
          </w:tcPr>
          <w:p>
            <w:pPr>
              <w:spacing w:after="0"/>
              <w:rPr>
                <w:sz w:val="1"/>
                <w:szCs w:val="1"/>
                <w:color w:val="auto"/>
              </w:rPr>
            </w:pPr>
          </w:p>
        </w:tc>
      </w:tr>
      <w:tr>
        <w:trPr>
          <w:trHeight w:val="142"/>
        </w:trPr>
        <w:tc>
          <w:tcPr>
            <w:tcW w:w="4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Consolidated balance at March 31, 2022</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46,754,348</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w w:val="94"/>
              </w:rPr>
              <w:t>$ 1,564,599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4"/>
              </w:rPr>
              <w:t>(1,166,657)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398,101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Common</w:t>
            </w:r>
          </w:p>
        </w:tc>
        <w:tc>
          <w:tcPr>
            <w:tcW w:w="80" w:type="dxa"/>
            <w:vAlign w:val="bottom"/>
          </w:tcPr>
          <w:p>
            <w:pPr>
              <w:spacing w:after="0"/>
              <w:rPr>
                <w:sz w:val="24"/>
                <w:szCs w:val="24"/>
                <w:color w:val="auto"/>
              </w:rPr>
            </w:pP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5"/>
              </w:rPr>
              <w:t>Stock Par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1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Deficit</w:t>
            </w: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40" w:type="dxa"/>
            <w:vAlign w:val="bottom"/>
            <w:gridSpan w:val="12"/>
          </w:tcPr>
          <w:p>
            <w:pPr>
              <w:jc w:val="center"/>
              <w:spacing w:after="0" w:line="129" w:lineRule="exact"/>
              <w:rPr>
                <w:sz w:val="20"/>
                <w:szCs w:val="20"/>
                <w:color w:val="auto"/>
              </w:rPr>
            </w:pPr>
            <w:r>
              <w:rPr>
                <w:rFonts w:ascii="Arial" w:cs="Arial" w:eastAsia="Arial" w:hAnsi="Arial"/>
                <w:sz w:val="14"/>
                <w:szCs w:val="14"/>
                <w:b w:val="1"/>
                <w:bCs w:val="1"/>
                <w:color w:val="auto"/>
                <w:w w:val="90"/>
              </w:rPr>
              <w:t>(In thousands, except share amounts)</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at December 31, 2020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39,603,771</w:t>
            </w:r>
          </w:p>
        </w:tc>
        <w:tc>
          <w:tcPr>
            <w:tcW w:w="6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$ 1,279,824</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2"/>
              </w:rPr>
              <w:t>(1,073,096)</w:t>
            </w:r>
          </w:p>
        </w:tc>
        <w:tc>
          <w:tcPr>
            <w:tcW w:w="12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209,357</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10,867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(16,538)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(16,538)</w:t>
            </w:r>
          </w:p>
        </w:tc>
        <w:tc>
          <w:tcPr>
            <w:tcW w:w="0" w:type="dxa"/>
            <w:vAlign w:val="bottom"/>
          </w:tcPr>
          <w:p>
            <w:pPr>
              <w:spacing w:after="0"/>
              <w:rPr>
                <w:sz w:val="1"/>
                <w:szCs w:val="1"/>
                <w:color w:val="auto"/>
              </w:rPr>
            </w:pPr>
          </w:p>
        </w:tc>
      </w:tr>
      <w:tr>
        <w:trPr>
          <w:trHeight w:val="142"/>
        </w:trPr>
        <w:tc>
          <w:tcPr>
            <w:tcW w:w="4160" w:type="dxa"/>
            <w:vAlign w:val="bottom"/>
          </w:tcPr>
          <w:p>
            <w:pPr>
              <w:spacing w:after="0" w:line="142" w:lineRule="exact"/>
              <w:rPr>
                <w:sz w:val="20"/>
                <w:szCs w:val="20"/>
                <w:color w:val="auto"/>
              </w:rPr>
            </w:pPr>
            <w:r>
              <w:rPr>
                <w:rFonts w:ascii="Arial" w:cs="Arial" w:eastAsia="Arial" w:hAnsi="Arial"/>
                <w:sz w:val="14"/>
                <w:szCs w:val="14"/>
                <w:b w:val="1"/>
                <w:bCs w:val="1"/>
                <w:color w:val="auto"/>
              </w:rPr>
              <w:t>Consolidated balance at March 31, 2021</w:t>
            </w: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39,614,638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4"/>
              </w:rPr>
              <w:t>$ 1,281,173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2,587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(1,089,634)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35"/>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194,166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2022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4,077,667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19,500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31.94</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Canceled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26.26</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4,064,557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March 31, 2022</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3,977,784</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30.33</w:t>
            </w:r>
          </w:p>
        </w:tc>
        <w:tc>
          <w:tcPr>
            <w:tcW w:w="20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1,619,025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Shares available for grant under the 2021 Plan</w:t>
            </w:r>
          </w:p>
        </w:tc>
        <w:tc>
          <w:tcPr>
            <w:tcW w:w="920" w:type="dxa"/>
            <w:vAlign w:val="bottom"/>
          </w:tcPr>
          <w:p>
            <w:pPr>
              <w:jc w:val="right"/>
              <w:spacing w:after="0"/>
              <w:rPr>
                <w:sz w:val="20"/>
                <w:szCs w:val="20"/>
                <w:color w:val="auto"/>
              </w:rPr>
            </w:pPr>
            <w:r>
              <w:rPr>
                <w:rFonts w:ascii="Arial" w:cs="Arial" w:eastAsia="Arial" w:hAnsi="Arial"/>
                <w:sz w:val="18"/>
                <w:szCs w:val="18"/>
                <w:color w:val="auto"/>
              </w:rPr>
              <w:t>3,297,772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weighted average grant-date fair value of stock options granted during the three ended March 31, 2022 was $24.63.</w:t>
      </w:r>
    </w:p>
    <w:p>
      <w:pPr>
        <w:spacing w:after="0" w:line="237"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The aggregate intrinsic value of stock options vested and expected to vest at March 31, 2022 was $65.9 million. The aggregate intrinsic value of stock options exercisable at March 31, 2022 was $32.0 million. As of March 31, 2022, total compensation cost related to non-vested employee, consultant and non-employee director stock options not yet recognized was approximately $29.5 million, net of estimated forfeitures, which is expected to be recognized as expense over a weighted average period of 2.6 years.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for the three months ended March 31, 2022 and 2021 was recorded as follows: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4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r>
      <w:tr>
        <w:trPr>
          <w:trHeight w:val="128"/>
        </w:trPr>
        <w:tc>
          <w:tcPr>
            <w:tcW w:w="43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4"/>
          </w:tcPr>
          <w:p>
            <w:pPr>
              <w:jc w:val="right"/>
              <w:ind w:right="515"/>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r>
      <w:tr>
        <w:trPr>
          <w:trHeight w:val="210"/>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0"/>
        </w:trPr>
        <w:tc>
          <w:tcPr>
            <w:tcW w:w="4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fair values of employee, consultant and non-employee director stock options granted during the three months ended March 31, 2022 and 2021 were valued using the Black-Scholes option pricing model with the following assumptions: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59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 – 97%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 – 98%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Expected option term</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6.0 Years</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6.0 Years</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1.7 – 1.9%</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 – 1.2%</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changes in accumulated other comprehensive income, which is reported as a component of stockholders’ equity, for the three months ended March 31, 2022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Loss 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Currency Items</w:t>
            </w: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9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amounts were reclassified out of accumulated other comprehensive income during the three months ended March 31, 2022.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Company has entered into agreements with Rockefeller University and Gilead Sciences pursuant to which the Company performs manufacturing and research and development services on a time-and-materials basis or at a negotiated fixed-price. The Company recognized $0.1 million and $0.6 million in revenue under these agreements during the three months ended March 31, 2022 and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At March 31, 2022 and December 31, 2021, the Company’s right to consideration under all contracts was considered unconditional, and as such, there were no recorded contract assets. At March 31, 2022, the Company had $0.5 million in contract liabilities recorded, which is expected to be recognized during the next 12 months as manufacturing and research and development services are performed. At December 31, 2021, the Company had $0.4 million in contract liabilities recorded. Revenue recognized from contract liabilities as of December 31, 2021 during the three months ended March 31, 2022 was $0.1 million.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March 31, 2022 and December 31, 2021.</w:t>
      </w:r>
    </w:p>
    <w:p>
      <w:pPr>
        <w:spacing w:after="0" w:line="18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net deferred tax liability of $1.6 million at March 31, 2022 and December 31, 2021 relates to the temporary differences associated with the IPR&amp;D intangible assets acquired in previous business combinations and is not deductible for tax purposes.</w:t>
      </w:r>
    </w:p>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Massachusetts, New Jersey, New York and Connecticut are the jurisdictions in which the Company primarily operates or has operated and has income tax nexus. The Company is not currently under examination by these or any other jurisdictions for any tax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75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4,064,557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3,046,324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Restricted Stock</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5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4,064,557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3,046,324</w:t>
            </w: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Kolltan Acquisition</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The payment of Kolltan Milestones, if any, may be made, at Celldex’s sole election, in cash, in shares of Celldex’s common stock or a combination of both, subject to provisions of the Agreement and Plan of Merger, dated November 1, 2016 (the “Merger Agreement”). Certain Kolltan Milestones related to the METRIC clinical study, TAM partnership closing within two years of the acquisition, CDX-3379 and CDX-0158 have been abandoned and, because of this, as of March 31, 2022, the Company believes that the adjusted amount we may be required to pay for future consideration is up to $107.5 million contingent upon the achievement of the Kolltan Milestones.</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October 2019, the Company received a letter from Shareholder Representative Services LLC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 The Company disagrees with their objection and believes their objection to be without merit.</w:t>
      </w:r>
    </w:p>
    <w:p>
      <w:pPr>
        <w:spacing w:after="0" w:line="18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Specifically, Celldex sought the entry of an order declaring that:</w:t>
      </w:r>
    </w:p>
    <w:p>
      <w:pPr>
        <w:spacing w:after="0" w:line="157" w:lineRule="exact"/>
        <w:rPr>
          <w:sz w:val="20"/>
          <w:szCs w:val="20"/>
          <w:color w:val="auto"/>
        </w:rPr>
      </w:pPr>
    </w:p>
    <w:p>
      <w:pPr>
        <w:ind w:left="1000" w:hanging="31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Celldex’s determination to discontinue the development of CDX-0158 (formerly known as KTN0158) was proper and valid under the Merger Agreement;</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120" w:hanging="317"/>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Milestone Abandonment Notice dated December 5, 2018 from Celldex was valid and effective under the Merger Agreement and that the “Successful Completion of Phase I Clinical Trial for KTN0158” Milestone has not been achieved and has properly been abandoned; and</w:t>
      </w:r>
    </w:p>
    <w:p>
      <w:pPr>
        <w:spacing w:after="0" w:line="183" w:lineRule="exact"/>
        <w:rPr>
          <w:rFonts w:ascii="Arial" w:cs="Arial" w:eastAsia="Arial" w:hAnsi="Arial"/>
          <w:sz w:val="18"/>
          <w:szCs w:val="18"/>
          <w:color w:val="auto"/>
        </w:rPr>
      </w:pPr>
    </w:p>
    <w:p>
      <w:pPr>
        <w:ind w:left="1000" w:right="30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 the Merger Agreement, the barzolvolimab program is not a program that results in milestone payments under the Merger Agreement.</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barzolvolimab program is in essence an extension of the CDX-0158 (formerly KTN0158) program. The parties entered into non-binding mediation in May 2021 following SRS’s approach to Celldex about its interest in settlement or mediation discussions, but those discussions did not result in a resolution of the dispute. The case remains ongoing and we are currently unable to predict or estimate the outcome of this matter. The case is currently scheduled for trial in June 2022.</w:t>
      </w:r>
    </w:p>
    <w:p>
      <w:pPr>
        <w:spacing w:after="0" w:line="19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Following the Company’s discontinuation of the CDX-3379 program, the Company sent a milestone abandonment notice to SRS with respect to Kolltan Milestones related to the CDX-3379 program. In October 2020, the Company received notice that SRS has objected to that notice, seeking further information from the Company, which was provided pursuant to the terms of the Merger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Safe Harbor Statement under the Private Securities Litigation Reform Act of 1995: </w:t>
      </w:r>
      <w:r>
        <w:rPr>
          <w:rFonts w:ascii="Arial" w:cs="Arial" w:eastAsia="Arial" w:hAnsi="Arial"/>
          <w:sz w:val="17"/>
          <w:szCs w:val="17"/>
          <w:color w:val="auto"/>
        </w:rPr>
        <w:t>This report on Form 10-Q contains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25" w:lineRule="exact"/>
        <w:rPr>
          <w:rFonts w:ascii="Arial" w:cs="Arial" w:eastAsia="Arial" w:hAnsi="Arial"/>
          <w:sz w:val="18"/>
          <w:szCs w:val="18"/>
          <w:color w:val="auto"/>
        </w:rPr>
      </w:pPr>
    </w:p>
    <w:p>
      <w:pPr>
        <w:ind w:left="1000" w:right="100" w:hanging="317"/>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preclinical and clinical studies, and, if we obtain regulatory approval, commercialization of our drug candidates and the growth of the markets for those drug candidates;</w:t>
      </w:r>
    </w:p>
    <w:p>
      <w:pPr>
        <w:spacing w:after="0" w:line="183" w:lineRule="exact"/>
        <w:rPr>
          <w:rFonts w:ascii="Arial" w:cs="Arial" w:eastAsia="Arial" w:hAnsi="Arial"/>
          <w:sz w:val="18"/>
          <w:szCs w:val="18"/>
          <w:color w:val="auto"/>
        </w:rPr>
      </w:pPr>
    </w:p>
    <w:p>
      <w:pPr>
        <w:ind w:left="1000" w:right="38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or on the economy generally;</w:t>
      </w:r>
    </w:p>
    <w:p>
      <w:pPr>
        <w:spacing w:after="0" w:line="225" w:lineRule="exact"/>
        <w:rPr>
          <w:rFonts w:ascii="Arial" w:cs="Arial" w:eastAsia="Arial" w:hAnsi="Arial"/>
          <w:sz w:val="18"/>
          <w:szCs w:val="18"/>
          <w:color w:val="auto"/>
        </w:rPr>
      </w:pPr>
    </w:p>
    <w:p>
      <w:pPr>
        <w:ind w:left="1000" w:right="68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COVID-19 pandemic will affect the timing of the completion of our planned and/or currently ongoing preclinical/clinical trials;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1000" w:right="22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170" w:lineRule="exact"/>
        <w:rPr>
          <w:rFonts w:ascii="Arial" w:cs="Arial" w:eastAsia="Arial" w:hAnsi="Arial"/>
          <w:sz w:val="18"/>
          <w:szCs w:val="18"/>
          <w:color w:val="auto"/>
        </w:rPr>
      </w:pPr>
    </w:p>
    <w:p>
      <w:pPr>
        <w:ind w:left="1000" w:right="14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170" w:lineRule="exact"/>
        <w:rPr>
          <w:rFonts w:ascii="Arial" w:cs="Arial" w:eastAsia="Arial" w:hAnsi="Arial"/>
          <w:sz w:val="18"/>
          <w:szCs w:val="18"/>
          <w:color w:val="auto"/>
        </w:rPr>
      </w:pPr>
    </w:p>
    <w:p>
      <w:pPr>
        <w:ind w:left="1000" w:right="34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before competitors that are superior to the alternatives developed by such competitors;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140" w:hanging="317"/>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183" w:lineRule="exact"/>
        <w:rPr>
          <w:rFonts w:ascii="Arial" w:cs="Arial" w:eastAsia="Arial" w:hAnsi="Arial"/>
          <w:sz w:val="18"/>
          <w:szCs w:val="18"/>
          <w:color w:val="auto"/>
        </w:rPr>
      </w:pPr>
    </w:p>
    <w:p>
      <w:pPr>
        <w:ind w:left="1000" w:right="140" w:hanging="317"/>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paying development, regulatory approval and sales-based milestones under the merger agreement by which we acquired Kolltan, and the cost, timing, and outcome of our declaratory judgment action against the Kolltan stockholder representative with respect to certain of those milestones;</w:t>
      </w:r>
    </w:p>
    <w:p>
      <w:pPr>
        <w:spacing w:after="0" w:line="183" w:lineRule="exact"/>
        <w:rPr>
          <w:rFonts w:ascii="Arial" w:cs="Arial" w:eastAsia="Arial" w:hAnsi="Arial"/>
          <w:sz w:val="18"/>
          <w:szCs w:val="18"/>
          <w:color w:val="auto"/>
        </w:rPr>
      </w:pPr>
    </w:p>
    <w:p>
      <w:pPr>
        <w:ind w:left="1000" w:right="100" w:hanging="317"/>
        <w:spacing w:after="0" w:line="25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7" w:lineRule="exact"/>
        <w:rPr>
          <w:rFonts w:ascii="Arial" w:cs="Arial" w:eastAsia="Arial" w:hAnsi="Arial"/>
          <w:sz w:val="18"/>
          <w:szCs w:val="18"/>
          <w:color w:val="auto"/>
        </w:rPr>
      </w:pPr>
    </w:p>
    <w:p>
      <w:pPr>
        <w:ind w:left="1000" w:right="240" w:hanging="317"/>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without infringing the intellectual property rights of third parties; and</w:t>
      </w:r>
    </w:p>
    <w:p>
      <w:pPr>
        <w:spacing w:after="0" w:line="236" w:lineRule="exact"/>
        <w:rPr>
          <w:rFonts w:ascii="Arial" w:cs="Arial" w:eastAsia="Arial" w:hAnsi="Arial"/>
          <w:sz w:val="17"/>
          <w:szCs w:val="17"/>
          <w:color w:val="auto"/>
        </w:rPr>
      </w:pPr>
    </w:p>
    <w:p>
      <w:pPr>
        <w:ind w:left="1000" w:right="20" w:hanging="317"/>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2021 and other reports that we file with the Securities and Exchange Commission</w:t>
      </w:r>
      <w:r>
        <w:rPr>
          <w:rFonts w:ascii="Arial" w:cs="Arial" w:eastAsia="Arial" w:hAnsi="Arial"/>
          <w:sz w:val="18"/>
          <w:szCs w:val="18"/>
          <w:i w:val="1"/>
          <w:iCs w:val="1"/>
          <w:color w:val="auto"/>
        </w:rPr>
        <w:t>.</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1000" w:hanging="317"/>
        <w:spacing w:after="0" w:line="293"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Barzolvolimab (also referred to as CDX-0159), a monoclonal antibody that specifically binds the KIT receptor and potently inhibits its activity, currently being studied in mast cell driven diseases. In October and December 2020 respectively, we announced that enrollment had opened and the first patients had been dosed in Phase 1b studies in CSU and CIndU. Positive interim data from the Phase 1b study in CIndU were reported in July and September 2021 in patients with cold urticaria and symptomatic dermographism. The study has also been expanded to include patients with cholinergic urticaria and in December 2021 we announced that the first patient had been dosed in a Phase 1b study in PN.</w:t>
      </w:r>
    </w:p>
    <w:p>
      <w:pPr>
        <w:spacing w:after="0" w:line="164" w:lineRule="exact"/>
        <w:rPr>
          <w:rFonts w:ascii="Arial" w:cs="Arial" w:eastAsia="Arial" w:hAnsi="Arial"/>
          <w:sz w:val="16"/>
          <w:szCs w:val="16"/>
          <w:color w:val="auto"/>
        </w:rPr>
      </w:pPr>
    </w:p>
    <w:p>
      <w:pPr>
        <w:ind w:left="1000" w:right="40" w:hanging="317"/>
        <w:spacing w:after="0" w:line="275"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CDX-1140, an agonist monoclonal antibody targeted to CD40, a key activator of immune response, currently being studied in a Phase 1 study. Dose escalation was completed in solid tumors and lymphoma and the recommended dose for further study was determined to be 1.5 mg/kg for both CDX-1140 monotherapy and in combination. We initiated multiple expansion cohorts within the study, including a combination cohort with KEYTRUDA® (pembrolizumab) in patients refractory to PD-1/PD-L1 treatment, which closed to enrollment in March 2022.</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00" w:right="140" w:hanging="317"/>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CDX-527, a bispecific antibody that uses our proprietary highly active anti-PD-L1 and CD27 human antibodies to couple CD27 co-stimulation with blockade of the PD-L1/PD-1 pathway, for which we initiated a Phase 1 study in advanced solid tumors in August 2020.</w:t>
      </w:r>
    </w:p>
    <w:p>
      <w:pPr>
        <w:spacing w:after="0" w:line="18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4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7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2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Completion</w:t>
            </w:r>
          </w:p>
        </w:tc>
        <w:tc>
          <w:tcPr>
            <w:tcW w:w="0" w:type="dxa"/>
            <w:vAlign w:val="bottom"/>
          </w:tcPr>
          <w:p>
            <w:pPr>
              <w:spacing w:after="0"/>
              <w:rPr>
                <w:sz w:val="1"/>
                <w:szCs w:val="1"/>
                <w:color w:val="auto"/>
              </w:rPr>
            </w:pPr>
          </w:p>
        </w:tc>
      </w:tr>
      <w:tr>
        <w:trPr>
          <w:trHeight w:val="171"/>
        </w:trPr>
        <w:tc>
          <w:tcPr>
            <w:tcW w:w="8660" w:type="dxa"/>
            <w:vAlign w:val="bottom"/>
            <w:gridSpan w:val="2"/>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8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0"/>
              </w:rPr>
              <w:t>1 - 2 Years</w:t>
            </w: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260" w:type="dxa"/>
            <w:vAlign w:val="bottom"/>
          </w:tcPr>
          <w:p>
            <w:pPr>
              <w:ind w:left="440"/>
              <w:spacing w:after="0"/>
              <w:rPr>
                <w:sz w:val="20"/>
                <w:szCs w:val="20"/>
                <w:color w:val="auto"/>
              </w:rPr>
            </w:pPr>
            <w:r>
              <w:rPr>
                <w:rFonts w:ascii="Arial" w:cs="Arial" w:eastAsia="Arial" w:hAnsi="Arial"/>
                <w:sz w:val="18"/>
                <w:szCs w:val="18"/>
                <w:color w:val="auto"/>
                <w:w w:val="90"/>
              </w:rPr>
              <w:t>1 - 5 Years</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6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9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6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past five years through December 31, 2021, we incurred an aggregate of $301.1 million in research and development expenses. The following table indicates the amount incurred for each of our significant research programs and for other identified research and development activities during the three months ended March 31, 2022 and 2021. The amounts disclosed in the following table reflect direct research and development costs, license fees associated with the underlying technology and an allocation of indirect research and development costs to each program.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71"/>
        </w:trPr>
        <w:tc>
          <w:tcPr>
            <w:tcW w:w="6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March 31, 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March 31, 2021</w:t>
            </w:r>
          </w:p>
        </w:tc>
      </w:tr>
      <w:tr>
        <w:trPr>
          <w:trHeight w:val="128"/>
        </w:trPr>
        <w:tc>
          <w:tcPr>
            <w:tcW w:w="6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gridSpan w:val="4"/>
          </w:tcPr>
          <w:p>
            <w:pPr>
              <w:jc w:val="right"/>
              <w:ind w:right="937"/>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Barzolvolimab/Anti-KIT Program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w:t>
            </w:r>
          </w:p>
        </w:tc>
      </w:tr>
      <w:tr>
        <w:trPr>
          <w:trHeight w:val="216"/>
        </w:trPr>
        <w:tc>
          <w:tcPr>
            <w:tcW w:w="6980" w:type="dxa"/>
            <w:vAlign w:val="bottom"/>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1140 and CDX-301</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216"/>
        </w:trPr>
        <w:tc>
          <w:tcPr>
            <w:tcW w:w="6980" w:type="dxa"/>
            <w:vAlign w:val="bottom"/>
            <w:shd w:val="clear" w:color="auto" w:fill="CCEEFF"/>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527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16"/>
        </w:trPr>
        <w:tc>
          <w:tcPr>
            <w:tcW w:w="6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Programs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COVID-19 pandemic continues to have a major impact in the US and around the world. The availability of vaccines holds promise for the future, though new variants of the virus and potential waning immunity from vaccines may result in continued impact from this pandemic in the future, which could adversely impact our operations. To date, the Company has managed delays and disruptions without significant impact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third-party suppliers and contract manufacturers for APIs and drug product.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Barzolvolimab (also referred to as CDX-0159)</w:t>
      </w:r>
    </w:p>
    <w:p>
      <w:pPr>
        <w:spacing w:after="0" w:line="225"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Celldex believes that by targeting KIT, barzolvolimab may be able to inhibit mast cell activity and decrease mast cell numbers to provide potential clinical benefit in mast cell related diseases.</w:t>
      </w:r>
    </w:p>
    <w:p>
      <w:pPr>
        <w:spacing w:after="0" w:line="176"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certain inflammatory diseases, such as chronic spontaneous urticaria (“CSU”), also known as chronic idiopathic urticaria (“CIU”) and chronic inducible urticaria (“CIndU”), mast cell degranulation plays a central role in the onset and progression of the disease. In June 2020, we completed a randomized, double-blind, placebo-controlled, single ascending dose escalation Phase 1a study of barzolvolimab in healthy subjects (n=32; 8 subjects per cohort, 6 barzolvolimab; 2 placebo). Subjects received a single intravenous infusion of barzolvolimab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Barzolvolimab demonstrated a favorable safety profile as well as profound and durable reductions of plasma tryptase, consistent with systemic mast cell suppression.</w:t>
      </w:r>
    </w:p>
    <w:p>
      <w:pPr>
        <w:spacing w:after="0" w:line="16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These data supported expansion of the barzolvolimab program into mast cell driven diseases, including initially in CSU and CIndU, diseases where mast cell degranulation plays a central role in the onset and progression of the disease. The prevalence of CSU and CIndU is approximately 0.5-1% of the total population or up to 1 to 3 million patients in the United States alone (Weller et al. 2010. Hautarzt. 61(8), Bartlett et al. 2018. DermNet. Org).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additional therapies. CIndUs are forms of urticaria that have an attributable cause or trigger associated with them, typically resulting in hives or wheals. Celldex is exploring cold-induced, dermographism (scratch-induced) and cholinergic (exercise-induced) urticarias.</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October 2020, we announced that enrollment had opened and the first patient had been dosed in a Phase 1b multi-center study of barzolvolimab in CSU. This study is a randomized, double-blind, placebo-controlled clinical trial designed to assess the safety of multiple ascending doses of barzolvolimab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Barzolvolimab is administered intravenously (0.5, 1.5, 3 and 4.5 mg/kg at varying dosing schedules) as add on treatment to H1-antihistamines, either alone or in combination with H2-antihistamines and/or leukotriene receptor agonists.</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December 2020, we announced that enrollment had opened and the first patient had been dosed in a second Phase 1b study in CIndU being conducted in Germany in patients who are refractory to antihistamines. This study is an open label clinical trial designed to evaluate the safety of a single dose (3 mg/kg) of barzolvolimab in patients with cold urticaria (n=10) or symptomatic dermographism (n=10). In March and June 2021, respectively, we added a third cohort (single dose, 3 mg/kg) in patients with cholinergic urticaria (n=10) and a fourth cohort at a lower dose (single dose, 1.5 mg/kg) in cold urticaria.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Barzolvolimab is administered intravenously on Day 1 as add on treatment to H1-antihistamines.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July 2021, we reported positive interim data from the cold urticaria and symptomatic dermographism cohorts. As of the data cut-off on June 11, 2021, 20 patients had received a single intravenous infusion of barzolvolimab at 3 mg/kg, including 11 patients with cold urticaria and 9 patients with symptomatic dermographism. Patients had high disease activity as assessed by provocation threshold testing. In patients with cold urticaria and symptomatic dermographism baseline critical temperature thresholds were 18.9°C/66°F (range: 5-27°C/41-80.6°F) and FricTest® thresholds were 3.8 (range: 3-4) of 4 pins. Safety results were reported for all 20 patients; activity results were reported for the 19 patients who received a full dose of barzolvolimab. 14 of 19 patients completed the 12-week study observation period and five were ongoing (range of 2-8 weeks) as of June 11, 2021.</w:t>
      </w:r>
    </w:p>
    <w:p>
      <w:pPr>
        <w:spacing w:after="0" w:line="177" w:lineRule="exact"/>
        <w:rPr>
          <w:sz w:val="20"/>
          <w:szCs w:val="20"/>
          <w:color w:val="auto"/>
        </w:rPr>
      </w:pPr>
    </w:p>
    <w:p>
      <w:pPr>
        <w:ind w:left="1000" w:right="180" w:hanging="317"/>
        <w:spacing w:after="0" w:line="296"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19/19 (100)% patients experienced a clinical response as assessed by provocation threshold testing; 18/19 (95)% experienced a complete response and 1/19 (5)% experienced a partial response.10/10 (100)% patients with cold urticaria experienced a complete response. 8/9 (89)% patients with symptomatic dermographism experienced a complete response and 1/9 (11)% experienced a partial response. Compete responses were observed in all 3 patients (1 cold urticaria; 2 symptomatic dermographism) with prior Xolair® (omalizumab) experience, including two who were Xolair refractory.</w:t>
      </w:r>
    </w:p>
    <w:p>
      <w:pPr>
        <w:spacing w:after="0" w:line="161" w:lineRule="exact"/>
        <w:rPr>
          <w:rFonts w:ascii="Arial" w:cs="Arial" w:eastAsia="Arial" w:hAnsi="Arial"/>
          <w:sz w:val="16"/>
          <w:szCs w:val="16"/>
          <w:color w:val="auto"/>
        </w:rPr>
      </w:pPr>
    </w:p>
    <w:p>
      <w:pPr>
        <w:jc w:val="both"/>
        <w:ind w:left="1000" w:right="620" w:hanging="317"/>
        <w:spacing w:after="0" w:line="311"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Rapid onset of responses after dosing and sustained durability were observed. Most patients with cold urticaria and symptomatic dermographism experienced a complete response by week 1 and by week 4, respectively. The median duration of response for patients was 77+ days for cold urticaria and 57+ days for symptomatic dermographism.</w:t>
      </w:r>
    </w:p>
    <w:p>
      <w:pPr>
        <w:spacing w:after="0" w:line="148" w:lineRule="exact"/>
        <w:rPr>
          <w:rFonts w:ascii="Arial" w:cs="Arial" w:eastAsia="Arial" w:hAnsi="Arial"/>
          <w:sz w:val="16"/>
          <w:szCs w:val="16"/>
          <w:color w:val="auto"/>
        </w:rPr>
      </w:pPr>
    </w:p>
    <w:p>
      <w:pPr>
        <w:ind w:left="1000" w:right="56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Improvements in disease activity as reported by physician’s and patient’s global assessment of disease severity were consistent with the complete responses as measured by provocation testing.</w:t>
      </w:r>
    </w:p>
    <w:p>
      <w:pPr>
        <w:spacing w:after="0" w:line="170" w:lineRule="exact"/>
        <w:rPr>
          <w:rFonts w:ascii="Arial" w:cs="Arial" w:eastAsia="Arial" w:hAnsi="Arial"/>
          <w:sz w:val="18"/>
          <w:szCs w:val="18"/>
          <w:color w:val="auto"/>
        </w:rPr>
      </w:pPr>
    </w:p>
    <w:p>
      <w:pPr>
        <w:ind w:left="1000" w:right="80" w:hanging="317"/>
        <w:spacing w:after="0" w:line="25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single 3 mg/kg dose of barzolvolimab resulted in rapid, marked and durable suppression of serum tryptase and depletion of skin mast cells (87% depletion) as measured through biopsy. The kinetics of serum tryptase and skin mast cell depletion mirrored clinical activity. This confirmed that serum tryptase level is a robust pharmacodynamic biomarker for assessing mast cell burden and clinical activity in inducible urticaria and potentially in other diseases with mast cell driven involvement.</w:t>
      </w:r>
    </w:p>
    <w:p>
      <w:pPr>
        <w:spacing w:after="0" w:line="187" w:lineRule="exact"/>
        <w:rPr>
          <w:rFonts w:ascii="Arial" w:cs="Arial" w:eastAsia="Arial" w:hAnsi="Arial"/>
          <w:sz w:val="18"/>
          <w:szCs w:val="18"/>
          <w:color w:val="auto"/>
        </w:rPr>
      </w:pPr>
    </w:p>
    <w:p>
      <w:pPr>
        <w:ind w:left="1000" w:right="100" w:hanging="317"/>
        <w:spacing w:after="0" w:line="291"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Barzolvolimab was generally well tolerated. The most common adverse events were hair color changes, mild infusion reactions, and transient changes in taste perception. Hair color changes (generally small areas of hair color lightening) and taste disorders (generally partial changes of ability to taste salt) are consistent with inhibiting KIT signaling in other cell types and are expected to be fully reversible. As previously reported in March 2021, a single severe infusion reaction of brief loss of consciousness was observed in a patient with a history of fainting. The patient rapidly recovered. Importantly, no evidence of mast cell activation as measured by serum tryptase monitoring was observed. There was no evidence of clinically significant decreases in hematology parameters—an important finding for a KIT inhibitor.</w:t>
      </w:r>
    </w:p>
    <w:p>
      <w:pPr>
        <w:spacing w:after="0" w:line="166" w:lineRule="exact"/>
        <w:rPr>
          <w:rFonts w:ascii="Arial" w:cs="Arial" w:eastAsia="Arial" w:hAnsi="Arial"/>
          <w:sz w:val="16"/>
          <w:szCs w:val="16"/>
          <w:color w:val="auto"/>
        </w:rPr>
      </w:pPr>
    </w:p>
    <w:p>
      <w:pPr>
        <w:ind w:left="1000" w:right="40" w:hanging="317"/>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patient with symptomatic dermographism enrolled in the study also had a diagnosis of prurigo nodularis (“PN”). After a single dose of barzolvolimab, this patient experienced both a complete response of symptomatic dermographism and notable improvement of the PN.</w:t>
      </w:r>
    </w:p>
    <w:p>
      <w:pPr>
        <w:spacing w:after="0" w:line="184" w:lineRule="exact"/>
        <w:rPr>
          <w:sz w:val="20"/>
          <w:szCs w:val="20"/>
          <w:color w:val="auto"/>
        </w:rPr>
      </w:pPr>
    </w:p>
    <w:p>
      <w:pPr>
        <w:jc w:val="both"/>
        <w:ind w:right="320" w:firstLine="648"/>
        <w:spacing w:after="0" w:line="311" w:lineRule="auto"/>
        <w:rPr>
          <w:sz w:val="20"/>
          <w:szCs w:val="20"/>
          <w:color w:val="auto"/>
        </w:rPr>
      </w:pPr>
      <w:r>
        <w:rPr>
          <w:rFonts w:ascii="Arial" w:cs="Arial" w:eastAsia="Arial" w:hAnsi="Arial"/>
          <w:sz w:val="16"/>
          <w:szCs w:val="16"/>
          <w:color w:val="auto"/>
        </w:rPr>
        <w:t>In September 2021, we reported additional positive data from the study on measurements of symptom control and quality of life. A single dose of barzolvolimab (3 mg/kg) resulted in a rapid and sustained improvement in urticaria control and greatly reduced disease impact on quality of life, as measured by the Urticaria Control Test (UCT) and Dermatology Life Quality Index (DLQI).</w:t>
      </w:r>
    </w:p>
    <w:p>
      <w:pPr>
        <w:spacing w:after="0" w:line="14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Celldex has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are currently no FDA approved therapies for PN, representing an area of significant unmet need. Industry sources estimate there are approximately 154,000 patients in the United States with PN who have undergone treatment within the last 12 months and, of these, approximately 75,000 would be biologic-eligible. In December 2021, the first patient was dosed in a Phase 1b multi-center, randomized, double-blind, placebo-controlled study designed to assess the safety and treatment effects across multiple dosing cohorts of barzolvolimab in up to 30 patients with PN.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Manufacturing activities to support the introduction of the barzolvolimab subcutaneous formulation into the clinical program have been completed and, in September 2021, we initiated dosing in a randomized, double-blind, placebo-controlled, Phase 1 study designed to evaluate the safety of single ascending doses of the subcutaneous formulation of barzolvolimab in healthy volunteers. In February 2022, we reported that subcutaneous administration of barzolvolimab was well tolerated and that multiple dose levels have been identified that possess promising pharmacokinetic and pharmacodynamic properties. Importantly, subcutaneous delivery of barzolvolimab resulted in dose-dependent, rapid and sustained decreases in serum tryptase compared with placebo and achieved sufficient exposure to produce tryptase suppression levels comparable with the levels that generated impressive clinical activity observed in the Phase 1 CIndU intravenous study. Celldex anticipates the upcoming Phase 2 multi-dose studies in urticaria will evaluate 75mg and 150mg administered every 4 weeks and 300mg administered every 8 weeks. The planned doses support a 0.5 to 2 ml injection volume, allowing for a single injection as barzolvolimab advances towards potential commercialization. In 2022, we plan to initiate a transfer of our current barzolvolimab manufacturing process to a contract manufacturing organization to support late-stage trials and to prepare for potential commercialization.</w:t>
      </w:r>
    </w:p>
    <w:p>
      <w:pPr>
        <w:spacing w:after="0" w:line="17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February 2022, we also reported interim data after completing the in-life dosing portion of our six month chronic toxicology study in non-human primates; a subset of the animals will continue to be followed beyond clearance of the barzolvolimab antibody to study completion. As expected and consistent with other KIT-targeting agents, impact on spermatogenesis was observed which is anticipated to be fully reversible upon clearance of the antibody. There were no other clinically adverse findings reported in the study. We believe these data strongly support our planned Phase 2 studies in urticaria later this year and in future indications.</w:t>
      </w:r>
    </w:p>
    <w:p>
      <w:pPr>
        <w:spacing w:after="0" w:line="16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February 2022, we announced that we will be expanding clinical development of barzolvolimab into eosinophilic esophagitis (“EoE”), the most common type of eosinophilic gastrointestinal disease. EoE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are limited treatment options for EoE. Individuals often participate in an elimination diet to identify potential food allergens that may contribute to EoE, avoid difficult to swallow foods and undergo esophageal dilation. While not approved for EoE, proton pump inhibitors and the swallowing of topical corticosteroids are also used to address the disease.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spacing w:after="0" w:line="17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continue to assess potential opportunities for barzolvolimab in other diseases where mast cells play an important role, such as dermatologic, respiratory, allergic, gastrointestinal and ophthalmic conditions.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concentrations to levels that may not be optimal for engaging CD40 expressing cells in the tumor microenvironment.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November 2017, we initiated a Phase 1 study of CDX-1140 in up to 260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 A combination cohort with CDX-301, a hematopoietic cytokine that uniquely expands dendritic cells and hematopoietic stem cells and a safety run-in combination cohort with gemcitabine/nab-paclitaxel in patients with previously untreated metastatic pancreatic adenocarcinoma have been completed. A combination of CDX-1140 with pembrolizumab has completed the safety run-in phase. Expansion cohorts in patients with checkpoint-refractory/resistant squamous cell head and neck cancer and non-small cell lung cancer are enrolling patients.</w:t>
      </w:r>
    </w:p>
    <w:p>
      <w:pPr>
        <w:spacing w:after="0" w:line="18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In November 2020, we reported interim Phase 1 data from patients treated at the maximum tolerated dose (MTD) and recommended dose of 1.5 mg/kg—one of the highest systemic dose levels in the CD40 agonist class. Interim data from the study were presented at the Society for Immunotherapy of Cancer’s (SITC) 35th Annual Meeting 2020 (n=41; 25 mono, 16 with CDX-301 and 29 with post-treatment scans). Preliminary safety data from the combination cohort with pembrolizumab (n=9; 4 at 0.72 mg/kg and 5 at 1.5 mg/kg CDX-1140) were also presented. CDX-1140 monotherapy and in combination with pembrolizumab was generally well tolerated with mostly grade 1 or 2 drug related adverse events. Activity at 1.5mg/kg dose of CDX-1140 included an ongoing complete response (CR; 18 months as of Oct 2021) in a patient with follicular lymphoma treated with CDX-1140 monotherapy. There was notable tumor shrinkage and/or necrosis in 6 patients with squamous cell head and neck cancer (SCCHN) treated with CDX-1140 alone or in combination with CDX-301 and stable disease (n=10) for 11 to 32 weeks. CDX-1140 provided good systemic exposure and resulted in marked changes in the tumor microenvironment.</w:t>
      </w:r>
    </w:p>
    <w:p>
      <w:pPr>
        <w:spacing w:after="0" w:line="18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November 2021, we provided an update on the ongoing Phase 1 study. Emerging data from the safety run-in cohort of CDX-1140 with gemcitabine/nab-paclitaxel in patients with previously untreated metastatic pancreatic adenocarcinoma and external CD40 agonist data recently reported using the same regimen, suggest that simultaneous treatment with chemotherapy and CD40 activation may not be optimal. Alternative strategies for investigating CDX-1140 in pancreatic cancer in other regimens are being explored, including through investigator sponsored studies. The combination of CDX-1140 with pembrolizumab has completed the safety run-in phase. Expansion cohorts in patients with checkpoint-refractory/resistant squamous cell head and neck cancer and non-small cell lung cancer were also initiated. In November 2021, we reported that of the six patients with squamous cell head and neck cancer treated with CDX-1140 at 1.5 mg/kg in combination with pembrolizumab, encouraging preliminary results were observed including a confirmed partial response and durable stable disease. Of the six evaluable patients with non-small cell lung cancer, four had stable disease as their best response. Adverse events, such as arthralgia, myalgia and fatigue, occurred more frequently in combination with pembrolizumab relative to CDX-1140 monotherapy and the protocol was amended to allow CDX-1140 dose reduction, if necessary, to help manage these toxicities. In late March 2022, Celldex closed enrollment to the study; patients continue to be dosed and followed for safety and potential treatment effect.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CDX-527</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CDX-527 is the first candidate from Celldex’s bispecific antibody platform. Bispecifics provide opportunities to engage two independent pathways involved in controlling immune responses to tumors. CDX-527 uses Celldex’s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w:t>
      </w:r>
    </w:p>
    <w:p>
      <w:pPr>
        <w:spacing w:after="0" w:line="157"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anti-tumor immunity than the combination of parental monoclonal antibodies.</w:t>
      </w:r>
    </w:p>
    <w:p>
      <w:pPr>
        <w:spacing w:after="0" w:line="14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August 2020, we announced the initiation of a Phase 1 dose-escalation study. The study includes up to approximately 40 patients with advanced or metastatic solid tumors that have progressed during or after standard of care therapy to be followed by tumor-specific expansion cohorts. The study is designed to determine the maximum tolerated dose, or MTD, during a dose-escalation phase and to recommend a dose level for further study in the subsequent expansion phase. The expansion is designed to further evaluate the tolerability, and biologic and anti-tumor effects of selected dose level(s) of CDX-527 in specific tumor types. Enrollment to the dose escalation portion of the study has been completed and an expansion cohort in ovarian cancer is enrolling patients.</w:t>
      </w:r>
    </w:p>
    <w:p>
      <w:pPr>
        <w:spacing w:after="0" w:line="1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Interim data were presented at the American Society of Clinical Oncology (ASCO) 2021 Annual Meeting in June that demonstrated a good safety profile along with promising pharmacodynamic and pharmacokinetic activity, which are important key hurdles for the development of bispecific antibodies. As of the data cut-off (April 16, 2021), 11 patients were enrolled in the first 5 dose escalation cohorts, 0.03 mg/kg through 3 mg/kg.CDX-527 was well tolerated, with no dose-limiting toxicities or treatment related serious adverse events observed. Pharmacokinetics and receptor occupancy demonstrate good exposure starting at the 1 mg/kg dose and no evidence of significant anti-drug antibodies impact. Pharmacodynamic parameters demonstrate biological activity consistent with immune activation including: transient increase in pro inflammatory cytokines/chemokines, upregulation of activation marker on T cells and particularly NK cells and a decrease in regulatory T cells.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2021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with Three Months Ended March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5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28"/>
        </w:trPr>
        <w:tc>
          <w:tcPr>
            <w:tcW w:w="5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5"/>
          </w:tcPr>
          <w:p>
            <w:pPr>
              <w:jc w:val="right"/>
              <w:ind w:right="534"/>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900 %</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r>
      <w:tr>
        <w:trPr>
          <w:trHeight w:val="250"/>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196"/>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34 %</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68 %</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w w:val="97"/>
              </w:rPr>
              <w:t>(Gain) loss on fair value remeasurement of contingent consideration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(1,019)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35 %</w:t>
            </w: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(16,639)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40 %</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105 %</w:t>
            </w:r>
          </w:p>
        </w:tc>
      </w:tr>
      <w:tr>
        <w:trPr>
          <w:trHeight w:val="209"/>
        </w:trPr>
        <w:tc>
          <w:tcPr>
            <w:tcW w:w="530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(16,538)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39 %</w:t>
            </w:r>
          </w:p>
        </w:tc>
      </w:tr>
      <w:tr>
        <w:trPr>
          <w:trHeight w:val="20"/>
        </w:trPr>
        <w:tc>
          <w:tcPr>
            <w:tcW w:w="5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$6.5 million increase in net loss for the three months ended March 31, 2022, as compared to the three months ended March 31, 2021, was primarily the result of increases in research and development and general and administrative expenses, partially offset by an increase in the gain on fair value remeasurement of contingent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Revenue from product development and licensing agreements for the three months ended March 31, 2022 was relatively consistent with the three months ended March 31, 2021. The $0.5 million decrease in contracts and grants revenue for the three months ended March 31, 2022, as compared to the three months ended March 31, 2021, was primarily due to a decrease in services performed under our manufacturing and research and development agreements with Rockefeller University and Gilead Sciences. We expect revenue to remain relatively consistent over the next twelve months, although there may be fluctuations on a quarterly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center"/>
              <w:ind w:right="116"/>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3"/>
          </w:tcPr>
          <w:p>
            <w:pPr>
              <w:jc w:val="center"/>
              <w:ind w:left="78"/>
              <w:spacing w:after="0"/>
              <w:rPr>
                <w:sz w:val="20"/>
                <w:szCs w:val="20"/>
                <w:color w:val="auto"/>
              </w:rPr>
            </w:pPr>
            <w:r>
              <w:rPr>
                <w:rFonts w:ascii="Arial" w:cs="Arial" w:eastAsia="Arial" w:hAnsi="Arial"/>
                <w:sz w:val="14"/>
                <w:szCs w:val="14"/>
                <w:b w:val="1"/>
                <w:bCs w:val="1"/>
                <w:color w:val="auto"/>
                <w:w w:val="88"/>
              </w:rPr>
              <w:t>Increase/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9"/>
              </w:rPr>
              <w:t>March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78"/>
              <w:spacing w:after="0"/>
              <w:rPr>
                <w:sz w:val="20"/>
                <w:szCs w:val="20"/>
                <w:color w:val="auto"/>
              </w:rPr>
            </w:pPr>
            <w:r>
              <w:rPr>
                <w:rFonts w:ascii="Arial" w:cs="Arial" w:eastAsia="Arial" w:hAnsi="Arial"/>
                <w:sz w:val="14"/>
                <w:szCs w:val="14"/>
                <w:b w:val="1"/>
                <w:bCs w:val="1"/>
                <w:color w:val="auto"/>
                <w:w w:val="92"/>
              </w:rPr>
              <w:t>(Decrease)</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29"/>
        </w:trPr>
        <w:tc>
          <w:tcPr>
            <w:tcW w:w="36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25 %</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Laboratory supplies</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4 %</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Product development</w:t>
            </w: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2,762</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2,396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87 %</w:t>
            </w:r>
          </w:p>
        </w:tc>
      </w:tr>
    </w:tbl>
    <w:p>
      <w:pPr>
        <w:spacing w:after="0" w:line="187"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Personnel expenses primarily include salary, benefits, stock-based compensation and payroll taxes. The $1.5 million increase in personnel expenses for the three months ended March 31, 2022, as compared to the three months ended March 31, 2021, was primarily due to higher stock-based compensation expense and an increase in employee headcount. We expect personnel expenses to increase over the next twelve months as a result of additional headcount to support the expanded development of barzolvolimab.</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$0.1 million decrease in laboratory supply expenses for the three months ended March 31, 2022, as compared to the three months ended March 31, 2021, was primarily due to lower laboratory materials and supplies purchases. We expect laboratory supplies expenses to remain relatively consistent over the next twelve months, although there may be fluctuations on a quarterly basis.</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Facility expenses for the three months ended March 31, 2022 was relatively consistent with the three months ended March 31, 2021. We expect facility expenses to remain relatively consistent over the next twelve months, although there may be fluctuations on a quarterly basis.</w:t>
      </w:r>
    </w:p>
    <w:p>
      <w:pPr>
        <w:spacing w:after="0" w:line="18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 $2.4 million increase in product development expenses for the three months ended March 31, 2022, as compared to the three months ended March 31, 2021, was primarily due to an increase in clinical trial expenses. We expect product development expenses to increase over the next twelve months as a result of further increases in barzolvolimab clinical trial, contract manufacturing and contract research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$2.8 million increase in general and administrative expenses for the three months ended March 31, 2022, as compared to the three months ended March 31, 2021, was primarily due to higher personnel, legal and commercial planning expenses. We expect general and administrative expenses to increase over the next twelve months primarily due to increased commercial planning efforts for barzolvolimab.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Fair Value Remeasurement of Contingent Consideration</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$0.5 million gain on fair value remeasurement of contingent consideration for the three months ended March 31, 2022 was primarily due to changes in discount rates. The $0.5 million loss on fair value remeasurement of contingent consideration for the three months ended March 31, 2021 was primarily due to changes in discount rates and the passage of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$0.1 million increase in investment and other income, net for the three months ended March 31, 2022, as compared to the three months ended March 31, 2021, was primarily due to higher levels of cash and investment balances. We expect investment and other income to increase over the next twelve months due to higher interest rates on fixed income investments and higher other income related to our sale of New Jersey tax benefits.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ectPr>
          <w:pgSz w:w="11900" w:h="16838" w:orient="portrait"/>
          <w:cols w:equalWidth="0" w:num="1">
            <w:col w:w="9900"/>
          </w:cols>
          <w:pgMar w:left="980" w:top="665" w:right="101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At March 31, 2022, our principal sources of liquidity consisted of cash, cash equivalents and marketable securities of $380.5 million. We have had recurring losses and incurred a loss of $23.1 million for the three months ended March 31, 2022. Net cash used in operations for the three months ended March 31, 2022 was $24.5 million. We believe that the cash, cash equivalents and marketable securities at March 31, 2022 are sufficient to meet estimated working capital requirements and fund planned operations through 2025. This could be impacted if we elect to pay Kolltan contingent milestones, if any, in cash.</w:t>
      </w:r>
    </w:p>
    <w:p>
      <w:pPr>
        <w:spacing w:after="0" w:line="17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used in operating activities was $24.5 million for the three months ended March 31, 2022 as compared to $18.1 million for the three months ended March 31, 2021. The increase in net cash used in operating activities was primarily due to an increase in research and development and general and administrative expenses. We expect that cash used in operating activities will increase over the next twelve months as a result of the expanded development of barzolvolimab.</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Net cash provided by investing activities was $10.4 million for the three months ended March 31, 2022 as compared to $43.5 million for the three months ended March 31, 2021. The decrease in net cash provided by investing activities was primarily due to net sales and maturities of marketable securities of $11.0 million for the three months ended March 31, 2022 as compared to $44.0 million for the three months ended March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Net cash provided by financing activities was $0.3 million for the three months ended March 31, 2022 as compared to $0.1 million for the three months ended March 31, 2021. The increase in net cash provided by financing activities was primarily due to an increase in proceeds from issuance of stock from employee benefit plans.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utilize derivative financial instruments. The carrying amounts reflected in the consolidated balance sheet of cash and cash equivalents, accounts receivables and accounts payable approximate fair value at March 31, 2022 due to the short-term maturities of these instruments.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As of March 31, 2022,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2022.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Shareholder Representative Services LLC (“SRS”) is the hired representative of the former stockholders of Kolltan Pharmaceuticals, Inc. (“Kolltan”) in connection with the Agreement and Plan of Merger, dated November 1, 2016, by and among Kolltan, Connemara Merger Sub 1, Inc., Connemara Merger Sub 2 LLC, and SRS (“Merger Agreement”). 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Specifically, Celldex sought the entry of an order declaring that:</w:t>
      </w:r>
    </w:p>
    <w:p>
      <w:pPr>
        <w:spacing w:after="0" w:line="195" w:lineRule="exact"/>
        <w:rPr>
          <w:sz w:val="20"/>
          <w:szCs w:val="20"/>
          <w:color w:val="auto"/>
        </w:rPr>
      </w:pPr>
    </w:p>
    <w:p>
      <w:pPr>
        <w:ind w:left="100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Celldex’s determination to discontinue the development of CDX-0158 (formerly known as KTN0158) was proper and valid under the Merger Agreement;</w:t>
      </w:r>
    </w:p>
    <w:p>
      <w:pPr>
        <w:spacing w:after="0" w:line="170" w:lineRule="exact"/>
        <w:rPr>
          <w:rFonts w:ascii="Arial" w:cs="Arial" w:eastAsia="Arial" w:hAnsi="Arial"/>
          <w:sz w:val="18"/>
          <w:szCs w:val="18"/>
          <w:color w:val="auto"/>
        </w:rPr>
      </w:pPr>
    </w:p>
    <w:p>
      <w:pPr>
        <w:ind w:left="1000" w:right="160" w:hanging="317"/>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Milestone Abandonment Notice dated December 5, 2018 from Celldex was valid and effective under the Merger Agreement and that the “Successful Completion of Phase I Clinical Trial for KTN0158” Milestone has not been achieved and has properly been abandoned; and</w:t>
      </w:r>
    </w:p>
    <w:p>
      <w:pPr>
        <w:spacing w:after="0" w:line="183" w:lineRule="exact"/>
        <w:rPr>
          <w:rFonts w:ascii="Arial" w:cs="Arial" w:eastAsia="Arial" w:hAnsi="Arial"/>
          <w:sz w:val="18"/>
          <w:szCs w:val="18"/>
          <w:color w:val="auto"/>
        </w:rPr>
      </w:pPr>
    </w:p>
    <w:p>
      <w:pPr>
        <w:ind w:left="1000" w:right="34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Merger Agreement, the barzolvolimab program is not a program that results in milestone payments under the Merger Agreement.</w:t>
      </w:r>
    </w:p>
    <w:p>
      <w:pPr>
        <w:spacing w:after="0" w:line="17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barzolvolimab program is in essence an extension of the CDX-0158 (formerly KTN0158) program. The parties entered into non-binding mediation in May 2021 following SRS’s approach to Celldex about its interest in settlement or mediation discussions, but those discussions did not result in a resolution of the dispute.</w:t>
      </w:r>
      <w:r>
        <w:rPr>
          <w:sz w:val="1"/>
          <w:szCs w:val="1"/>
          <w:color w:val="auto"/>
        </w:rPr>
        <w:drawing>
          <wp:inline distT="0" distB="0" distL="0" distR="0">
            <wp:extent cx="25400" cy="12001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400" cy="120015"/>
                    </a:xfrm>
                    <a:prstGeom prst="rect">
                      <a:avLst/>
                    </a:prstGeom>
                    <a:noFill/>
                    <a:ln>
                      <a:noFill/>
                    </a:ln>
                  </pic:spPr>
                </pic:pic>
              </a:graphicData>
            </a:graphic>
          </wp:inline>
        </w:drawing>
      </w:r>
      <w:r>
        <w:rPr>
          <w:rFonts w:ascii="Arial" w:cs="Arial" w:eastAsia="Arial" w:hAnsi="Arial"/>
          <w:sz w:val="18"/>
          <w:szCs w:val="18"/>
          <w:color w:val="auto"/>
          <w:highlight w:val="white"/>
        </w:rPr>
        <w:t>The case remains ongoing and we are currently unable to predict or estimate the outcome of this matter. The case is currently scheduled for trial in June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December 31, 2021,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7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listed in the exhibit index included herewith and are incorporated by reference herein.</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700" w:type="dxa"/>
            <w:vAlign w:val="bottom"/>
            <w:gridSpan w:val="3"/>
          </w:tcPr>
          <w:p>
            <w:pPr>
              <w:ind w:left="110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13"/>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No.</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960" w:type="dxa"/>
            <w:vAlign w:val="bottom"/>
            <w:gridSpan w:val="2"/>
          </w:tcPr>
          <w:p>
            <w:pPr>
              <w:ind w:left="320"/>
              <w:spacing w:after="0"/>
              <w:rPr>
                <w:sz w:val="20"/>
                <w:szCs w:val="20"/>
                <w:color w:val="auto"/>
              </w:rPr>
            </w:pPr>
            <w:r>
              <w:rPr>
                <w:rFonts w:ascii="Arial" w:cs="Arial" w:eastAsia="Arial" w:hAnsi="Arial"/>
                <w:sz w:val="16"/>
                <w:szCs w:val="16"/>
                <w:b w:val="1"/>
                <w:bCs w:val="1"/>
                <w:color w:val="auto"/>
              </w:rPr>
              <w:t>Description</w:t>
            </w:r>
          </w:p>
        </w:tc>
      </w:tr>
      <w:tr>
        <w:trPr>
          <w:trHeight w:val="158"/>
        </w:trPr>
        <w:tc>
          <w:tcPr>
            <w:tcW w:w="20" w:type="dxa"/>
            <w:vAlign w:val="bottom"/>
          </w:tcPr>
          <w:p>
            <w:pPr>
              <w:spacing w:after="0"/>
              <w:rPr>
                <w:sz w:val="13"/>
                <w:szCs w:val="13"/>
                <w:color w:val="auto"/>
              </w:rPr>
            </w:pPr>
          </w:p>
        </w:tc>
        <w:tc>
          <w:tcPr>
            <w:tcW w:w="1140" w:type="dxa"/>
            <w:vAlign w:val="bottom"/>
            <w:tcBorders>
              <w:top w:val="single" w:sz="8" w:color="auto"/>
            </w:tcBorders>
          </w:tcPr>
          <w:p>
            <w:pPr>
              <w:spacing w:after="0" w:line="158" w:lineRule="exact"/>
              <w:rPr>
                <w:sz w:val="20"/>
                <w:szCs w:val="20"/>
                <w:color w:val="auto"/>
              </w:rPr>
            </w:pPr>
            <w:r>
              <w:rPr>
                <w:rFonts w:ascii="Arial" w:cs="Arial" w:eastAsia="Arial" w:hAnsi="Arial"/>
                <w:sz w:val="16"/>
                <w:szCs w:val="16"/>
                <w:color w:val="auto"/>
              </w:rPr>
              <w:t>*31.1</w:t>
            </w:r>
          </w:p>
        </w:tc>
        <w:tc>
          <w:tcPr>
            <w:tcW w:w="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500" w:type="dxa"/>
            <w:vAlign w:val="bottom"/>
            <w:tcBorders>
              <w:top w:val="single" w:sz="8" w:color="auto"/>
              <w:bottom w:val="single" w:sz="8" w:color="0000EE"/>
            </w:tcBorders>
            <w:gridSpan w:val="2"/>
          </w:tcPr>
          <w:p>
            <w:pPr>
              <w:spacing w:after="0" w:line="158" w:lineRule="exact"/>
              <w:rPr>
                <w:rFonts w:ascii="Arial" w:cs="Arial" w:eastAsia="Arial" w:hAnsi="Arial"/>
                <w:sz w:val="16"/>
                <w:szCs w:val="16"/>
                <w:color w:val="0000EE"/>
                <w:w w:val="93"/>
              </w:rPr>
            </w:pPr>
            <w:hyperlink w:anchor="page31">
              <w:r>
                <w:rPr>
                  <w:rFonts w:ascii="Arial" w:cs="Arial" w:eastAsia="Arial" w:hAnsi="Arial"/>
                  <w:sz w:val="16"/>
                  <w:szCs w:val="16"/>
                  <w:color w:val="0000EE"/>
                  <w:w w:val="93"/>
                </w:rPr>
                <w:t>Certification of President and Chief Executive Officer</w:t>
              </w:r>
            </w:hyperlink>
          </w:p>
        </w:tc>
        <w:tc>
          <w:tcPr>
            <w:tcW w:w="4960" w:type="dxa"/>
            <w:vAlign w:val="bottom"/>
            <w:tcBorders>
              <w:top w:val="single" w:sz="8" w:color="auto"/>
            </w:tcBorders>
            <w:gridSpan w:val="2"/>
          </w:tcPr>
          <w:p>
            <w:pPr>
              <w:spacing w:after="0"/>
              <w:rPr>
                <w:sz w:val="13"/>
                <w:szCs w:val="13"/>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*31.2</w:t>
            </w:r>
          </w:p>
        </w:tc>
        <w:tc>
          <w:tcPr>
            <w:tcW w:w="160" w:type="dxa"/>
            <w:vAlign w:val="bottom"/>
          </w:tcPr>
          <w:p>
            <w:pPr>
              <w:spacing w:after="0"/>
              <w:rPr>
                <w:sz w:val="15"/>
                <w:szCs w:val="15"/>
                <w:color w:val="auto"/>
              </w:rPr>
            </w:pPr>
          </w:p>
        </w:tc>
        <w:tc>
          <w:tcPr>
            <w:tcW w:w="8480" w:type="dxa"/>
            <w:vAlign w:val="bottom"/>
            <w:gridSpan w:val="5"/>
          </w:tcPr>
          <w:p>
            <w:pPr>
              <w:spacing w:after="0" w:line="183" w:lineRule="exact"/>
              <w:rPr>
                <w:rFonts w:ascii="Arial" w:cs="Arial" w:eastAsia="Arial" w:hAnsi="Arial"/>
                <w:sz w:val="16"/>
                <w:szCs w:val="16"/>
                <w:color w:val="0000EE"/>
              </w:rPr>
            </w:pPr>
            <w:hyperlink w:anchor="page32">
              <w:r>
                <w:rPr>
                  <w:rFonts w:ascii="Arial" w:cs="Arial" w:eastAsia="Arial" w:hAnsi="Arial"/>
                  <w:sz w:val="16"/>
                  <w:szCs w:val="16"/>
                  <w:color w:val="0000EE"/>
                </w:rPr>
                <w:t>Certification of Senior Vice President and Chief Financial Officer</w:t>
              </w:r>
            </w:hyperlink>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**32.1</w:t>
            </w:r>
          </w:p>
        </w:tc>
        <w:tc>
          <w:tcPr>
            <w:tcW w:w="16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2"/>
              </w:rPr>
            </w:pPr>
            <w:hyperlink w:anchor="page33">
              <w:r>
                <w:rPr>
                  <w:rFonts w:ascii="Arial" w:cs="Arial" w:eastAsia="Arial" w:hAnsi="Arial"/>
                  <w:sz w:val="16"/>
                  <w:szCs w:val="16"/>
                  <w:color w:val="0000EE"/>
                  <w:w w:val="92"/>
                </w:rPr>
                <w:t>Section 1350 Certifications</w:t>
              </w:r>
            </w:hyperlink>
          </w:p>
        </w:tc>
        <w:tc>
          <w:tcPr>
            <w:tcW w:w="2480" w:type="dxa"/>
            <w:vAlign w:val="bottom"/>
            <w:tcBorders>
              <w:top w:val="single" w:sz="8" w:color="0000EE"/>
            </w:tcBorders>
            <w:gridSpan w:val="2"/>
          </w:tcPr>
          <w:p>
            <w:pPr>
              <w:spacing w:after="0"/>
              <w:rPr>
                <w:sz w:val="15"/>
                <w:szCs w:val="15"/>
                <w:color w:val="auto"/>
              </w:rPr>
            </w:pPr>
          </w:p>
        </w:tc>
        <w:tc>
          <w:tcPr>
            <w:tcW w:w="4220" w:type="dxa"/>
            <w:vAlign w:val="bottom"/>
          </w:tcPr>
          <w:p>
            <w:pPr>
              <w:spacing w:after="0"/>
              <w:rPr>
                <w:sz w:val="15"/>
                <w:szCs w:val="15"/>
                <w:color w:val="auto"/>
              </w:rPr>
            </w:pPr>
          </w:p>
        </w:tc>
      </w:tr>
      <w:tr>
        <w:trPr>
          <w:trHeight w:val="227"/>
        </w:trPr>
        <w:tc>
          <w:tcPr>
            <w:tcW w:w="1160" w:type="dxa"/>
            <w:vAlign w:val="bottom"/>
            <w:gridSpan w:val="2"/>
          </w:tcPr>
          <w:p>
            <w:pPr>
              <w:spacing w:after="0"/>
              <w:rPr>
                <w:sz w:val="20"/>
                <w:szCs w:val="20"/>
                <w:color w:val="auto"/>
              </w:rPr>
            </w:pPr>
            <w:r>
              <w:rPr>
                <w:rFonts w:ascii="Arial" w:cs="Arial" w:eastAsia="Arial" w:hAnsi="Arial"/>
                <w:sz w:val="16"/>
                <w:szCs w:val="16"/>
                <w:color w:val="auto"/>
              </w:rPr>
              <w:t>*101.INS</w:t>
            </w:r>
          </w:p>
        </w:tc>
        <w:tc>
          <w:tcPr>
            <w:tcW w:w="160" w:type="dxa"/>
            <w:vAlign w:val="bottom"/>
          </w:tcPr>
          <w:p>
            <w:pPr>
              <w:spacing w:after="0"/>
              <w:rPr>
                <w:sz w:val="19"/>
                <w:szCs w:val="19"/>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w w:val="92"/>
              </w:rPr>
              <w:t>Inline XBRL Instance Document – the instance document does not appear in the Interactive Data File because its XBRL tags are</w:t>
            </w: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60" w:type="dxa"/>
            <w:vAlign w:val="bottom"/>
          </w:tcPr>
          <w:p>
            <w:pPr>
              <w:spacing w:after="0"/>
              <w:rPr>
                <w:sz w:val="17"/>
                <w:szCs w:val="17"/>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60" w:type="dxa"/>
            <w:vAlign w:val="bottom"/>
          </w:tcPr>
          <w:p>
            <w:pPr>
              <w:spacing w:after="0"/>
              <w:rPr>
                <w:sz w:val="17"/>
                <w:szCs w:val="17"/>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60" w:type="dxa"/>
            <w:vAlign w:val="bottom"/>
          </w:tcPr>
          <w:p>
            <w:pPr>
              <w:spacing w:after="0"/>
              <w:rPr>
                <w:sz w:val="17"/>
                <w:szCs w:val="17"/>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60" w:type="dxa"/>
            <w:vAlign w:val="bottom"/>
          </w:tcPr>
          <w:p>
            <w:pPr>
              <w:spacing w:after="0"/>
              <w:rPr>
                <w:sz w:val="17"/>
                <w:szCs w:val="17"/>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06"/>
        </w:trPr>
        <w:tc>
          <w:tcPr>
            <w:tcW w:w="116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60" w:type="dxa"/>
            <w:vAlign w:val="bottom"/>
          </w:tcPr>
          <w:p>
            <w:pPr>
              <w:spacing w:after="0"/>
              <w:rPr>
                <w:sz w:val="17"/>
                <w:szCs w:val="17"/>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ind w:left="1380" w:hanging="1317"/>
        <w:spacing w:after="0"/>
        <w:tabs>
          <w:tab w:leader="none" w:pos="1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Exhibits 101).</w:t>
      </w:r>
    </w:p>
    <w:p>
      <w:pPr>
        <w:spacing w:after="0" w:line="22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6"/>
          <w:szCs w:val="16"/>
          <w:color w:val="auto"/>
        </w:rPr>
      </w:pPr>
    </w:p>
    <w:p>
      <w:pPr>
        <w:ind w:left="780" w:hanging="448"/>
        <w:spacing w:after="0"/>
        <w:tabs>
          <w:tab w:leader="none" w:pos="7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15684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30943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Dated: May 5, 2022</w:t>
      </w:r>
      <w:r>
        <w:rPr>
          <w:sz w:val="20"/>
          <w:szCs w:val="20"/>
          <w:color w:val="auto"/>
        </w:rPr>
        <w:tab/>
      </w:r>
      <w:r>
        <w:rPr>
          <w:rFonts w:ascii="Arial" w:cs="Arial" w:eastAsia="Arial" w:hAnsi="Arial"/>
          <w:sz w:val="16"/>
          <w:szCs w:val="16"/>
          <w:color w:val="auto"/>
        </w:rPr>
        <w:t>Anthony S. Marucci</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30943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Dated: May 5, 2022</w:t>
      </w:r>
      <w:r>
        <w:rPr>
          <w:sz w:val="20"/>
          <w:szCs w:val="20"/>
          <w:color w:val="auto"/>
        </w:rPr>
        <w:tab/>
      </w:r>
      <w:r>
        <w:rPr>
          <w:rFonts w:ascii="Arial" w:cs="Arial" w:eastAsia="Arial" w:hAnsi="Arial"/>
          <w:sz w:val="16"/>
          <w:szCs w:val="16"/>
          <w:color w:val="auto"/>
        </w:rPr>
        <w:t>Sam Martin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5" w:right="11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5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40" w:hanging="644"/>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60" w:hanging="644"/>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Name:Anthony S. Marucci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897255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5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4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60" w:hanging="644"/>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80" w:val="left"/>
          <w:tab w:leader="none" w:pos="538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14605</wp:posOffset>
            </wp:positionV>
            <wp:extent cx="2871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Name:Sam Martin</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897255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tabs>
          <w:tab w:leader="none" w:pos="4900" w:val="left"/>
          <w:tab w:leader="none" w:pos="538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14605</wp:posOffset>
            </wp:positionV>
            <wp:extent cx="2871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Name:Anthony S. Marucci</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spacing w:after="0"/>
        <w:tabs>
          <w:tab w:leader="none" w:pos="4900" w:val="left"/>
          <w:tab w:leader="none" w:pos="538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14605</wp:posOffset>
            </wp:positionV>
            <wp:extent cx="2871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Name:Sam Martin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737870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1"/>
      <w:numFmt w:val="decimal"/>
      <w:start w:val="104"/>
    </w:lvl>
    <w:lvl w:ilvl="1">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2022-05-06T12:18:43Z</dcterms:created>
  <dcterms:modified xsi:type="dcterms:W3CDTF">2022-05-06T12:18:43Z</dcterms:modified>
</cp:coreProperties>
</file>