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3400" w:right="1060" w:hanging="3068"/>
        <w:spacing w:after="0" w:line="415" w:lineRule="auto"/>
        <w:tabs>
          <w:tab w:leader="none" w:pos="6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47" w:lineRule="exact"/>
        <w:rPr>
          <w:sz w:val="24"/>
          <w:szCs w:val="24"/>
          <w:color w:val="auto"/>
        </w:rPr>
      </w:pPr>
    </w:p>
    <w:p>
      <w:pPr>
        <w:ind w:left="3660" w:right="1080" w:hanging="3328"/>
        <w:spacing w:after="0" w:line="372" w:lineRule="auto"/>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000-15006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CELLDEX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95"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No. 13-3191702</w:t>
      </w:r>
    </w:p>
    <w:p>
      <w:pPr>
        <w:spacing w:after="0" w:line="26"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5600" w:space="720"/>
            <w:col w:w="36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(908) 200-7500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8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CLDX</w:t>
            </w:r>
          </w:p>
        </w:tc>
        <w:tc>
          <w:tcPr>
            <w:tcW w:w="16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8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p>
      <w:pPr>
        <w:spacing w:after="0" w:line="45" w:lineRule="exact"/>
        <w:rPr>
          <w:sz w:val="24"/>
          <w:szCs w:val="24"/>
          <w:color w:val="auto"/>
        </w:rPr>
      </w:pPr>
    </w:p>
    <w:p>
      <w:pPr>
        <w:ind w:right="24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w:t>
      </w:r>
    </w:p>
    <w:p>
      <w:pPr>
        <w:spacing w:after="0" w:line="34"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type w:val="continuous"/>
        </w:sectPr>
      </w:pPr>
    </w:p>
    <w:p>
      <w:pPr>
        <w:spacing w:after="0" w:line="33" w:lineRule="exact"/>
        <w:rPr>
          <w:sz w:val="24"/>
          <w:szCs w:val="24"/>
          <w:color w:val="auto"/>
        </w:rPr>
      </w:pPr>
    </w:p>
    <w:p>
      <w:pPr>
        <w:ind w:left="16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6" w:lineRule="exact"/>
        <w:rPr>
          <w:sz w:val="24"/>
          <w:szCs w:val="24"/>
          <w:color w:val="auto"/>
        </w:rPr>
      </w:pPr>
    </w:p>
    <w:p>
      <w:pPr>
        <w:ind w:left="16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5800" w:space="720"/>
            <w:col w:w="3400"/>
          </w:cols>
          <w:pgMar w:left="980" w:top="665" w:right="999" w:bottom="1440" w:gutter="0" w:footer="0" w:header="0"/>
          <w:type w:val="continuous"/>
        </w:sectPr>
      </w:pPr>
    </w:p>
    <w:p>
      <w:pPr>
        <w:ind w:right="20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13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2021, 46,481,843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8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6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rPr>
              <w:t>CELLDEX THERAPEUTICS, INC.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6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w w:val="99"/>
              </w:rPr>
              <w:t>FORM 10-Q</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6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w w:val="91"/>
              </w:rPr>
              <w:t>For the Quarterly Period Ended June 30, 2021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6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2"/>
            <w:shd w:val="clear" w:color="auto" w:fill="CCEEFF"/>
          </w:tcPr>
          <w:p>
            <w:pPr>
              <w:spacing w:after="0" w:line="15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694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2021 and December 31, 2020</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Six Months Ended June 30,</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top w:val="single" w:sz="8" w:color="0000EE"/>
            </w:tcBorders>
            <w:gridSpan w:val="18"/>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2021 and 2020</w:t>
              </w:r>
            </w:hyperlink>
          </w:p>
        </w:tc>
        <w:tc>
          <w:tcPr>
            <w:tcW w:w="2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2021 and 2020</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Exhibit Index</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43,836</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150,586</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other receivables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167,606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197,843</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204,551</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235,838</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8,459</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other long-term liabilities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26,481</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2"/>
        </w:trPr>
        <w:tc>
          <w:tcPr>
            <w:tcW w:w="7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Convertible preferred stock, $.01 par value; 3,000,000 shares authorized; no shares issued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at June 30, 2021 and December 31, 2020</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tcPr>
          <w:p>
            <w:pPr>
              <w:ind w:left="220"/>
              <w:spacing w:after="0" w:line="201" w:lineRule="exact"/>
              <w:rPr>
                <w:sz w:val="20"/>
                <w:szCs w:val="20"/>
                <w:color w:val="auto"/>
              </w:rPr>
            </w:pPr>
            <w:r>
              <w:rPr>
                <w:rFonts w:ascii="Arial" w:cs="Arial" w:eastAsia="Arial" w:hAnsi="Arial"/>
                <w:sz w:val="18"/>
                <w:szCs w:val="18"/>
                <w:color w:val="auto"/>
                <w:w w:val="92"/>
              </w:rPr>
              <w:t>Common stock, $.001 par value; 297,000,000 shares authorized; 39,616,696 and 39,603,771</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w w:val="99"/>
              </w:rPr>
              <w:t>shares issued and outstanding at June 30, 2021 and December 31, 2020, respectively</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1,279,824</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(1,103,007)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(1,073,096)</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182,282</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209,357</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204,551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2020</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Loss (gain) on fair value remeasurement of contingent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(5,132)</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(11,031)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(29,911)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5" w:lineRule="auto"/>
        <w:rPr>
          <w:sz w:val="20"/>
          <w:szCs w:val="20"/>
          <w:color w:val="auto"/>
        </w:rPr>
      </w:pPr>
      <w:r>
        <w:rPr>
          <w:rFonts w:ascii="Arial" w:cs="Arial" w:eastAsia="Arial" w:hAnsi="Arial"/>
          <w:sz w:val="18"/>
          <w:szCs w:val="18"/>
          <w:b w:val="1"/>
          <w:bCs w:val="1"/>
          <w:color w:val="auto"/>
        </w:rPr>
        <w:t>CELLDEX THERAPEUTICS, INC. CONDENSED CONSOLIDATED STATEMENTS OF CASH FLOW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2"/>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2"/>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(29,911)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premium of marketable securities, net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Gain on sale or disposal of assets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 Impairment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Loss (gain) on fair value remeasurement of contingent consideration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Income Tax Benefit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disposal of assets</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Net proceeds from stock issuances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stock from employee benefit plans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Issuance of Term Loan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Term Loan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49"/>
        </w:trPr>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construction in progress</w:t>
            </w:r>
          </w:p>
        </w:tc>
        <w:tc>
          <w:tcPr>
            <w:tcW w:w="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66" w:lineRule="auto"/>
        <w:rPr>
          <w:sz w:val="20"/>
          <w:szCs w:val="20"/>
          <w:color w:val="auto"/>
        </w:rPr>
      </w:pPr>
      <w:r>
        <w:rPr>
          <w:rFonts w:ascii="Arial" w:cs="Arial" w:eastAsia="Arial" w:hAnsi="Arial"/>
          <w:sz w:val="18"/>
          <w:szCs w:val="18"/>
          <w:b w:val="1"/>
          <w:bCs w:val="1"/>
          <w:color w:val="auto"/>
        </w:rPr>
        <w:t>CELLDEX THERAPEUTICS, INC. Notes to Unaudited Condensed Consolidated Financial Statements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These interim financial statements do not include all the information and footnotes required by U.S. GAAP for annual financial statements and should be read in conjunction with the audited financial statements for the year ended December 31, 2020, which are included in the Company’s Annual Report on Form 10-K filed with the Securities and Exchange Commission on March 29, 2021.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2021.</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June 30, 2021, the Company had cash, cash equivalents and marketable securities of $164.0 million. The Company has had recurring losses and incurred a loss of $29.9 million for the six months ended June 30, 2021. Net cash used in operations for the six months ended June 30, 2021 was $30.0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contingent milestones from the acquisition of Kolltan Pharmaceuticals, Inc. (“Kolltan”),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December 2019, a novel strain of coronavirus, now referred to as COVID-19, surfaced in Wuhan, China. The virus continues to spread globally, has been declared a pandemic by the World Health Organization and has spread to hundreds of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COVID-19, various states, including New Jersey, Massachusetts and Connecticut, where the Company has office, research and manufacturing facilities,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$30.7 million at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and six months ended June 30, 2021 are consistent with those discussed in Note 2 to the financial statements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6"/>
          </w:tcPr>
          <w:p>
            <w:pPr>
              <w:jc w:val="right"/>
              <w:ind w:right="473"/>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40,174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160,765</w:t>
            </w:r>
          </w:p>
        </w:tc>
        <w:tc>
          <w:tcPr>
            <w:tcW w:w="1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160,765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w:t>
            </w: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7"/>
          </w:tcPr>
          <w:p>
            <w:pPr>
              <w:ind w:left="360"/>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35,066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150,586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185,652</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185,652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six months ended June 30, 2021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Other Liabilities:</w:t>
            </w:r>
          </w:p>
        </w:tc>
      </w:tr>
      <w:tr>
        <w:trPr>
          <w:trHeight w:val="148"/>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Contingent</w:t>
            </w:r>
          </w:p>
        </w:tc>
      </w:tr>
      <w:tr>
        <w:trPr>
          <w:trHeight w:val="171"/>
        </w:trPr>
        <w:tc>
          <w:tcPr>
            <w:tcW w:w="8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Consideration</w:t>
            </w: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16"/>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09"/>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June 30, 2021, the weighted average discount rate used in calculating the fair value of contingent consideration was 6.3% (with a range of 5.9% to 7.4%) and the weighted average amount of time until the conditions of the milestone payments are met was 3 years.</w:t>
      </w:r>
    </w:p>
    <w:p>
      <w:pPr>
        <w:spacing w:after="0" w:line="19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the three and six months ended June 30, 2021, the Company recorded a $0.3 million and $0.7 million loss on fair value remeasurement of contingent consideration, respectively, primarily due to changes in discount rates and the passage of time. During the three and six months ended June 30, 2020, the Company recorded a $5.1 million and $4.9 million gain on fair value remeasurement of contingent consideration, respectively, primarily due to updated assumptions for CDX-3379 related milestones due to the discontinuation of the CDX-3379 program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have any transfers in or out of Level 3 assets or liabilities during the six months ended June 30,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Gross Unrealized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180" w:type="dxa"/>
            <w:vAlign w:val="bottom"/>
          </w:tcPr>
          <w:p>
            <w:pPr>
              <w:spacing w:after="0"/>
              <w:rPr>
                <w:sz w:val="10"/>
                <w:szCs w:val="10"/>
                <w:color w:val="auto"/>
              </w:rPr>
            </w:pPr>
          </w:p>
        </w:tc>
        <w:tc>
          <w:tcPr>
            <w:tcW w:w="7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Losses</w:t>
            </w:r>
          </w:p>
        </w:tc>
        <w:tc>
          <w:tcPr>
            <w:tcW w:w="1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16,168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24,349</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24,354</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96,246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96,237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96,246</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96,237</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Gross Unrealized</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180" w:type="dxa"/>
            <w:vAlign w:val="bottom"/>
          </w:tcPr>
          <w:p>
            <w:pPr>
              <w:spacing w:after="0"/>
              <w:rPr>
                <w:sz w:val="10"/>
                <w:szCs w:val="10"/>
                <w:color w:val="auto"/>
              </w:rPr>
            </w:pPr>
          </w:p>
        </w:tc>
        <w:tc>
          <w:tcPr>
            <w:tcW w:w="7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Losses</w:t>
            </w:r>
          </w:p>
        </w:tc>
        <w:tc>
          <w:tcPr>
            <w:tcW w:w="1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40,328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40,328</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110,265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110,257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110,257</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holds investment-grade marketable securities, and none were in a continuous unrealized loss position for more than twelve months as of June 30, 2021 and December 31, 2020. The unrealized losses are attributable to changes in interest rates and the Company does not believe any unrealized losses represent other-than-temporary impairments. Marketable securities include $0.3 million and $0.2 million in accrued interest at June 30, 2021 and December 31,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June 30, 2021 and December 31, 2020, the carrying value of the Company’s indefinite-lived intangible assets was $30.7 million. Indefinite-lived intangible assets consist of acquired IPR&amp;D related to the development of the anti-KIT program (including CDX-0159) and the TAM program, a broad antibody discovery effort to generate antibodies that modulate the TAM family of RTKs, comprised of Tyro3, AXL and MerTK. CDX-0159 is in Phase 1 development and the TAM program is in preclinical development. As of June 30, 2021, none of the Company’s IPR&amp;D assets had reached technological feasibility nor did any have alternative future uses.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As a result of the discontinuation of the CDX-3379 program in the second quarter of 2020, the Company concluded that the CDX-3379 IPR&amp;D asset was fully impaired and a non-cash impairment charge of $3.5 million was recorded in the second quarter of 2020. As a result of a change in the projected development and regulatory timeline related to the TAM program in the fourth quarter of 2020, the Company concluded that the TAM IPR&amp;D asset was partially impaired and a non-cash impairment charge of $14.5 million was recorded in the fourth quarter of 2020.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28"/>
        </w:trPr>
        <w:tc>
          <w:tcPr>
            <w:tcW w:w="7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80" w:type="dxa"/>
            <w:vAlign w:val="bottom"/>
            <w:gridSpan w:val="4"/>
            <w:shd w:val="clear" w:color="auto" w:fill="CCEEFF"/>
          </w:tcPr>
          <w:p>
            <w:pPr>
              <w:jc w:val="right"/>
              <w:ind w:right="87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(4,621)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09"/>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 May 2016, the Company entered into a controlled equity offering sales agreement with Cantor Fitzgerald &amp; Co. (“Cantor”) to allow the Company to issue and sell shares of its common stock from time to time through Cantor, acting as agent. At June 30, 2021, the Company had $50.0 million remaining in aggregate gross offering price available under the Company’s November 2020 prospectus.</w:t>
      </w:r>
    </w:p>
    <w:p>
      <w:pPr>
        <w:spacing w:after="0" w:line="14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In July 2021, the Company issued 6,845,238 shares of its common stock in an underwritten public offering resulting in net proceeds to the Company of approximately $270.0 million, after deducting underwriting fees and offering expenses.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Stockholders’ Equity during the three and six months ended June 30, 2021 and 2020 are summarized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13"/>
          </w:tcPr>
          <w:p>
            <w:pPr>
              <w:jc w:val="right"/>
              <w:ind w:right="508"/>
              <w:spacing w:after="0" w:line="129" w:lineRule="exact"/>
              <w:rPr>
                <w:sz w:val="20"/>
                <w:szCs w:val="20"/>
                <w:color w:val="auto"/>
              </w:rPr>
            </w:pPr>
            <w:r>
              <w:rPr>
                <w:rFonts w:ascii="Arial" w:cs="Arial" w:eastAsia="Arial" w:hAnsi="Arial"/>
                <w:sz w:val="14"/>
                <w:szCs w:val="14"/>
                <w:b w:val="1"/>
                <w:bCs w:val="1"/>
                <w:color w:val="auto"/>
                <w:w w:val="91"/>
              </w:rPr>
              <w:t>(In thousands, except share amounts)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2020</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39,603,771</w:t>
            </w:r>
          </w:p>
        </w:tc>
        <w:tc>
          <w:tcPr>
            <w:tcW w:w="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$ 1,279,824</w:t>
            </w:r>
          </w:p>
        </w:tc>
        <w:tc>
          <w:tcPr>
            <w:tcW w:w="4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(1,073,096)</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209,357</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w w:val="99"/>
              </w:rPr>
              <w:t>Shares issued under stock option and employee stock purchase plans</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10,867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42"/>
        </w:trPr>
        <w:tc>
          <w:tcPr>
            <w:tcW w:w="432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March 31, 2021</w:t>
            </w: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96"/>
              </w:rPr>
              <w:t>39,614,638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89"/>
              </w:rPr>
              <w:t>$ 1,281,173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2,587</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(1,089,634)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194,166</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Shares issued under stock option and employee stock purchase plans</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1,509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6"/>
              </w:rPr>
              <w:t>39,616,696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1,282,657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(1,103,007)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182,282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20" w:type="dxa"/>
            <w:vAlign w:val="bottom"/>
          </w:tcPr>
          <w:p>
            <w:pPr>
              <w:spacing w:after="0"/>
              <w:rPr>
                <w:sz w:val="24"/>
                <w:szCs w:val="24"/>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24"/>
                <w:szCs w:val="24"/>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24"/>
                <w:szCs w:val="24"/>
                <w:color w:val="auto"/>
              </w:rPr>
            </w:pPr>
          </w:p>
        </w:tc>
        <w:tc>
          <w:tcPr>
            <w:tcW w:w="8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9"/>
              </w:rPr>
              <w:t>Stock 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11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14"/>
          </w:tcPr>
          <w:p>
            <w:pPr>
              <w:jc w:val="right"/>
              <w:ind w:right="568"/>
              <w:spacing w:after="0" w:line="129" w:lineRule="exact"/>
              <w:rPr>
                <w:sz w:val="20"/>
                <w:szCs w:val="20"/>
                <w:color w:val="auto"/>
              </w:rPr>
            </w:pPr>
            <w:r>
              <w:rPr>
                <w:rFonts w:ascii="Arial" w:cs="Arial" w:eastAsia="Arial" w:hAnsi="Arial"/>
                <w:sz w:val="14"/>
                <w:szCs w:val="14"/>
                <w:b w:val="1"/>
                <w:bCs w:val="1"/>
                <w:color w:val="auto"/>
                <w:w w:val="92"/>
              </w:rPr>
              <w:t>(In thousands, except share amounts)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2019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16,972,077</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$ 1,104,706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(1,013,316)</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94,026</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w w:val="99"/>
              </w:rPr>
              <w:t>Shares issued under stock option and employee stock purchase plans</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12,573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746,152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March 31,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17,730,802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$ 1,107,029</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(1,025,941)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83,703</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5,978,452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23,686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23,692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underwritten offering</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15,384,614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141,346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141,361</w:t>
            </w: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(11,031)</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2020</w:t>
            </w: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39,093,868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1,272,783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(1,036,972)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238,444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1,340,010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2021</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4,174,361</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29.17</w:t>
            </w:r>
          </w:p>
        </w:tc>
        <w:tc>
          <w:tcPr>
            <w:tcW w:w="2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1,445,834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20" w:type="dxa"/>
            <w:vAlign w:val="bottom"/>
          </w:tcPr>
          <w:p>
            <w:pPr>
              <w:jc w:val="right"/>
              <w:spacing w:after="0"/>
              <w:rPr>
                <w:sz w:val="20"/>
                <w:szCs w:val="20"/>
                <w:color w:val="auto"/>
              </w:rPr>
            </w:pPr>
            <w:r>
              <w:rPr>
                <w:rFonts w:ascii="Arial" w:cs="Arial" w:eastAsia="Arial" w:hAnsi="Arial"/>
                <w:sz w:val="18"/>
                <w:szCs w:val="18"/>
                <w:color w:val="auto"/>
              </w:rPr>
              <w:t>3,294,526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six months ended June 30, 2021 was $21.73 and $21.71,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aggregate intrinsic value of stock options vested and expected to vest at June 30, 2021 was $69.9 million. The aggregate intrinsic value of stock options exercisable at June 30, 2021 was $26.0 million. As of June 30, 2021, total compensation cost related to non-vested employee and non-employee director stock options not yet recognized was approximately $36.0 million, net of estimated forfeitures, which is expected to be recognized as expense over a weighted average period of 3.1 years.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Stock-based compensation expense for the three and six months ended June 30, 2021 and 2020 was recorded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57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six months ended June 30, 2021 and 2020 were valued using the Black-Scholes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9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 – 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 – 98%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 – 97%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6.0 Years</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6.0 Years</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6.0 Years</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6.0 Years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1.2 – 1.3%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0.8 – 1.3%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 – 0.6%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None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six months ended June 30, 2021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Loss 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Currency Items</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7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gain</w:t>
            </w:r>
          </w:p>
        </w:tc>
        <w:tc>
          <w:tcPr>
            <w:tcW w:w="18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8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amounts were reclassified out of accumulated other comprehensive income during the six months ended June 30,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The Company has entered into the Rockefeller Agreement and an agreement with Gilead Sciences pursuant to which the Company performs manufacturing and research and development services on a time-and-materials basis or at a negotiated fixed-price. The Company recognized $3.2 million and $3.8 million in revenue under these agreements during the three and six months ended June 30, 2021, respectively, and $0.2 million and $0.6 million during the three and six months ended June 30, 2020, respectively.</w:t>
      </w:r>
    </w:p>
    <w:p>
      <w:pPr>
        <w:spacing w:after="0" w:line="15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During the third quarter of 2020, the Company was awarded a Small Business Innovation Research (“SBIR”) grant from the National Institutes of Health (NIH) to support the Company’s CDX-1140 and CDX-301 programs. The Company recognized $0.2 million and $0.3 million in grant revenue under the award during the three and six months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At June 30, 2021 and December 31, 2020, the Company’s right to consideration under all contracts was considered unconditional, and as such, there were no recorded contract assets. At June 30, 2021, the Company had $0.1 million in contract liabilities recorded, which is expected to be recognized during the next 12 months as manufacturing and research and development services are performed. At December 31, 2020, the Company had $3.4 million in contract liabilities recorded. Revenue recognized from contract liabilities as of December 31, 2020 during the three and six months ended June 30, 2021 was $3.0 million and $3.4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2021 and December 31, 2020.</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net deferred tax liability of $1.8 million at June 30, 2021 and December 31, 2020 relates to the temporary differences associated with the IPR&amp;D intangible assets acquired in previous business combinations and is not deductible for tax purposes. A $0.2 million non-cash income tax benefit was recorded during the second quarter of 2020 related to the impairment of the CDX-3379 IPR&amp;D asset and a $0.9 million non-cash income tax benefit was recorded during the fourth quarter of 2020 related to the partial impairment of the TAM program IPR&amp;D asset.</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4,344,622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3,085,287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Restricted Stock</w:t>
            </w:r>
          </w:p>
        </w:tc>
        <w:tc>
          <w:tcPr>
            <w:tcW w:w="44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bottom w:val="single" w:sz="8" w:color="CCEEFF"/>
            </w:tcBorders>
            <w:shd w:val="clear" w:color="auto" w:fill="CCEEFF"/>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4,344,622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3,085,287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480" w:type="dxa"/>
            <w:vAlign w:val="bottom"/>
            <w:vMerge w:val="restart"/>
          </w:tcPr>
          <w:p>
            <w:pPr>
              <w:jc w:val="right"/>
              <w:ind w:right="237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0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related to the METRIC clinical study, TAM partnership closing within two years of the acquisition, CDX-3379 and CDX-0158 have been abandoned and, because of this, as of June 30, 2021, the Company believes that the adjusted amount we may be required to pay for future consideration is up to $107.5 million contingent upon the achievement of the Kolltan Milestones.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p>
      <w:pPr>
        <w:spacing w:after="0" w:line="157" w:lineRule="exact"/>
        <w:rPr>
          <w:sz w:val="20"/>
          <w:szCs w:val="20"/>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auto"/>
        </w:rPr>
      </w:pPr>
    </w:p>
    <w:p>
      <w:pPr>
        <w:ind w:left="980" w:right="20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 The case remains ongoing and we are currently unable to predict or estimate the outcome of this matter. The case is currently scheduled for trial in June 2022.</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 which was provided pursuant to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report on Form 10-Q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83"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25" w:lineRule="exact"/>
        <w:rPr>
          <w:rFonts w:ascii="Arial" w:cs="Arial" w:eastAsia="Arial" w:hAnsi="Arial"/>
          <w:sz w:val="18"/>
          <w:szCs w:val="18"/>
          <w:color w:val="auto"/>
        </w:rPr>
      </w:pPr>
    </w:p>
    <w:p>
      <w:pPr>
        <w:ind w:left="1000" w:right="6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3" w:lineRule="exact"/>
        <w:rPr>
          <w:rFonts w:ascii="Arial" w:cs="Arial" w:eastAsia="Arial" w:hAnsi="Arial"/>
          <w:sz w:val="18"/>
          <w:szCs w:val="18"/>
          <w:color w:val="auto"/>
        </w:rPr>
      </w:pPr>
    </w:p>
    <w:p>
      <w:pPr>
        <w:ind w:left="1000" w:right="14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and the cost, timing, and outcome of our declaratory judgment action against the Kolltan stockholder representative with respect to certain of those milestones;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1000" w:right="100" w:hanging="317"/>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7"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without infringing the intellectual property rights of third parties; and</w:t>
      </w:r>
    </w:p>
    <w:p>
      <w:pPr>
        <w:spacing w:after="0" w:line="236" w:lineRule="exact"/>
        <w:rPr>
          <w:rFonts w:ascii="Arial" w:cs="Arial" w:eastAsia="Arial" w:hAnsi="Arial"/>
          <w:sz w:val="17"/>
          <w:szCs w:val="17"/>
          <w:color w:val="auto"/>
        </w:rPr>
      </w:pPr>
    </w:p>
    <w:p>
      <w:pPr>
        <w:ind w:left="1000" w:right="20" w:hanging="317"/>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2020 and other reports that we file with the Securities and Exchange Commission</w:t>
      </w:r>
      <w:r>
        <w:rPr>
          <w:rFonts w:ascii="Arial" w:cs="Arial" w:eastAsia="Arial" w:hAnsi="Arial"/>
          <w:sz w:val="18"/>
          <w:szCs w:val="18"/>
          <w:i w:val="1"/>
          <w:iCs w:val="1"/>
          <w:color w:val="auto"/>
        </w:rPr>
        <w: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CDX-0159, a monoclonal antibody that specifically binds the KIT receptor and potently inhibits its activity, currently being studied in two Phase 1b studies. We are studying CDX-0159 in mast cell driven diseases, including, initially, in urticarias and plan to initiate a study in prurigo nodularis in the fourth quarter of 2021. In October and December 2020 respectively, we announced that enrollment had opened and the first patients had been dosed in Phase 1b studies in chronic spontaneous urticaria (CSU) and chronic inducible urticaria (CIndU). Positive interim data from the Phase 1b study in CIndU were reported in July 2021 in patients with cold urticaria and symptomatic dermographism. The study has also been expanded to include patients with cholinergic urticaria.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line="29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CDX-1140, an agonist monoclonal antibody targeted to CD40, a key activator of immune response, currently being studied in a Phase1 study. Dose escalation was completed in solid tumors and lymphoma and the recommended dose for further study was determined to be 1.5 mg/kg for both CDX-1140 monotherapy and in combination with CDX-301, our dendritic cell growth factor. We have initiated multiple expansion cohorts within the study, including a combination cohort with KEYTRUDA® (pembrolizumab) in patients refractory to PD1/PDL1 treatment and a combination cohort with standard of care chemotherapy in patients with untreated metastatic pancreatic cancer. We are exploring additional combination cohorts with mechanisms that we believe could be complementary or synergistic with CDX-1140; and</w:t>
      </w:r>
    </w:p>
    <w:p>
      <w:pPr>
        <w:spacing w:after="0" w:line="166" w:lineRule="exact"/>
        <w:rPr>
          <w:rFonts w:ascii="Arial" w:cs="Arial" w:eastAsia="Arial" w:hAnsi="Arial"/>
          <w:sz w:val="16"/>
          <w:szCs w:val="16"/>
          <w:color w:val="auto"/>
        </w:rPr>
      </w:pPr>
    </w:p>
    <w:p>
      <w:pPr>
        <w:jc w:val="both"/>
        <w:ind w:left="1000" w:right="140" w:hanging="317"/>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8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4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8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0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8840" w:type="dxa"/>
            <w:vAlign w:val="bottom"/>
            <w:gridSpan w:val="2"/>
            <w:vMerge w:val="continue"/>
          </w:tcPr>
          <w:p>
            <w:pPr>
              <w:spacing w:after="0"/>
              <w:rPr>
                <w:sz w:val="14"/>
                <w:szCs w:val="14"/>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3"/>
              </w:rPr>
              <w:t>1 - 2 Years</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080" w:type="dxa"/>
            <w:vAlign w:val="bottom"/>
          </w:tcPr>
          <w:p>
            <w:pPr>
              <w:ind w:left="240"/>
              <w:spacing w:after="0"/>
              <w:rPr>
                <w:sz w:val="20"/>
                <w:szCs w:val="20"/>
                <w:color w:val="auto"/>
              </w:rPr>
            </w:pPr>
            <w:r>
              <w:rPr>
                <w:rFonts w:ascii="Arial" w:cs="Arial" w:eastAsia="Arial" w:hAnsi="Arial"/>
                <w:sz w:val="18"/>
                <w:szCs w:val="18"/>
                <w:color w:val="auto"/>
                <w:w w:val="93"/>
              </w:rPr>
              <w:t>1 - 5 Years</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through December 31, 2020, we incurred an aggregate of $350.6 million in research and development expenses. The following table indicates the amount incurred for each of our significant research programs and for other identified research and development activities during the six months ended June 30, 2021 and 2020.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4"/>
                <w:szCs w:val="14"/>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4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June 30, 2020</w:t>
            </w:r>
          </w:p>
        </w:tc>
      </w:tr>
      <w:tr>
        <w:trPr>
          <w:trHeight w:val="128"/>
        </w:trPr>
        <w:tc>
          <w:tcPr>
            <w:tcW w:w="4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gridSpan w:val="4"/>
          </w:tcPr>
          <w:p>
            <w:pPr>
              <w:jc w:val="right"/>
              <w:ind w:right="937"/>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66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0159/Anti-KIT Program</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16"/>
        </w:trPr>
        <w:tc>
          <w:tcPr>
            <w:tcW w:w="466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1140 and CDX-301</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5,586</w:t>
            </w:r>
          </w:p>
        </w:tc>
      </w:tr>
      <w:tr>
        <w:trPr>
          <w:trHeight w:val="216"/>
        </w:trPr>
        <w:tc>
          <w:tcPr>
            <w:tcW w:w="466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527</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r>
      <w:tr>
        <w:trPr>
          <w:trHeight w:val="216"/>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Programs</w:t>
            </w:r>
          </w:p>
        </w:tc>
        <w:tc>
          <w:tcPr>
            <w:tcW w:w="2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w:t>
            </w:r>
          </w:p>
        </w:tc>
      </w:tr>
      <w:tr>
        <w:trPr>
          <w:trHeight w:val="21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2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r>
      <w:tr>
        <w:trPr>
          <w:trHeight w:val="20"/>
        </w:trPr>
        <w:tc>
          <w:tcPr>
            <w:tcW w:w="4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While our clinical development programs have not been significantly, negatively impacted by COVID-19 to date, we continue to carefully monitor the evolving situation closely across all our development programs and work to minimize potential impact/disruptions.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18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These data supported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dermographism (scratch-induced) and cholinergic (exercise-induced) urticarias.</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H1-antihistamines, either alone or in combination with H2-antihistamines and/or leukotriene receptor agonists.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December 2020, we announced that enrollment had opened and the first patient had been dosed in a second Phase 1b study in CIndU being conducted in Germany in patients who are refractory to antihistamines. This study is an open label clinical trial designed to evaluate the safety of a single dose of CDX-0159 in patients with cold urticaria (n=10) or symptomatic dermographism (n=10). In March of 2021, we added a third cohort in patients with cholinergic urticaria (n=10).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(3.0 mg/kg) on Day 1 as add on treatment to H1-antihistamines.</w:t>
      </w:r>
    </w:p>
    <w:p>
      <w:pPr>
        <w:spacing w:after="0" w:line="19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of 2021, we reported positive interim data from the cold urticaria and symptomatic dermographism cohorts. As of the data cut-off on June 11, 2021, 20 patients had received a single intravenous infusion of CDX-0159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Safety results were reported for all 20 patients; activity results were reported for the 19 patients who received a full dose of CDX-0159. 14 of 19 patients completed the 12-week study observation period and five were ongoing (range of 2-8 weeks) as of June 11, 2021.</w:t>
      </w:r>
    </w:p>
    <w:p>
      <w:pPr>
        <w:spacing w:after="0" w:line="177" w:lineRule="exact"/>
        <w:rPr>
          <w:sz w:val="20"/>
          <w:szCs w:val="20"/>
          <w:color w:val="auto"/>
        </w:rPr>
      </w:pPr>
    </w:p>
    <w:p>
      <w:pPr>
        <w:ind w:left="1000" w:right="180" w:hanging="317"/>
        <w:spacing w:after="0" w:line="29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620" w:hanging="317"/>
        <w:spacing w:after="0" w:line="31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p>
      <w:pPr>
        <w:spacing w:after="0" w:line="148" w:lineRule="exact"/>
        <w:rPr>
          <w:rFonts w:ascii="Arial" w:cs="Arial" w:eastAsia="Arial" w:hAnsi="Arial"/>
          <w:sz w:val="16"/>
          <w:szCs w:val="16"/>
          <w:color w:val="auto"/>
        </w:rPr>
      </w:pPr>
    </w:p>
    <w:p>
      <w:pPr>
        <w:ind w:left="1000" w:right="56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disease activity as reported by physician’s and patient’s global assessment of disease severity were consistent with the complete responses as measured by provocation testing.</w:t>
      </w:r>
    </w:p>
    <w:p>
      <w:pPr>
        <w:spacing w:after="0" w:line="170" w:lineRule="exact"/>
        <w:rPr>
          <w:rFonts w:ascii="Arial" w:cs="Arial" w:eastAsia="Arial" w:hAnsi="Arial"/>
          <w:sz w:val="18"/>
          <w:szCs w:val="18"/>
          <w:color w:val="auto"/>
        </w:rPr>
      </w:pPr>
    </w:p>
    <w:p>
      <w:pPr>
        <w:ind w:left="1000" w:right="120" w:hanging="317"/>
        <w:spacing w:after="0" w:line="25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single 3 mg/kg dose of CDX-0159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p>
      <w:pPr>
        <w:spacing w:after="0" w:line="187" w:lineRule="exact"/>
        <w:rPr>
          <w:rFonts w:ascii="Arial" w:cs="Arial" w:eastAsia="Arial" w:hAnsi="Arial"/>
          <w:sz w:val="18"/>
          <w:szCs w:val="18"/>
          <w:color w:val="auto"/>
        </w:rPr>
      </w:pPr>
    </w:p>
    <w:p>
      <w:pPr>
        <w:ind w:left="1000" w:right="100" w:hanging="317"/>
        <w:spacing w:after="0" w:line="29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CDX-0159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p>
      <w:pPr>
        <w:spacing w:after="0" w:line="166" w:lineRule="exact"/>
        <w:rPr>
          <w:rFonts w:ascii="Arial" w:cs="Arial" w:eastAsia="Arial" w:hAnsi="Arial"/>
          <w:sz w:val="16"/>
          <w:szCs w:val="16"/>
          <w:color w:val="auto"/>
        </w:rPr>
      </w:pPr>
    </w:p>
    <w:p>
      <w:pPr>
        <w:ind w:left="100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patient with symptomatic dermographism enrolled in the study also had a diagnosis of prurigo nodularis. After a single dose of CDX-0159, this patient experienced both a complete response of symptomatic dermographism and notable improvement of the prurigo nodularis.</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continue to assess potential opportunities for CDX-0159 in other diseases where mast cells play an important role, such as dermatologic, respiratory, allergic, gastrointestinal and ophthalmic conditions. In the fourth quarter of 2021, we plan to expand clinical development of CDX-0159 into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The Phase 1 study will be a randomized, double-blind, placebo-controlled trial designed to evaluate single and multiple doses of CDX-0159 to assess safety, pharmacokinetics and clinical effect in patients with PN.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Manufacturing activities are also progressing as planned to support the introduction of the CDX-0159 subcutaneous formulation into the clinical program. Celldex plans to initiate a randomized, double-blind, placebo-controlled, Phase 1 study designed to evaluate the safety of single ascending doses of the subcutaneous formulation of CDX-0159 in healthy volunteers in the third quarter of 2021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initiated a Phase 1 study of CDX-1140 in November 2017 in up to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In support of this, the Phase 1 study protocol also allows for the exploration of CDX-1140 in combination with other agents that may potentiate anti-tumor responses. A combination cohort with CDX-301, a hematopoietic cytokine that uniquely expands dendritic cells and hematopoietic stem cells has been completed. Two combination cohorts are currently ongoing. A combination of CDX-1140 with pembrolizumab has completed the safety run-in and expansion cohorts in patients with checkpoint-refractory squamous cell head and neck cancer and non-small cell lung cancer is enrolling patients. A combination of CDX-1140 with gemcitabine/nab-paclitaxel in patients with previously untreated metastatic pancreatic adenocarcinoma is also enrolling patients.</w:t>
      </w:r>
    </w:p>
    <w:p>
      <w:pPr>
        <w:spacing w:after="0" w:line="174"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maximum tolerated dose (MTD) and recommended dose for continued study has been determined to be 1.5 mg/kg — one of the highest systemic dose levels in the CD40 agonist class. Interim data from the study were presented at the Society for Immunotherapy of Cancer’s (SITC) 35th Annual Meeting 2020. The presentation focused on patients treated at the MTD and recommended dose of 1.5 mg/kg. 41 patients (n=25 monotherapy; n=16 in combination with CDX-301) had been treated at the 1.5 mg/kg dose at the time of data cutoff; 29 patients had post-treatment scans performed and five patients had not reached their first post-treatment response assessment. In addition, preliminary safety data from the combination cohort with pembrolizumab (n=9; 4 at 0.72 mg/kg and 5 at 1.5 mg/kg CDX-1140) were also presented. CDX-1140 monotherapy and in combination with pembrolizumab was generally well tolerated with mostly grade 1 or grade 2 drug related adverse events. Activity at 1.5mg/kg dose of CDX-1140 included:</w:t>
      </w:r>
    </w:p>
    <w:p>
      <w:pPr>
        <w:spacing w:after="0" w:line="165" w:lineRule="exact"/>
        <w:rPr>
          <w:sz w:val="20"/>
          <w:szCs w:val="20"/>
          <w:color w:val="auto"/>
        </w:rPr>
      </w:pPr>
    </w:p>
    <w:p>
      <w:pPr>
        <w:ind w:left="1000" w:right="7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ongoing (6+ months) complete response (CR) in a patient with follicular lymphoma treated with CDX-1140 in combination with CDX-301;</w:t>
      </w:r>
    </w:p>
    <w:p>
      <w:pPr>
        <w:spacing w:after="0" w:line="170" w:lineRule="exact"/>
        <w:rPr>
          <w:rFonts w:ascii="Arial" w:cs="Arial" w:eastAsia="Arial" w:hAnsi="Arial"/>
          <w:sz w:val="18"/>
          <w:szCs w:val="18"/>
          <w:color w:val="auto"/>
        </w:rPr>
      </w:pPr>
    </w:p>
    <w:p>
      <w:pPr>
        <w:ind w:left="1000" w:right="380" w:hanging="31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Notable tumor shrinkage and/or necrosis in 6 patients with squamous cell head and neck cancer (SCCHN), including extensive tumor cavitation/necrosis of a large baseline protruding neck mass associated with decreased tumor pain in a patient; and,</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Stable disease (n=10) for 11 to 32 weeks.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CDX-1140 at the recommended dose of 1.5 mg/kg provided good systemic exposure that enhanced the distribution into tissues and tumor and resulted in marked changes in the tumor microenvironment (TME) consistent with a more inflammatory and less immunosuppressive state as demonstrated by gene expression analysis. Interferon signaling and cytotoxicity pathways were most highly upregulated, while immunosuppression via TGFb signaling and metastatic pathways were downregulated, marking the first clear demonstration in patients of biological activity within the TME for a systemically administered agonist anti-CD40 mAb.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57"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4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types.Enrollment is ongoing.</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 good exposure starting at the 1 mg/kg dose and no evidence of significant anti-drug antibodies impact. Pharmacodynamic parameters demonstrate biological activity consistent with immune activation including: transient increase in pro inflammatory cytokines/chemokines, upregulation of activation marker on T cells and particularly NK cells and a decrease in regulatory T cells. Enrollment to the dose escalation portion of the study has been completed and expansion cohorts are being planned.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10-Q for information regarding newly adopted and recent accounting pronouncements. See also Note 2 to our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our Annual Report on Form 10-K for the year ended December 31, 2020 for a discussion of our critical accounting policies.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such critical accounting policies. We believe our most critical accounting policies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contingent consideration, revenue recognition, intangible and long-lived assets, research and development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with Three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28"/>
        </w:trPr>
        <w:tc>
          <w:tcPr>
            <w:tcW w:w="5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jc w:val="right"/>
              <w:ind w:right="372"/>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1,364 %</w:t>
            </w:r>
          </w:p>
        </w:tc>
      </w:tr>
      <w:tr>
        <w:trPr>
          <w:trHeight w:val="25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1,375 %</w:t>
            </w: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2,651</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(Gain) on fair value remeasurement of contingent consideration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105 %</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11,601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46 %</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18 %</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19 %</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0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w:t>
            </w:r>
          </w:p>
        </w:tc>
      </w:tr>
      <w:tr>
        <w:trPr>
          <w:trHeight w:val="20"/>
        </w:trPr>
        <w:tc>
          <w:tcPr>
            <w:tcW w:w="5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$2.3 million increase in net loss for the three months ended June 30, 2021, as compared to the three months ended June 30, 2020, was primarily the result of an increase in the loss on fair value remeasurement of contingent consideration.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Revenue from product development and licensing agreements for the three months ended June 30, 2021 was consistent with the three months ended June 30, 2020. The $3.2 million increase in contracts and grants revenue for the three months ended June 30, 2021, as compared to the three months ended June 30, 2020, was primarily due to an increase in services performed under our contract manufacturing and research and development agreements with Rockefeller University and Gilead Sciences. We expect revenue to decrease over the next twelve months as a result of a decrease in services expected to be performed under our contract manufacturing and research and development agreements with Rockefeller University and Gilead Sciences.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left="158"/>
              <w:spacing w:after="0"/>
              <w:rPr>
                <w:sz w:val="20"/>
                <w:szCs w:val="20"/>
                <w:color w:val="auto"/>
              </w:rPr>
            </w:pPr>
            <w:r>
              <w:rPr>
                <w:rFonts w:ascii="Arial" w:cs="Arial" w:eastAsia="Arial" w:hAnsi="Arial"/>
                <w:sz w:val="14"/>
                <w:szCs w:val="14"/>
                <w:b w:val="1"/>
                <w:bCs w:val="1"/>
                <w:color w:val="auto"/>
                <w:w w:val="92"/>
              </w:rPr>
              <w:t>Increase/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158"/>
              <w:spacing w:after="0"/>
              <w:rPr>
                <w:sz w:val="20"/>
                <w:szCs w:val="20"/>
                <w:color w:val="auto"/>
              </w:rPr>
            </w:pPr>
            <w:r>
              <w:rPr>
                <w:rFonts w:ascii="Arial" w:cs="Arial" w:eastAsia="Arial" w:hAnsi="Arial"/>
                <w:sz w:val="14"/>
                <w:szCs w:val="14"/>
                <w:b w:val="1"/>
                <w:bCs w:val="1"/>
                <w:color w:val="auto"/>
                <w:w w:val="89"/>
              </w:rPr>
              <w:t>(Decrease)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32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4"/>
          </w:tcPr>
          <w:p>
            <w:pPr>
              <w:jc w:val="right"/>
              <w:ind w:right="298"/>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2,972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191 %</w:t>
            </w:r>
          </w:p>
        </w:tc>
      </w:tr>
      <w:tr>
        <w:trPr>
          <w:trHeight w:val="850"/>
        </w:trPr>
        <w:tc>
          <w:tcPr>
            <w:tcW w:w="3200" w:type="dxa"/>
            <w:vAlign w:val="bottom"/>
          </w:tcPr>
          <w:p>
            <w:pPr>
              <w:spacing w:after="0"/>
              <w:rPr>
                <w:sz w:val="24"/>
                <w:szCs w:val="24"/>
                <w:color w:val="auto"/>
              </w:rPr>
            </w:pPr>
          </w:p>
        </w:tc>
        <w:tc>
          <w:tcPr>
            <w:tcW w:w="3120" w:type="dxa"/>
            <w:vAlign w:val="bottom"/>
          </w:tcPr>
          <w:p>
            <w:pPr>
              <w:jc w:val="right"/>
              <w:ind w:right="117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$0.6 million increase in personnel expenses for the three months ended June 30, 2021, as compared to the three months ended June 30, 2020, was primarily due to higher stock-based compensation expense. We expect personnel expenses increase over the next twelve months as a result of expanded development of CDX-0159, although there may be fluctuations on a quarterly basis.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$0.6 million increase in laboratory supply expenses for the three months ended June 30, 2021, as compared to the three months ended June 30, 2020, was primarily due to higher laboratory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 $0.6 million decrease in facility expenses for the three months ended June 30, 2021, as compared to the three months ended June 30, 2020, was primarily due to lower rent and depreciation expenses. We expect facility expenses to remain relatively consistent over the next twelve months, although there may be fluctuations on a quarterly basis.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$1.9 million increase in product development expenses for the three months ended June 30, 2021, as compared to the three months ended June 30, 2020, was primarily due to an increase in contract research and clinical trial expenses. We expect product development expenses to increase over the next twelve months as a result of expanded development of CDX-0159, although there may be fluctuations on a quarterly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$0.8 million increase in general and administrative expenses for the three months ended June 30, 2021, as compared to the three months ended June 30, 2020, was primarily due to higher personnel expenses. We expect general and administrative expenses to remain relatively consistent over the next twelve months, although there may be fluctuations on a quarterly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evaluated the CDX-3379 IPR&amp;D asset for potential impairment as a result of the discontinuation of the CDX-3379 program in the second quarter of 2020. We concluded that the CDX-3379 IPR&amp;D asset was fully impaired, and a non-cash impairment charge of $3.5 million was recorded for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Fair Value Remeasurement of Contingent Consideration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$0.3 million loss on fair value remeasurement of contingent consideration for the three months ended June 30, 2021 was primarily due to the passage of time. The $5.1 million gain on fair value remeasurement of contingent consideration for the three months ended June 30, 2020 was primarily due to updated assumptions for CDX-3379 related milestones due to the discontinuation of the CDX-3379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and other income, net for the three months ended June 30, 2021 was consistent with the three months ended June 30, 2020. We expect investment and other income to increase over the next twelve months due to higher levels of cash as a result of our July 2021 underwritten public offering, although there may be fluctuations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quarter ended June 30, 2020, a $0.2 million non-cash income tax benefit was recorded related to the impairment of the CDX-3379 IPR&amp;D asset.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(2,256)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508 %</w:t>
            </w:r>
          </w:p>
        </w:tc>
      </w:tr>
      <w:tr>
        <w:trPr>
          <w:trHeight w:val="249"/>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40 %</w:t>
            </w: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3,676</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Fair Value Remeasurement of Contingent Consideration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209"/>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27,196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9"/>
              </w:rPr>
              <w:t>%</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(23,884)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$6.3 million increase in net loss for the six months ended June 30, 2021, as compared to the six months ended June 30, 2020, was primarily the result of an increase in the loss on fair value remeasurement of contingent consideration and an increase in research and development expenses, partially offset by a decrease in intangible asset impairment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$2.3 million decrease in product development and licensing agreements revenue for the six months ended June 30, 2021, as compared to the six months ended June 30, 2020, was primarily due to the $1.8 million received from the Rockefeller Transaction in the first quarter of 2020. The $3.5 million increase in contracts and grants revenue for the six months ended June 30, 2021, as compared to the six months ended June 30, 2020, was primarily related to an increase in services performed under our manufacturing and research and development agreements with Rockefeller University and Gilead Sciences.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060" w:type="dxa"/>
            <w:vAlign w:val="bottom"/>
            <w:gridSpan w:val="3"/>
          </w:tcPr>
          <w:p>
            <w:pPr>
              <w:jc w:val="center"/>
              <w:ind w:left="218"/>
              <w:spacing w:after="0"/>
              <w:rPr>
                <w:sz w:val="20"/>
                <w:szCs w:val="20"/>
                <w:color w:val="auto"/>
              </w:rPr>
            </w:pPr>
            <w:r>
              <w:rPr>
                <w:rFonts w:ascii="Arial" w:cs="Arial" w:eastAsia="Arial" w:hAnsi="Arial"/>
                <w:sz w:val="14"/>
                <w:szCs w:val="14"/>
                <w:b w:val="1"/>
                <w:bCs w:val="1"/>
                <w:color w:val="auto"/>
                <w:w w:val="92"/>
              </w:rPr>
              <w:t>Increase/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29"/>
        </w:trPr>
        <w:tc>
          <w:tcPr>
            <w:tcW w:w="3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4"/>
          </w:tcPr>
          <w:p>
            <w:pPr>
              <w:jc w:val="right"/>
              <w:ind w:right="378"/>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Laboratory Supplies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3,115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Product Development</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r>
      <w:tr>
        <w:trPr>
          <w:trHeight w:val="850"/>
        </w:trPr>
        <w:tc>
          <w:tcPr>
            <w:tcW w:w="3220" w:type="dxa"/>
            <w:vAlign w:val="bottom"/>
          </w:tcPr>
          <w:p>
            <w:pPr>
              <w:spacing w:after="0"/>
              <w:rPr>
                <w:sz w:val="24"/>
                <w:szCs w:val="24"/>
                <w:color w:val="auto"/>
              </w:rPr>
            </w:pPr>
          </w:p>
        </w:tc>
        <w:tc>
          <w:tcPr>
            <w:tcW w:w="2760" w:type="dxa"/>
            <w:vAlign w:val="bottom"/>
          </w:tcPr>
          <w:p>
            <w:pPr>
              <w:jc w:val="right"/>
              <w:ind w:right="830"/>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$1.0 million increase in personnel expenses for the six months ended June 30, 2021, as compared to the six months ended June 30, 2020, was primarily due to higher stock-based compensation expense.</w:t>
      </w:r>
    </w:p>
    <w:p>
      <w:pPr>
        <w:spacing w:after="0" w:line="184"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$0.9 million increase in laboratory supply expenses for the six months ended June 30, 2021, as compared to the six months ended June 30, 2020, was primarily due to higher laboratory materials and supplies purchases.</w:t>
      </w:r>
    </w:p>
    <w:p>
      <w:pPr>
        <w:spacing w:after="0" w:line="14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$1.0 million decrease in facility expenses for the six months ended June 30, 2021, as compared to the six months ended June 30, 2020, was primarily due to lower rent and depreciation expenses.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$2.9 million increase in product development expenses for the six months ended June 30, 2021, as compared to the six months ended June 30, 2020, was primarily due to an increase in clinical trial and contract research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$1.2 million increase in general and administrative expenses for the six months ended June 30, 2021, as compared to the six months ended June 30, 2020, was primarily due to higher personnel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evaluated the CDX-3379 IPR&amp;D asset for potential impairment as a result of the discontinuation of the CDX-3379 program in the second quarter of 2020. We concluded that the CDX-3379 IPR&amp;D asset was fully impaired, and a non-cash impairment charge of $3.5 million was recorded for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Fair Value Remeasurement of Contingent Consideration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$0.7 million loss on fair value remeasurement of contingent consideration for the six months ended June 30, 2021 was primarily due to changes in discount rates and the passage of time. The $4.9 million gain on fair value remeasurement of contingent consideration for the six months ended June 30, 2020 was primarily due to updated assumptions for CDX-3379 related milestones due to the discontinuation of the CDX-3379 program and the passage of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$0.2 million decrease in investment and other income, net for the six months ended June 30, 2021, as compared to the six months ended June 30, 2020, was primarily due to lower interest rates on fixed income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quarter ended June 30, 2020, a $0.2 million non-cash income tax benefit was recorded related to the impairment of the CDX-3379 IPR&amp;D asset.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6"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At June 30, 2021, our principal sources of liquidity consisted of cash, cash equivalents and marketable securities of $164.0 million. We have had recurring losses and incurred a loss of $29.9 million for the six months ended June 30, 2021. Net cash used in operations for the six months ended June 30, 2021 was $30.0 million. We believe that the cash, cash equivalents and marketable securities at June 30, 2021, along with the approximately $270.0 million in net proceeds raised in our July 2021 underwritten public offering, are sufficient to meet estimated working capital requirements and fund planned operations through 2025. This could be impacted if we elect to pay Kolltan contingent milestones, if any, in cash.</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operating activities was $30.0 million for the six months ended June 30, 2021 as compared to $23.3 million for the six months ended June 30, 2020. The increase in net cash used in operating activities was primarily due to a decrease in cash received related to product development and licensing agreements and an increase in research and development and general and administrative expenses. We expect that cash used in operating activities will remain relatively consistent over the next twelve months, although there may be fluctuations on a quarterly basis.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Net cash provided by investing activities was $29.6 million for the six months ended June 30, 2021 as compared to net cash used in investing activities of $86.6 million for the six months ended June 30, 2020. The increase in net cash provided by investing activities was primarily due to net sales and maturities of marketable securities of $30.3 million for the six months ended June 30, 2021 as compared to net purchases of marketable securities of $85.4 million for the six months ended June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provided by financing activities was $0.0 million for the six months ended June 30, 2021 as compared to $166.7 million for the six months ended June 30, 2020. The decrease in net cash provided by financing activities was primarily due to a decrease in net proceeds from stock issuances.</w:t>
      </w:r>
    </w:p>
    <w:p>
      <w:pPr>
        <w:spacing w:after="0" w:line="18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During the six months ended June 30, 2020, we issued 6.7 million shares of common stock under our Cantor Agreement resulting in net proceeds of $25.3 million after deducting commission and offering expenses. No shares of common stock were sold under the Cantor Agreement during the six months ended June 30, 2021.</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second quarter of 2020, we issued 15,384,614 shares of common stock in an underwritten public offering resulting in net proceeds of $141.4 million, after deducting underwriting fees and offering expenses.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July 2021, we issued 6,845,238 shares of common stock in an underwritten public offering resulting in net proceeds of approximately $270.0 million, after deducting underwriting fees and offering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The disclosures relating to our contractual obligations reported in our Annual Report on Form 10-K for the year ended December 31, 2020 which was filed with the SEC on March 29, 2021 have not materially changed since we filed that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consolidated balance sheet of cash and cash equivalents, accounts receivables and accounts payable approximate fair value at June 30, 2021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June 30, 2021,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665" w:right="11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95"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7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w:t>
      </w:r>
      <w:r>
        <w:rPr>
          <w:sz w:val="1"/>
          <w:szCs w:val="1"/>
          <w:color w:val="auto"/>
        </w:rPr>
        <w:drawing>
          <wp:inline distT="0" distB="0" distL="0" distR="0">
            <wp:extent cx="25400" cy="1200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8"/>
          <w:szCs w:val="18"/>
          <w:color w:val="auto"/>
          <w:highlight w:val="white"/>
        </w:rPr>
        <w:t>The case remains ongoing and we are currently unable to predict or estimate the outcome of this matter. The case is currently scheduled for trial in June 2022.</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included herewith and are incorporated by reference herein.</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26"/>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gridSpan w:val="23"/>
          </w:tcPr>
          <w:p>
            <w:pPr>
              <w:ind w:left="32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20" w:type="dxa"/>
            <w:vAlign w:val="bottom"/>
          </w:tcPr>
          <w:p>
            <w:pPr>
              <w:spacing w:after="0"/>
              <w:rPr>
                <w:sz w:val="13"/>
                <w:szCs w:val="13"/>
                <w:color w:val="auto"/>
              </w:rPr>
            </w:pPr>
          </w:p>
        </w:tc>
        <w:tc>
          <w:tcPr>
            <w:tcW w:w="1140" w:type="dxa"/>
            <w:vAlign w:val="bottom"/>
            <w:tcBorders>
              <w:top w:val="single" w:sz="8" w:color="auto"/>
            </w:tcBorders>
          </w:tcPr>
          <w:p>
            <w:pPr>
              <w:spacing w:after="0" w:line="158"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080" w:type="dxa"/>
            <w:vAlign w:val="bottom"/>
            <w:tcBorders>
              <w:top w:val="single" w:sz="8" w:color="auto"/>
              <w:bottom w:val="single" w:sz="8" w:color="0000EE"/>
            </w:tcBorders>
            <w:gridSpan w:val="14"/>
          </w:tcPr>
          <w:p>
            <w:pPr>
              <w:spacing w:after="0" w:line="158" w:lineRule="exact"/>
              <w:rPr>
                <w:rFonts w:ascii="Arial" w:cs="Arial" w:eastAsia="Arial" w:hAnsi="Arial"/>
                <w:sz w:val="16"/>
                <w:szCs w:val="16"/>
                <w:color w:val="0000EE"/>
                <w:w w:val="92"/>
              </w:rPr>
            </w:pPr>
            <w:hyperlink r:id="rId40">
              <w:r>
                <w:rPr>
                  <w:rFonts w:ascii="Arial" w:cs="Arial" w:eastAsia="Arial" w:hAnsi="Arial"/>
                  <w:sz w:val="16"/>
                  <w:szCs w:val="16"/>
                  <w:color w:val="0000EE"/>
                  <w:w w:val="92"/>
                </w:rPr>
                <w:t>Celldex Therapeutics, Inc. 2021 Omnibus Equity Incentive Plan, incorporated by reference to Exhibit 10.1 to the Company’s</w:t>
              </w:r>
            </w:hyperlink>
          </w:p>
        </w:tc>
        <w:tc>
          <w:tcPr>
            <w:tcW w:w="380" w:type="dxa"/>
            <w:vAlign w:val="bottom"/>
            <w:tcBorders>
              <w:top w:val="single" w:sz="8" w:color="auto"/>
            </w:tcBorders>
            <w:gridSpan w:val="16"/>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rPr>
            </w:pPr>
            <w:hyperlink r:id="rId40">
              <w:r>
                <w:rPr>
                  <w:rFonts w:ascii="Arial" w:cs="Arial" w:eastAsia="Arial" w:hAnsi="Arial"/>
                  <w:sz w:val="16"/>
                  <w:szCs w:val="16"/>
                  <w:color w:val="0000EE"/>
                </w:rPr>
                <w:t>current report on Form 8-K, filed on June 17, 2021 with the Securities and Exchange Commission.</w:t>
              </w:r>
            </w:hyperlink>
          </w:p>
        </w:tc>
      </w:tr>
      <w:tr>
        <w:trPr>
          <w:trHeight w:val="20"/>
        </w:trPr>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†10.2</w:t>
            </w:r>
          </w:p>
        </w:tc>
        <w:tc>
          <w:tcPr>
            <w:tcW w:w="160" w:type="dxa"/>
            <w:vAlign w:val="bottom"/>
          </w:tcPr>
          <w:p>
            <w:pPr>
              <w:spacing w:after="0"/>
              <w:rPr>
                <w:sz w:val="15"/>
                <w:szCs w:val="15"/>
                <w:color w:val="auto"/>
              </w:rPr>
            </w:pPr>
          </w:p>
        </w:tc>
        <w:tc>
          <w:tcPr>
            <w:tcW w:w="778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41">
              <w:r>
                <w:rPr>
                  <w:rFonts w:ascii="Arial" w:cs="Arial" w:eastAsia="Arial" w:hAnsi="Arial"/>
                  <w:sz w:val="16"/>
                  <w:szCs w:val="16"/>
                  <w:color w:val="0000EE"/>
                  <w:w w:val="92"/>
                </w:rPr>
                <w:t>Celldex Therapeutics, Inc. Form of Restricted Stock Award Agreement, incorporated by reference to Exhibit 10.2 to the</w:t>
              </w:r>
            </w:hyperlink>
          </w:p>
        </w:tc>
        <w:tc>
          <w:tcPr>
            <w:tcW w:w="700" w:type="dxa"/>
            <w:vAlign w:val="bottom"/>
            <w:gridSpan w:val="18"/>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41">
              <w:r>
                <w:rPr>
                  <w:rFonts w:ascii="Arial" w:cs="Arial" w:eastAsia="Arial" w:hAnsi="Arial"/>
                  <w:sz w:val="16"/>
                  <w:szCs w:val="16"/>
                  <w:color w:val="0000EE"/>
                  <w:w w:val="92"/>
                </w:rPr>
                <w:t>Company’s current report on Form 8-K, filed on June 17, 2021 with the Securities and Exchange Commission.</w:t>
              </w:r>
            </w:hyperlink>
          </w:p>
        </w:tc>
        <w:tc>
          <w:tcPr>
            <w:tcW w:w="1280" w:type="dxa"/>
            <w:vAlign w:val="bottom"/>
            <w:gridSpan w:val="19"/>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†10.3</w:t>
            </w:r>
          </w:p>
        </w:tc>
        <w:tc>
          <w:tcPr>
            <w:tcW w:w="160" w:type="dxa"/>
            <w:vAlign w:val="bottom"/>
          </w:tcPr>
          <w:p>
            <w:pPr>
              <w:spacing w:after="0"/>
              <w:rPr>
                <w:sz w:val="15"/>
                <w:szCs w:val="15"/>
                <w:color w:val="auto"/>
              </w:rPr>
            </w:pPr>
          </w:p>
        </w:tc>
        <w:tc>
          <w:tcPr>
            <w:tcW w:w="8160" w:type="dxa"/>
            <w:vAlign w:val="bottom"/>
            <w:tcBorders>
              <w:bottom w:val="single" w:sz="8" w:color="0000EE"/>
            </w:tcBorders>
            <w:gridSpan w:val="17"/>
          </w:tcPr>
          <w:p>
            <w:pPr>
              <w:spacing w:after="0" w:line="183" w:lineRule="exact"/>
              <w:rPr>
                <w:rFonts w:ascii="Arial" w:cs="Arial" w:eastAsia="Arial" w:hAnsi="Arial"/>
                <w:sz w:val="16"/>
                <w:szCs w:val="16"/>
                <w:color w:val="0000EE"/>
                <w:w w:val="92"/>
              </w:rPr>
            </w:pPr>
            <w:hyperlink r:id="rId42">
              <w:r>
                <w:rPr>
                  <w:rFonts w:ascii="Arial" w:cs="Arial" w:eastAsia="Arial" w:hAnsi="Arial"/>
                  <w:sz w:val="16"/>
                  <w:szCs w:val="16"/>
                  <w:color w:val="0000EE"/>
                  <w:w w:val="92"/>
                </w:rPr>
                <w:t>Celldex Therapeutics, Inc. Form of Incentive Stock Option Grant Agreement, incorporated by reference to Exhibit 10.3 to the</w:t>
              </w:r>
            </w:hyperlink>
          </w:p>
        </w:tc>
        <w:tc>
          <w:tcPr>
            <w:tcW w:w="320" w:type="dxa"/>
            <w:vAlign w:val="bottom"/>
            <w:gridSpan w:val="1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rPr>
            </w:pPr>
            <w:hyperlink r:id="rId42">
              <w:r>
                <w:rPr>
                  <w:rFonts w:ascii="Arial" w:cs="Arial" w:eastAsia="Arial" w:hAnsi="Arial"/>
                  <w:sz w:val="16"/>
                  <w:szCs w:val="16"/>
                  <w:color w:val="0000EE"/>
                </w:rPr>
                <w:t>Company’s current report on Form 8-K, filed on June 17, 2021 with the Securities and Exchange Commission.</w:t>
              </w:r>
            </w:hyperlink>
          </w:p>
        </w:tc>
      </w:tr>
      <w:tr>
        <w:trPr>
          <w:trHeight w:val="20"/>
        </w:trPr>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†10.4</w:t>
            </w:r>
          </w:p>
        </w:tc>
        <w:tc>
          <w:tcPr>
            <w:tcW w:w="160" w:type="dxa"/>
            <w:vAlign w:val="bottom"/>
          </w:tcPr>
          <w:p>
            <w:pPr>
              <w:spacing w:after="0"/>
              <w:rPr>
                <w:sz w:val="15"/>
                <w:szCs w:val="15"/>
                <w:color w:val="auto"/>
              </w:rPr>
            </w:pPr>
          </w:p>
        </w:tc>
        <w:tc>
          <w:tcPr>
            <w:tcW w:w="8420" w:type="dxa"/>
            <w:vAlign w:val="bottom"/>
            <w:tcBorders>
              <w:bottom w:val="single" w:sz="8" w:color="0000EE"/>
            </w:tcBorders>
            <w:gridSpan w:val="28"/>
          </w:tcPr>
          <w:p>
            <w:pPr>
              <w:spacing w:after="0" w:line="183" w:lineRule="exact"/>
              <w:rPr>
                <w:rFonts w:ascii="Arial" w:cs="Arial" w:eastAsia="Arial" w:hAnsi="Arial"/>
                <w:sz w:val="16"/>
                <w:szCs w:val="16"/>
                <w:color w:val="0000EE"/>
                <w:w w:val="93"/>
              </w:rPr>
            </w:pPr>
            <w:hyperlink r:id="rId43">
              <w:r>
                <w:rPr>
                  <w:rFonts w:ascii="Arial" w:cs="Arial" w:eastAsia="Arial" w:hAnsi="Arial"/>
                  <w:sz w:val="16"/>
                  <w:szCs w:val="16"/>
                  <w:color w:val="0000EE"/>
                  <w:w w:val="93"/>
                </w:rPr>
                <w:t>Celldex Therapeutics, Inc. Form of Nonqualified Stock Option Grant Agreement, incorporated by reference to Exhibit 10.4 to the</w:t>
              </w:r>
            </w:hyperlink>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43">
              <w:r>
                <w:rPr>
                  <w:rFonts w:ascii="Arial" w:cs="Arial" w:eastAsia="Arial" w:hAnsi="Arial"/>
                  <w:sz w:val="16"/>
                  <w:szCs w:val="16"/>
                  <w:color w:val="0000EE"/>
                  <w:w w:val="92"/>
                </w:rPr>
                <w:t>Company’s current report on Form 8-K, filed on June 17, 2021 with the Securities and Exchange Commission.</w:t>
              </w:r>
            </w:hyperlink>
          </w:p>
        </w:tc>
        <w:tc>
          <w:tcPr>
            <w:tcW w:w="1280" w:type="dxa"/>
            <w:vAlign w:val="bottom"/>
            <w:gridSpan w:val="19"/>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†10.5</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6"/>
              </w:rPr>
            </w:pPr>
            <w:hyperlink r:id="rId44">
              <w:r>
                <w:rPr>
                  <w:rFonts w:ascii="Arial" w:cs="Arial" w:eastAsia="Arial" w:hAnsi="Arial"/>
                  <w:sz w:val="16"/>
                  <w:szCs w:val="16"/>
                  <w:color w:val="0000EE"/>
                  <w:w w:val="96"/>
                </w:rPr>
                <w:t>Celldex Therapeutics, Inc. Form of Restricted Stock Unit Award Agreement, incorporated by reference to Exhibit 10.5 to the</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2"/>
              </w:rPr>
            </w:pPr>
            <w:hyperlink r:id="rId44">
              <w:r>
                <w:rPr>
                  <w:rFonts w:ascii="Arial" w:cs="Arial" w:eastAsia="Arial" w:hAnsi="Arial"/>
                  <w:sz w:val="16"/>
                  <w:szCs w:val="16"/>
                  <w:color w:val="0000EE"/>
                  <w:w w:val="92"/>
                </w:rPr>
                <w:t>Company’s current report on Form 8-K, filed on June 17, 2021 with the Securities and Exchange Commission.</w:t>
              </w:r>
            </w:hyperlink>
          </w:p>
        </w:tc>
        <w:tc>
          <w:tcPr>
            <w:tcW w:w="900" w:type="dxa"/>
            <w:vAlign w:val="bottom"/>
            <w:tcBorders>
              <w:top w:val="single" w:sz="8" w:color="0000EE"/>
            </w:tcBorders>
            <w:gridSpan w:val="3"/>
          </w:tcPr>
          <w:p>
            <w:pPr>
              <w:spacing w:after="0"/>
              <w:rPr>
                <w:sz w:val="15"/>
                <w:szCs w:val="15"/>
                <w:color w:val="auto"/>
              </w:rPr>
            </w:pPr>
          </w:p>
        </w:tc>
        <w:tc>
          <w:tcPr>
            <w:tcW w:w="380" w:type="dxa"/>
            <w:vAlign w:val="bottom"/>
            <w:gridSpan w:val="16"/>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†10.6</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7"/>
              </w:rPr>
            </w:pPr>
            <w:hyperlink r:id="rId45">
              <w:r>
                <w:rPr>
                  <w:rFonts w:ascii="Arial" w:cs="Arial" w:eastAsia="Arial" w:hAnsi="Arial"/>
                  <w:sz w:val="16"/>
                  <w:szCs w:val="16"/>
                  <w:color w:val="0000EE"/>
                  <w:w w:val="97"/>
                </w:rPr>
                <w:t>Amended and Restated Employment Agreement, dated as of July 1, 2021, by and between Celldex Therapeutics, Inc. and</w:t>
              </w:r>
            </w:hyperlink>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7"/>
              </w:rPr>
            </w:pPr>
            <w:hyperlink r:id="rId45">
              <w:r>
                <w:rPr>
                  <w:rFonts w:ascii="Arial" w:cs="Arial" w:eastAsia="Arial" w:hAnsi="Arial"/>
                  <w:sz w:val="16"/>
                  <w:szCs w:val="16"/>
                  <w:color w:val="0000EE"/>
                  <w:w w:val="97"/>
                </w:rPr>
                <w:t>Anthony S. Marucci, incorporated by reference to Exhibit 10.1 to the Company’s current report on Form 8-K, filed on July 1,</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1"/>
              </w:rPr>
            </w:pPr>
            <w:hyperlink r:id="rId45">
              <w:r>
                <w:rPr>
                  <w:rFonts w:ascii="Arial" w:cs="Arial" w:eastAsia="Arial" w:hAnsi="Arial"/>
                  <w:sz w:val="16"/>
                  <w:szCs w:val="16"/>
                  <w:color w:val="0000EE"/>
                  <w:w w:val="91"/>
                </w:rPr>
                <w:t>2021 with the Securities and Exchange Commission.</w:t>
              </w:r>
            </w:hyperlink>
          </w:p>
        </w:tc>
        <w:tc>
          <w:tcPr>
            <w:tcW w:w="4680" w:type="dxa"/>
            <w:vAlign w:val="bottom"/>
            <w:tcBorders>
              <w:top w:val="single" w:sz="8" w:color="0000EE"/>
            </w:tcBorders>
            <w:gridSpan w:val="9"/>
          </w:tcPr>
          <w:p>
            <w:pPr>
              <w:spacing w:after="0"/>
              <w:rPr>
                <w:sz w:val="15"/>
                <w:szCs w:val="15"/>
                <w:color w:val="auto"/>
              </w:rPr>
            </w:pPr>
          </w:p>
        </w:tc>
        <w:tc>
          <w:tcPr>
            <w:tcW w:w="360" w:type="dxa"/>
            <w:vAlign w:val="bottom"/>
            <w:gridSpan w:val="15"/>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†10.7</w:t>
            </w:r>
          </w:p>
        </w:tc>
        <w:tc>
          <w:tcPr>
            <w:tcW w:w="160" w:type="dxa"/>
            <w:vAlign w:val="bottom"/>
          </w:tcPr>
          <w:p>
            <w:pPr>
              <w:spacing w:after="0"/>
              <w:rPr>
                <w:sz w:val="15"/>
                <w:szCs w:val="15"/>
                <w:color w:val="auto"/>
              </w:rPr>
            </w:pPr>
          </w:p>
        </w:tc>
        <w:tc>
          <w:tcPr>
            <w:tcW w:w="8220" w:type="dxa"/>
            <w:vAlign w:val="bottom"/>
            <w:tcBorders>
              <w:bottom w:val="single" w:sz="8" w:color="0000EE"/>
            </w:tcBorders>
            <w:gridSpan w:val="20"/>
          </w:tcPr>
          <w:p>
            <w:pPr>
              <w:spacing w:after="0" w:line="183" w:lineRule="exact"/>
              <w:rPr>
                <w:rFonts w:ascii="Arial" w:cs="Arial" w:eastAsia="Arial" w:hAnsi="Arial"/>
                <w:sz w:val="16"/>
                <w:szCs w:val="16"/>
                <w:color w:val="0000EE"/>
                <w:w w:val="90"/>
              </w:rPr>
            </w:pPr>
            <w:hyperlink r:id="rId46">
              <w:r>
                <w:rPr>
                  <w:rFonts w:ascii="Arial" w:cs="Arial" w:eastAsia="Arial" w:hAnsi="Arial"/>
                  <w:sz w:val="16"/>
                  <w:szCs w:val="16"/>
                  <w:color w:val="0000EE"/>
                  <w:w w:val="90"/>
                </w:rPr>
                <w:t>Amended and Restated Employment Agreement, dated as of July 1, 2021, by and between Celldex Therapeutics, Inc. and Sam</w:t>
              </w:r>
            </w:hyperlink>
          </w:p>
        </w:tc>
        <w:tc>
          <w:tcPr>
            <w:tcW w:w="260" w:type="dxa"/>
            <w:vAlign w:val="bottom"/>
            <w:gridSpan w:val="11"/>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0" w:type="dxa"/>
            <w:vAlign w:val="bottom"/>
            <w:tcBorders>
              <w:bottom w:val="single" w:sz="8" w:color="0000EE"/>
            </w:tcBorders>
            <w:gridSpan w:val="19"/>
          </w:tcPr>
          <w:p>
            <w:pPr>
              <w:spacing w:after="0" w:line="183" w:lineRule="exact"/>
              <w:rPr>
                <w:rFonts w:ascii="Arial" w:cs="Arial" w:eastAsia="Arial" w:hAnsi="Arial"/>
                <w:sz w:val="16"/>
                <w:szCs w:val="16"/>
                <w:color w:val="0000EE"/>
                <w:w w:val="93"/>
              </w:rPr>
            </w:pPr>
            <w:hyperlink r:id="rId46">
              <w:r>
                <w:rPr>
                  <w:rFonts w:ascii="Arial" w:cs="Arial" w:eastAsia="Arial" w:hAnsi="Arial"/>
                  <w:sz w:val="16"/>
                  <w:szCs w:val="16"/>
                  <w:color w:val="0000EE"/>
                  <w:w w:val="93"/>
                </w:rPr>
                <w:t>Martin, incorporated by reference to Exhibit 10.2 to the Company’s current report on Form 8-K, filed on July 1, 2021 with the</w:t>
              </w:r>
            </w:hyperlink>
          </w:p>
        </w:tc>
        <w:tc>
          <w:tcPr>
            <w:tcW w:w="280" w:type="dxa"/>
            <w:vAlign w:val="bottom"/>
            <w:gridSpan w:val="1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bottom w:val="single" w:sz="8" w:color="0000EE"/>
            </w:tcBorders>
            <w:gridSpan w:val="3"/>
          </w:tcPr>
          <w:p>
            <w:pPr>
              <w:spacing w:after="0" w:line="183" w:lineRule="exact"/>
              <w:rPr>
                <w:rFonts w:ascii="Arial" w:cs="Arial" w:eastAsia="Arial" w:hAnsi="Arial"/>
                <w:sz w:val="16"/>
                <w:szCs w:val="16"/>
                <w:color w:val="0000EE"/>
                <w:w w:val="90"/>
              </w:rPr>
            </w:pPr>
            <w:hyperlink r:id="rId46">
              <w:r>
                <w:rPr>
                  <w:rFonts w:ascii="Arial" w:cs="Arial" w:eastAsia="Arial" w:hAnsi="Arial"/>
                  <w:sz w:val="16"/>
                  <w:szCs w:val="16"/>
                  <w:color w:val="0000EE"/>
                  <w:w w:val="90"/>
                </w:rPr>
                <w:t>Securities and Exchange Commission.</w:t>
              </w:r>
            </w:hyperlink>
          </w:p>
        </w:tc>
        <w:tc>
          <w:tcPr>
            <w:tcW w:w="5980" w:type="dxa"/>
            <w:vAlign w:val="bottom"/>
            <w:gridSpan w:val="28"/>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†10.8</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3"/>
              </w:rPr>
            </w:pPr>
            <w:hyperlink r:id="rId47">
              <w:r>
                <w:rPr>
                  <w:rFonts w:ascii="Arial" w:cs="Arial" w:eastAsia="Arial" w:hAnsi="Arial"/>
                  <w:sz w:val="16"/>
                  <w:szCs w:val="16"/>
                  <w:color w:val="0000EE"/>
                  <w:w w:val="93"/>
                </w:rPr>
                <w:t>Amended and Restated Employment Agreement, dated as of July 1, 2021, by and between Celldex Therapeutics, Inc. and Tibor</w:t>
              </w:r>
            </w:hyperlink>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920" w:type="dxa"/>
            <w:vAlign w:val="bottom"/>
            <w:gridSpan w:val="9"/>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20" w:type="dxa"/>
            <w:vAlign w:val="bottom"/>
            <w:tcBorders>
              <w:bottom w:val="single" w:sz="8" w:color="0000EE"/>
            </w:tcBorders>
            <w:gridSpan w:val="23"/>
          </w:tcPr>
          <w:p>
            <w:pPr>
              <w:spacing w:after="0" w:line="183" w:lineRule="exact"/>
              <w:rPr>
                <w:rFonts w:ascii="Arial" w:cs="Arial" w:eastAsia="Arial" w:hAnsi="Arial"/>
                <w:sz w:val="16"/>
                <w:szCs w:val="16"/>
                <w:color w:val="0000EE"/>
                <w:w w:val="93"/>
              </w:rPr>
            </w:pPr>
            <w:hyperlink r:id="rId47">
              <w:r>
                <w:rPr>
                  <w:rFonts w:ascii="Arial" w:cs="Arial" w:eastAsia="Arial" w:hAnsi="Arial"/>
                  <w:sz w:val="16"/>
                  <w:szCs w:val="16"/>
                  <w:color w:val="0000EE"/>
                  <w:w w:val="93"/>
                </w:rPr>
                <w:t>Keler, Ph.D., incorporated by reference to Exhibit 10.3 to the Company’s current report on Form 8-K, filed on July 1, 2021 with</w:t>
              </w:r>
            </w:hyperlink>
          </w:p>
        </w:tc>
        <w:tc>
          <w:tcPr>
            <w:tcW w:w="160" w:type="dxa"/>
            <w:vAlign w:val="bottom"/>
            <w:gridSpan w:val="8"/>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r:id="rId47">
              <w:r>
                <w:rPr>
                  <w:rFonts w:ascii="Arial" w:cs="Arial" w:eastAsia="Arial" w:hAnsi="Arial"/>
                  <w:sz w:val="16"/>
                  <w:szCs w:val="16"/>
                  <w:color w:val="0000EE"/>
                  <w:w w:val="90"/>
                </w:rPr>
                <w:t>the Securities and Exchange Commission.</w:t>
              </w:r>
            </w:hyperlink>
          </w:p>
        </w:tc>
        <w:tc>
          <w:tcPr>
            <w:tcW w:w="5740" w:type="dxa"/>
            <w:vAlign w:val="bottom"/>
            <w:gridSpan w:val="26"/>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†10.9</w:t>
            </w:r>
          </w:p>
        </w:tc>
        <w:tc>
          <w:tcPr>
            <w:tcW w:w="160" w:type="dxa"/>
            <w:vAlign w:val="bottom"/>
          </w:tcPr>
          <w:p>
            <w:pPr>
              <w:spacing w:after="0"/>
              <w:rPr>
                <w:sz w:val="15"/>
                <w:szCs w:val="15"/>
                <w:color w:val="auto"/>
              </w:rPr>
            </w:pPr>
          </w:p>
        </w:tc>
        <w:tc>
          <w:tcPr>
            <w:tcW w:w="840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48">
              <w:r>
                <w:rPr>
                  <w:rFonts w:ascii="Arial" w:cs="Arial" w:eastAsia="Arial" w:hAnsi="Arial"/>
                  <w:sz w:val="16"/>
                  <w:szCs w:val="16"/>
                  <w:color w:val="0000EE"/>
                  <w:w w:val="91"/>
                </w:rPr>
                <w:t>Amended and Restated Employment Agreement, dated as of July 1, 2021, by and between Celldex Therapeutics, Inc. and Ronald</w:t>
              </w:r>
            </w:hyperlink>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40" w:type="dxa"/>
            <w:vAlign w:val="bottom"/>
            <w:tcBorders>
              <w:bottom w:val="single" w:sz="8" w:color="0000EE"/>
            </w:tcBorders>
            <w:gridSpan w:val="24"/>
          </w:tcPr>
          <w:p>
            <w:pPr>
              <w:spacing w:after="0" w:line="183" w:lineRule="exact"/>
              <w:rPr>
                <w:rFonts w:ascii="Arial" w:cs="Arial" w:eastAsia="Arial" w:hAnsi="Arial"/>
                <w:sz w:val="16"/>
                <w:szCs w:val="16"/>
                <w:color w:val="0000EE"/>
                <w:w w:val="93"/>
              </w:rPr>
            </w:pPr>
            <w:hyperlink r:id="rId48">
              <w:r>
                <w:rPr>
                  <w:rFonts w:ascii="Arial" w:cs="Arial" w:eastAsia="Arial" w:hAnsi="Arial"/>
                  <w:sz w:val="16"/>
                  <w:szCs w:val="16"/>
                  <w:color w:val="0000EE"/>
                  <w:w w:val="93"/>
                </w:rPr>
                <w:t>Pepin, Ph.D., incorporated by reference to Exhibit 10.4 to the Company’s current report on Form 8-K, filed on July 1, 2021 with</w:t>
              </w:r>
            </w:hyperlink>
          </w:p>
        </w:tc>
        <w:tc>
          <w:tcPr>
            <w:tcW w:w="140" w:type="dxa"/>
            <w:vAlign w:val="bottom"/>
            <w:gridSpan w:val="7"/>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r:id="rId48">
              <w:r>
                <w:rPr>
                  <w:rFonts w:ascii="Arial" w:cs="Arial" w:eastAsia="Arial" w:hAnsi="Arial"/>
                  <w:sz w:val="16"/>
                  <w:szCs w:val="16"/>
                  <w:color w:val="0000EE"/>
                  <w:w w:val="90"/>
                </w:rPr>
                <w:t>the Securities and Exchange Commission.</w:t>
              </w:r>
            </w:hyperlink>
          </w:p>
        </w:tc>
        <w:tc>
          <w:tcPr>
            <w:tcW w:w="5740" w:type="dxa"/>
            <w:vAlign w:val="bottom"/>
            <w:gridSpan w:val="26"/>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†10.10</w:t>
            </w:r>
          </w:p>
        </w:tc>
        <w:tc>
          <w:tcPr>
            <w:tcW w:w="160" w:type="dxa"/>
            <w:vAlign w:val="bottom"/>
          </w:tcPr>
          <w:p>
            <w:pPr>
              <w:spacing w:after="0"/>
              <w:rPr>
                <w:sz w:val="15"/>
                <w:szCs w:val="15"/>
                <w:color w:val="auto"/>
              </w:rPr>
            </w:pPr>
          </w:p>
        </w:tc>
        <w:tc>
          <w:tcPr>
            <w:tcW w:w="8300" w:type="dxa"/>
            <w:vAlign w:val="bottom"/>
            <w:tcBorders>
              <w:bottom w:val="single" w:sz="8" w:color="0000EE"/>
            </w:tcBorders>
            <w:gridSpan w:val="22"/>
          </w:tcPr>
          <w:p>
            <w:pPr>
              <w:spacing w:after="0" w:line="183" w:lineRule="exact"/>
              <w:rPr>
                <w:rFonts w:ascii="Arial" w:cs="Arial" w:eastAsia="Arial" w:hAnsi="Arial"/>
                <w:sz w:val="16"/>
                <w:szCs w:val="16"/>
                <w:color w:val="0000EE"/>
                <w:w w:val="90"/>
              </w:rPr>
            </w:pPr>
            <w:hyperlink r:id="rId49">
              <w:r>
                <w:rPr>
                  <w:rFonts w:ascii="Arial" w:cs="Arial" w:eastAsia="Arial" w:hAnsi="Arial"/>
                  <w:sz w:val="16"/>
                  <w:szCs w:val="16"/>
                  <w:color w:val="0000EE"/>
                  <w:w w:val="90"/>
                </w:rPr>
                <w:t>Amended and Restated Employment Agreement, dated as of July 1, 2021, by and between Celldex Therapeutics, Inc. and Sarah</w:t>
              </w:r>
            </w:hyperlink>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2"/>
              </w:rPr>
            </w:pPr>
            <w:hyperlink r:id="rId49">
              <w:r>
                <w:rPr>
                  <w:rFonts w:ascii="Arial" w:cs="Arial" w:eastAsia="Arial" w:hAnsi="Arial"/>
                  <w:sz w:val="16"/>
                  <w:szCs w:val="16"/>
                  <w:color w:val="0000EE"/>
                  <w:w w:val="92"/>
                </w:rPr>
                <w:t>Cavanaugh, incorporated by reference to Exhibit 10.5 to the Company’s current report on Form 8-K, filed on July 1, 2021 with the</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0"/>
              </w:rPr>
            </w:pPr>
            <w:hyperlink r:id="rId49">
              <w:r>
                <w:rPr>
                  <w:rFonts w:ascii="Arial" w:cs="Arial" w:eastAsia="Arial" w:hAnsi="Arial"/>
                  <w:sz w:val="16"/>
                  <w:szCs w:val="16"/>
                  <w:color w:val="0000EE"/>
                  <w:w w:val="90"/>
                </w:rPr>
                <w:t>Securities and Exchange Commission.</w:t>
              </w:r>
            </w:hyperlink>
          </w:p>
        </w:tc>
        <w:tc>
          <w:tcPr>
            <w:tcW w:w="596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†10.11</w:t>
            </w:r>
          </w:p>
        </w:tc>
        <w:tc>
          <w:tcPr>
            <w:tcW w:w="160" w:type="dxa"/>
            <w:vAlign w:val="bottom"/>
          </w:tcPr>
          <w:p>
            <w:pPr>
              <w:spacing w:after="0"/>
              <w:rPr>
                <w:sz w:val="15"/>
                <w:szCs w:val="15"/>
                <w:color w:val="auto"/>
              </w:rPr>
            </w:pPr>
          </w:p>
        </w:tc>
        <w:tc>
          <w:tcPr>
            <w:tcW w:w="8380" w:type="dxa"/>
            <w:vAlign w:val="bottom"/>
            <w:tcBorders>
              <w:bottom w:val="single" w:sz="8" w:color="0000EE"/>
            </w:tcBorders>
            <w:gridSpan w:val="26"/>
          </w:tcPr>
          <w:p>
            <w:pPr>
              <w:spacing w:after="0" w:line="183" w:lineRule="exact"/>
              <w:rPr>
                <w:rFonts w:ascii="Arial" w:cs="Arial" w:eastAsia="Arial" w:hAnsi="Arial"/>
                <w:sz w:val="16"/>
                <w:szCs w:val="16"/>
                <w:color w:val="0000EE"/>
                <w:w w:val="91"/>
              </w:rPr>
            </w:pPr>
            <w:hyperlink r:id="rId50">
              <w:r>
                <w:rPr>
                  <w:rFonts w:ascii="Arial" w:cs="Arial" w:eastAsia="Arial" w:hAnsi="Arial"/>
                  <w:sz w:val="16"/>
                  <w:szCs w:val="16"/>
                  <w:color w:val="0000EE"/>
                  <w:w w:val="91"/>
                </w:rPr>
                <w:t>Amended and Restated Employment Agreement, dated as of July 1, 2021, by and between Celldex Therapeutics, Inc. and Margo</w:t>
              </w:r>
            </w:hyperlink>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80" w:type="dxa"/>
            <w:vAlign w:val="bottom"/>
            <w:tcBorders>
              <w:bottom w:val="single" w:sz="8" w:color="0000EE"/>
            </w:tcBorders>
            <w:gridSpan w:val="18"/>
          </w:tcPr>
          <w:p>
            <w:pPr>
              <w:spacing w:after="0" w:line="183" w:lineRule="exact"/>
              <w:rPr>
                <w:rFonts w:ascii="Arial" w:cs="Arial" w:eastAsia="Arial" w:hAnsi="Arial"/>
                <w:sz w:val="16"/>
                <w:szCs w:val="16"/>
                <w:color w:val="0000EE"/>
                <w:w w:val="93"/>
              </w:rPr>
            </w:pPr>
            <w:hyperlink r:id="rId50">
              <w:r>
                <w:rPr>
                  <w:rFonts w:ascii="Arial" w:cs="Arial" w:eastAsia="Arial" w:hAnsi="Arial"/>
                  <w:sz w:val="16"/>
                  <w:szCs w:val="16"/>
                  <w:color w:val="0000EE"/>
                  <w:w w:val="93"/>
                </w:rPr>
                <w:t>Heath-Chiozzi, M.D., incorporated by reference to Exhibit 10.6 to the Company’s current report on Form 8-K, filed on July 1,</w:t>
              </w:r>
            </w:hyperlink>
          </w:p>
        </w:tc>
        <w:tc>
          <w:tcPr>
            <w:tcW w:w="300" w:type="dxa"/>
            <w:vAlign w:val="bottom"/>
            <w:gridSpan w:val="13"/>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bottom w:val="single" w:sz="8" w:color="0000EE"/>
            </w:tcBorders>
            <w:gridSpan w:val="7"/>
          </w:tcPr>
          <w:p>
            <w:pPr>
              <w:spacing w:after="0" w:line="183" w:lineRule="exact"/>
              <w:rPr>
                <w:rFonts w:ascii="Arial" w:cs="Arial" w:eastAsia="Arial" w:hAnsi="Arial"/>
                <w:sz w:val="16"/>
                <w:szCs w:val="16"/>
                <w:color w:val="0000EE"/>
                <w:w w:val="91"/>
              </w:rPr>
            </w:pPr>
            <w:hyperlink r:id="rId50">
              <w:r>
                <w:rPr>
                  <w:rFonts w:ascii="Arial" w:cs="Arial" w:eastAsia="Arial" w:hAnsi="Arial"/>
                  <w:sz w:val="16"/>
                  <w:szCs w:val="16"/>
                  <w:color w:val="0000EE"/>
                  <w:w w:val="91"/>
                </w:rPr>
                <w:t>2021 with the Securities and Exchange Commission.</w:t>
              </w:r>
            </w:hyperlink>
          </w:p>
        </w:tc>
        <w:tc>
          <w:tcPr>
            <w:tcW w:w="5040" w:type="dxa"/>
            <w:vAlign w:val="bottom"/>
            <w:gridSpan w:val="24"/>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†10.12</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7"/>
              </w:rPr>
            </w:pPr>
            <w:hyperlink r:id="rId51">
              <w:r>
                <w:rPr>
                  <w:rFonts w:ascii="Arial" w:cs="Arial" w:eastAsia="Arial" w:hAnsi="Arial"/>
                  <w:sz w:val="16"/>
                  <w:szCs w:val="16"/>
                  <w:color w:val="0000EE"/>
                  <w:w w:val="97"/>
                </w:rPr>
                <w:t>Amended and Restated Employment Agreement, dated as of July 1, 2021, by and between Celldex Therapeutics, Inc. and</w:t>
              </w:r>
            </w:hyperlink>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80" w:type="dxa"/>
            <w:vAlign w:val="bottom"/>
            <w:tcBorders>
              <w:bottom w:val="single" w:sz="8" w:color="0000EE"/>
            </w:tcBorders>
            <w:gridSpan w:val="26"/>
          </w:tcPr>
          <w:p>
            <w:pPr>
              <w:spacing w:after="0" w:line="183" w:lineRule="exact"/>
              <w:rPr>
                <w:rFonts w:ascii="Arial" w:cs="Arial" w:eastAsia="Arial" w:hAnsi="Arial"/>
                <w:sz w:val="16"/>
                <w:szCs w:val="16"/>
                <w:color w:val="0000EE"/>
                <w:w w:val="92"/>
              </w:rPr>
            </w:pPr>
            <w:hyperlink r:id="rId51">
              <w:r>
                <w:rPr>
                  <w:rFonts w:ascii="Arial" w:cs="Arial" w:eastAsia="Arial" w:hAnsi="Arial"/>
                  <w:sz w:val="16"/>
                  <w:szCs w:val="16"/>
                  <w:color w:val="0000EE"/>
                  <w:w w:val="92"/>
                </w:rPr>
                <w:t>Elizabeth Crowley, incorporated by reference to Exhibit 10.7 to the Company’s current report on Form 8-K, filed on July 1, 2021</w:t>
              </w:r>
            </w:hyperlink>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rPr>
            </w:pPr>
            <w:hyperlink r:id="rId51">
              <w:r>
                <w:rPr>
                  <w:rFonts w:ascii="Arial" w:cs="Arial" w:eastAsia="Arial" w:hAnsi="Arial"/>
                  <w:sz w:val="16"/>
                  <w:szCs w:val="16"/>
                  <w:color w:val="0000EE"/>
                </w:rPr>
                <w:t>with the Securities and Exchange Commission.</w:t>
              </w:r>
            </w:hyperlink>
          </w:p>
        </w:tc>
      </w:tr>
      <w:tr>
        <w:trPr>
          <w:trHeight w:val="20"/>
        </w:trPr>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†10.13</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1"/>
              </w:rPr>
            </w:pPr>
            <w:hyperlink r:id="rId52">
              <w:r>
                <w:rPr>
                  <w:rFonts w:ascii="Arial" w:cs="Arial" w:eastAsia="Arial" w:hAnsi="Arial"/>
                  <w:sz w:val="16"/>
                  <w:szCs w:val="16"/>
                  <w:color w:val="0000EE"/>
                  <w:w w:val="91"/>
                </w:rPr>
                <w:t>Amended and Restated Employment Agreement, dated as of July 1, 2021, by and between Celldex Therapeutics, Inc. and Richard</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40" w:type="dxa"/>
            <w:vAlign w:val="bottom"/>
            <w:tcBorders>
              <w:top w:val="single" w:sz="8" w:color="0000EE"/>
            </w:tcBorders>
            <w:gridSpan w:val="29"/>
          </w:tcPr>
          <w:p>
            <w:pPr>
              <w:spacing w:after="0" w:line="183" w:lineRule="exact"/>
              <w:rPr>
                <w:rFonts w:ascii="Arial" w:cs="Arial" w:eastAsia="Arial" w:hAnsi="Arial"/>
                <w:sz w:val="16"/>
                <w:szCs w:val="16"/>
                <w:color w:val="0000EE"/>
                <w:w w:val="93"/>
              </w:rPr>
            </w:pPr>
            <w:hyperlink r:id="rId52">
              <w:r>
                <w:rPr>
                  <w:rFonts w:ascii="Arial" w:cs="Arial" w:eastAsia="Arial" w:hAnsi="Arial"/>
                  <w:sz w:val="16"/>
                  <w:szCs w:val="16"/>
                  <w:color w:val="0000EE"/>
                  <w:w w:val="93"/>
                </w:rPr>
                <w:t>Wright, Ph.D., incorporated by reference to Exhibit 10.8 to the Company’s current report on Form 8-K, filed on July 1, 2021 with</w:t>
              </w:r>
            </w:hyperlink>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Borders>
              <w:top w:val="single" w:sz="8" w:color="0000EE"/>
            </w:tcBorders>
            <w:gridSpan w:val="27"/>
          </w:tcPr>
          <w:p>
            <w:pPr>
              <w:spacing w:after="0" w:line="183" w:lineRule="exact"/>
              <w:rPr>
                <w:rFonts w:ascii="Arial" w:cs="Arial" w:eastAsia="Arial" w:hAnsi="Arial"/>
                <w:sz w:val="16"/>
                <w:szCs w:val="16"/>
                <w:color w:val="0000EE"/>
              </w:rPr>
            </w:pPr>
            <w:hyperlink r:id="rId52">
              <w:r>
                <w:rPr>
                  <w:rFonts w:ascii="Arial" w:cs="Arial" w:eastAsia="Arial" w:hAnsi="Arial"/>
                  <w:sz w:val="16"/>
                  <w:szCs w:val="16"/>
                  <w:color w:val="0000EE"/>
                </w:rPr>
                <w:t>the Securities and Exchange Commission</w:t>
              </w:r>
              <w:r>
                <w:rPr>
                  <w:rFonts w:ascii="Arial" w:cs="Arial" w:eastAsia="Arial" w:hAnsi="Arial"/>
                  <w:sz w:val="16"/>
                  <w:szCs w:val="16"/>
                  <w:color w:val="000000"/>
                </w:rPr>
                <w:t>.</w:t>
              </w:r>
            </w:hyperlink>
          </w:p>
        </w:tc>
        <w:tc>
          <w:tcPr>
            <w:tcW w:w="80" w:type="dxa"/>
            <w:vAlign w:val="bottom"/>
            <w:gridSpan w:val="4"/>
          </w:tcPr>
          <w:p>
            <w:pPr>
              <w:spacing w:after="0"/>
              <w:rPr>
                <w:sz w:val="15"/>
                <w:szCs w:val="15"/>
                <w:color w:val="auto"/>
              </w:rPr>
            </w:pPr>
          </w:p>
        </w:tc>
      </w:tr>
      <w:tr>
        <w:trPr>
          <w:trHeight w:val="20"/>
        </w:trPr>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†10.14</w:t>
            </w:r>
          </w:p>
        </w:tc>
        <w:tc>
          <w:tcPr>
            <w:tcW w:w="160" w:type="dxa"/>
            <w:vAlign w:val="bottom"/>
          </w:tcPr>
          <w:p>
            <w:pPr>
              <w:spacing w:after="0"/>
              <w:rPr>
                <w:sz w:val="15"/>
                <w:szCs w:val="15"/>
                <w:color w:val="auto"/>
              </w:rPr>
            </w:pPr>
          </w:p>
        </w:tc>
        <w:tc>
          <w:tcPr>
            <w:tcW w:w="832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53">
              <w:r>
                <w:rPr>
                  <w:rFonts w:ascii="Arial" w:cs="Arial" w:eastAsia="Arial" w:hAnsi="Arial"/>
                  <w:sz w:val="16"/>
                  <w:szCs w:val="16"/>
                  <w:color w:val="0000EE"/>
                  <w:w w:val="91"/>
                </w:rPr>
                <w:t>Amended and Restated Employment Agreement, dated as of July 1, 2021, by and between Celldex Therapeutics, Inc. and Diane</w:t>
              </w:r>
            </w:hyperlink>
          </w:p>
        </w:tc>
        <w:tc>
          <w:tcPr>
            <w:tcW w:w="160" w:type="dxa"/>
            <w:vAlign w:val="bottom"/>
            <w:gridSpan w:val="8"/>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4"/>
              </w:rPr>
            </w:pPr>
            <w:hyperlink r:id="rId53">
              <w:r>
                <w:rPr>
                  <w:rFonts w:ascii="Arial" w:cs="Arial" w:eastAsia="Arial" w:hAnsi="Arial"/>
                  <w:sz w:val="16"/>
                  <w:szCs w:val="16"/>
                  <w:color w:val="0000EE"/>
                  <w:w w:val="94"/>
                </w:rPr>
                <w:t>Young, M.D., incorporated by reference to Exhibit 10.9 to the Company’s current report on Form 8-K, filed on July 1, 2021 with</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0"/>
              </w:rPr>
            </w:pPr>
            <w:hyperlink r:id="rId53">
              <w:r>
                <w:rPr>
                  <w:rFonts w:ascii="Arial" w:cs="Arial" w:eastAsia="Arial" w:hAnsi="Arial"/>
                  <w:sz w:val="16"/>
                  <w:szCs w:val="16"/>
                  <w:color w:val="0000EE"/>
                  <w:w w:val="90"/>
                </w:rPr>
                <w:t>the Securities and Exchange Commission.</w:t>
              </w:r>
            </w:hyperlink>
          </w:p>
        </w:tc>
        <w:tc>
          <w:tcPr>
            <w:tcW w:w="5600" w:type="dxa"/>
            <w:vAlign w:val="bottom"/>
            <w:tcBorders>
              <w:top w:val="single" w:sz="8" w:color="0000EE"/>
            </w:tcBorders>
            <w:gridSpan w:val="19"/>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†10.15</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w w:val="91"/>
              </w:rPr>
            </w:pPr>
            <w:hyperlink r:id="rId54">
              <w:r>
                <w:rPr>
                  <w:rFonts w:ascii="Arial" w:cs="Arial" w:eastAsia="Arial" w:hAnsi="Arial"/>
                  <w:sz w:val="16"/>
                  <w:szCs w:val="16"/>
                  <w:color w:val="0000EE"/>
                  <w:w w:val="91"/>
                </w:rPr>
                <w:t>Amended and Restated Employment Agreement, dated as of July 1, 2021, by and between Celldex Therapeutics, Inc. and Freddy</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60" w:type="dxa"/>
            <w:vAlign w:val="bottom"/>
            <w:tcBorders>
              <w:top w:val="single" w:sz="8" w:color="0000EE"/>
              <w:bottom w:val="single" w:sz="8" w:color="0000EE"/>
            </w:tcBorders>
            <w:gridSpan w:val="25"/>
          </w:tcPr>
          <w:p>
            <w:pPr>
              <w:spacing w:after="0" w:line="183" w:lineRule="exact"/>
              <w:rPr>
                <w:rFonts w:ascii="Arial" w:cs="Arial" w:eastAsia="Arial" w:hAnsi="Arial"/>
                <w:sz w:val="16"/>
                <w:szCs w:val="16"/>
                <w:color w:val="0000EE"/>
                <w:w w:val="92"/>
              </w:rPr>
            </w:pPr>
            <w:hyperlink r:id="rId54">
              <w:r>
                <w:rPr>
                  <w:rFonts w:ascii="Arial" w:cs="Arial" w:eastAsia="Arial" w:hAnsi="Arial"/>
                  <w:sz w:val="16"/>
                  <w:szCs w:val="16"/>
                  <w:color w:val="0000EE"/>
                  <w:w w:val="92"/>
                </w:rPr>
                <w:t>Jimenez, incorporated by reference to Exhibit 10.10 to the Company’s current report on Form 8-K, filed on July 1, 2021 with the</w:t>
              </w:r>
            </w:hyperlink>
          </w:p>
        </w:tc>
        <w:tc>
          <w:tcPr>
            <w:tcW w:w="20" w:type="dxa"/>
            <w:vAlign w:val="bottom"/>
            <w:tcBorders>
              <w:top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tcBorders>
              <w:bottom w:val="single" w:sz="8" w:color="0000EE"/>
            </w:tcBorders>
            <w:gridSpan w:val="3"/>
          </w:tcPr>
          <w:p>
            <w:pPr>
              <w:spacing w:after="0" w:line="183" w:lineRule="exact"/>
              <w:rPr>
                <w:rFonts w:ascii="Arial" w:cs="Arial" w:eastAsia="Arial" w:hAnsi="Arial"/>
                <w:sz w:val="16"/>
                <w:szCs w:val="16"/>
                <w:color w:val="0000EE"/>
                <w:w w:val="90"/>
              </w:rPr>
            </w:pPr>
            <w:hyperlink r:id="rId54">
              <w:r>
                <w:rPr>
                  <w:rFonts w:ascii="Arial" w:cs="Arial" w:eastAsia="Arial" w:hAnsi="Arial"/>
                  <w:sz w:val="16"/>
                  <w:szCs w:val="16"/>
                  <w:color w:val="0000EE"/>
                  <w:w w:val="90"/>
                </w:rPr>
                <w:t>Securities and Exchange Commission.</w:t>
              </w:r>
            </w:hyperlink>
          </w:p>
        </w:tc>
        <w:tc>
          <w:tcPr>
            <w:tcW w:w="5980" w:type="dxa"/>
            <w:vAlign w:val="bottom"/>
            <w:gridSpan w:val="28"/>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3520" w:type="dxa"/>
            <w:vAlign w:val="bottom"/>
            <w:tcBorders>
              <w:bottom w:val="single" w:sz="8" w:color="0000EE"/>
            </w:tcBorders>
            <w:gridSpan w:val="8"/>
          </w:tcPr>
          <w:p>
            <w:pPr>
              <w:spacing w:after="0" w:line="183" w:lineRule="exact"/>
              <w:rPr>
                <w:rFonts w:ascii="Arial" w:cs="Arial" w:eastAsia="Arial" w:hAnsi="Arial"/>
                <w:sz w:val="16"/>
                <w:szCs w:val="16"/>
                <w:color w:val="0000EE"/>
                <w:w w:val="93"/>
              </w:rPr>
            </w:pPr>
            <w:hyperlink w:anchor="page34">
              <w:r>
                <w:rPr>
                  <w:rFonts w:ascii="Arial" w:cs="Arial" w:eastAsia="Arial" w:hAnsi="Arial"/>
                  <w:sz w:val="16"/>
                  <w:szCs w:val="16"/>
                  <w:color w:val="0000EE"/>
                  <w:w w:val="93"/>
                </w:rPr>
                <w:t>Certification of President and Chief Executive Officer</w:t>
              </w:r>
            </w:hyperlink>
          </w:p>
        </w:tc>
        <w:tc>
          <w:tcPr>
            <w:tcW w:w="4960" w:type="dxa"/>
            <w:vAlign w:val="bottom"/>
            <w:gridSpan w:val="23"/>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8480" w:type="dxa"/>
            <w:vAlign w:val="bottom"/>
            <w:gridSpan w:val="31"/>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Certification of Senior Vice President and Chief Financial Officer</w:t>
              </w:r>
            </w:hyperlink>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w:anchor="page36">
              <w:r>
                <w:rPr>
                  <w:rFonts w:ascii="Arial" w:cs="Arial" w:eastAsia="Arial" w:hAnsi="Arial"/>
                  <w:sz w:val="16"/>
                  <w:szCs w:val="16"/>
                  <w:color w:val="0000EE"/>
                  <w:w w:val="92"/>
                </w:rPr>
                <w:t>Section 1350 Certifications</w:t>
              </w:r>
            </w:hyperlink>
          </w:p>
        </w:tc>
        <w:tc>
          <w:tcPr>
            <w:tcW w:w="2480" w:type="dxa"/>
            <w:vAlign w:val="bottom"/>
            <w:tcBorders>
              <w:top w:val="single" w:sz="8" w:color="0000EE"/>
            </w:tcBorders>
            <w:gridSpan w:val="7"/>
          </w:tcPr>
          <w:p>
            <w:pPr>
              <w:spacing w:after="0"/>
              <w:rPr>
                <w:sz w:val="15"/>
                <w:szCs w:val="15"/>
                <w:color w:val="auto"/>
              </w:rPr>
            </w:pPr>
          </w:p>
        </w:tc>
        <w:tc>
          <w:tcPr>
            <w:tcW w:w="4220" w:type="dxa"/>
            <w:vAlign w:val="bottom"/>
            <w:gridSpan w:val="22"/>
          </w:tcPr>
          <w:p>
            <w:pPr>
              <w:spacing w:after="0"/>
              <w:rPr>
                <w:sz w:val="15"/>
                <w:szCs w:val="15"/>
                <w:color w:val="auto"/>
              </w:rPr>
            </w:pPr>
          </w:p>
        </w:tc>
      </w:tr>
      <w:tr>
        <w:trPr>
          <w:trHeight w:val="227"/>
        </w:trPr>
        <w:tc>
          <w:tcPr>
            <w:tcW w:w="11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19"/>
                <w:szCs w:val="19"/>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its XBRL tags are</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06"/>
        </w:trPr>
        <w:tc>
          <w:tcPr>
            <w:tcW w:w="11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17"/>
                <w:szCs w:val="17"/>
                <w:color w:val="auto"/>
              </w:rPr>
            </w:pPr>
          </w:p>
        </w:tc>
        <w:tc>
          <w:tcPr>
            <w:tcW w:w="8480" w:type="dxa"/>
            <w:vAlign w:val="bottom"/>
            <w:gridSpan w:val="31"/>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ind w:left="1380" w:hanging="1317"/>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1568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780" w:hanging="448"/>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44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a management contract or compensation plan, contract or arrangement.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3" w:lineRule="exact"/>
        <w:rPr>
          <w:rFonts w:ascii="Arial" w:cs="Arial" w:eastAsia="Arial" w:hAnsi="Arial"/>
          <w:sz w:val="16"/>
          <w:szCs w:val="16"/>
          <w:color w:val="auto"/>
        </w:rPr>
      </w:pPr>
    </w:p>
    <w:p>
      <w:pPr>
        <w:ind w:left="488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60" w:hanging="414"/>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720" w:right="160" w:hanging="388"/>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40" w:hanging="388"/>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20" w:right="560" w:hanging="388"/>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60" w:right="120" w:hanging="650"/>
        <w:spacing w:after="0" w:line="259" w:lineRule="auto"/>
        <w:tabs>
          <w:tab w:leader="none" w:pos="13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60" w:right="40" w:hanging="650"/>
        <w:spacing w:after="0" w:line="311" w:lineRule="auto"/>
        <w:tabs>
          <w:tab w:leader="none" w:pos="13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60" w:right="220" w:hanging="650"/>
        <w:spacing w:after="0" w:line="263" w:lineRule="auto"/>
        <w:tabs>
          <w:tab w:leader="none" w:pos="13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20" w:hanging="650"/>
        <w:spacing w:after="0" w:line="259" w:lineRule="auto"/>
        <w:tabs>
          <w:tab w:leader="none" w:pos="13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500" w:hanging="388"/>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380" w:hanging="650"/>
        <w:spacing w:after="0" w:line="263" w:lineRule="auto"/>
        <w:tabs>
          <w:tab w:leader="none" w:pos="13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60" w:right="200" w:hanging="650"/>
        <w:spacing w:after="0" w:line="277" w:lineRule="auto"/>
        <w:tabs>
          <w:tab w:leader="none" w:pos="13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40" w:val="left"/>
          <w:tab w:leader="none" w:pos="542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14605</wp:posOffset>
            </wp:positionV>
            <wp:extent cx="28289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Name:Anthony S. Marucci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720" w:right="160" w:hanging="388"/>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40" w:hanging="388"/>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20" w:right="560" w:hanging="388"/>
        <w:spacing w:after="0" w:line="286"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60" w:right="120" w:hanging="650"/>
        <w:spacing w:after="0" w:line="259"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60" w:right="40" w:hanging="650"/>
        <w:spacing w:after="0" w:line="311"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60" w:right="220" w:hanging="650"/>
        <w:spacing w:after="0" w:line="263"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20" w:hanging="650"/>
        <w:spacing w:after="0" w:line="259"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500" w:hanging="388"/>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380" w:hanging="650"/>
        <w:spacing w:after="0" w:line="263"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60" w:right="200" w:hanging="650"/>
        <w:spacing w:after="0" w:line="277"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Name:Sam Martin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August 5, 2021</w:t>
            </w:r>
          </w:p>
        </w:tc>
        <w:tc>
          <w:tcPr>
            <w:tcW w:w="2320" w:type="dxa"/>
            <w:vAlign w:val="bottom"/>
          </w:tcPr>
          <w:p>
            <w:pPr>
              <w:ind w:left="1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200" w:type="dxa"/>
            <w:vAlign w:val="bottom"/>
          </w:tcPr>
          <w:p>
            <w:pPr>
              <w:spacing w:after="0"/>
              <w:rPr>
                <w:sz w:val="16"/>
                <w:szCs w:val="16"/>
                <w:color w:val="auto"/>
              </w:rPr>
            </w:pPr>
          </w:p>
        </w:tc>
        <w:tc>
          <w:tcPr>
            <w:tcW w:w="2320" w:type="dxa"/>
            <w:vAlign w:val="bottom"/>
          </w:tcPr>
          <w:p>
            <w:pPr>
              <w:ind w:left="1660"/>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200" w:type="dxa"/>
            <w:vAlign w:val="bottom"/>
          </w:tcPr>
          <w:p>
            <w:pPr>
              <w:spacing w:after="0"/>
              <w:rPr>
                <w:sz w:val="20"/>
                <w:szCs w:val="20"/>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August 5, 2021</w:t>
            </w:r>
          </w:p>
        </w:tc>
        <w:tc>
          <w:tcPr>
            <w:tcW w:w="2320" w:type="dxa"/>
            <w:vAlign w:val="bottom"/>
          </w:tcPr>
          <w:p>
            <w:pPr>
              <w:ind w:left="1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200" w:type="dxa"/>
            <w:vAlign w:val="bottom"/>
          </w:tcPr>
          <w:p>
            <w:pPr>
              <w:spacing w:after="0"/>
              <w:rPr>
                <w:sz w:val="16"/>
                <w:szCs w:val="16"/>
                <w:color w:val="auto"/>
              </w:rPr>
            </w:pPr>
          </w:p>
        </w:tc>
        <w:tc>
          <w:tcPr>
            <w:tcW w:w="2320" w:type="dxa"/>
            <w:vAlign w:val="bottom"/>
          </w:tcPr>
          <w:p>
            <w:pPr>
              <w:ind w:left="1660"/>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200" w:type="dxa"/>
            <w:vAlign w:val="bottom"/>
          </w:tcPr>
          <w:p>
            <w:pPr>
              <w:spacing w:after="0"/>
              <w:rPr>
                <w:sz w:val="20"/>
                <w:szCs w:val="20"/>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
    <w:nsid w:val="3F2DBA3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40" Type="http://schemas.openxmlformats.org/officeDocument/2006/relationships/hyperlink" Target="https://www.sec.gov/Archives/edgar/data/744218/000110465921082585/tm2119126d1_ex10-1.htm" TargetMode="External"/><Relationship Id="rId41" Type="http://schemas.openxmlformats.org/officeDocument/2006/relationships/hyperlink" Target="https://www.sec.gov/Archives/edgar/data/744218/000110465921082585/tm2119126d1_ex10-2.htm" TargetMode="External"/><Relationship Id="rId42" Type="http://schemas.openxmlformats.org/officeDocument/2006/relationships/hyperlink" Target="https://www.sec.gov/Archives/edgar/data/744218/000110465921082585/tm2119126d1_ex10-3.htm" TargetMode="External"/><Relationship Id="rId43" Type="http://schemas.openxmlformats.org/officeDocument/2006/relationships/hyperlink" Target="https://www.sec.gov/Archives/edgar/data/744218/000110465921082585/tm2119126d1_ex10-4.htm" TargetMode="External"/><Relationship Id="rId44" Type="http://schemas.openxmlformats.org/officeDocument/2006/relationships/hyperlink" Target="https://www.sec.gov/Archives/edgar/data/744218/000110465921082585/tm2119126d1_ex10-5.htm" TargetMode="External"/><Relationship Id="rId45" Type="http://schemas.openxmlformats.org/officeDocument/2006/relationships/hyperlink" Target="https://www.sec.gov/Archives/edgar/data/744218/000110465921088220/tm2120284d1_ex10-1.htm" TargetMode="External"/><Relationship Id="rId46" Type="http://schemas.openxmlformats.org/officeDocument/2006/relationships/hyperlink" Target="https://www.sec.gov/Archives/edgar/data/744218/000110465921088220/tm2120284d1_ex10-2.htm" TargetMode="External"/><Relationship Id="rId47" Type="http://schemas.openxmlformats.org/officeDocument/2006/relationships/hyperlink" Target="https://www.sec.gov/Archives/edgar/data/744218/000110465921088220/tm2120284d1_ex10-3.htm" TargetMode="External"/><Relationship Id="rId48" Type="http://schemas.openxmlformats.org/officeDocument/2006/relationships/hyperlink" Target="https://www.sec.gov/Archives/edgar/data/744218/000110465921088220/tm2120284d1_ex10-4.htm" TargetMode="External"/><Relationship Id="rId49" Type="http://schemas.openxmlformats.org/officeDocument/2006/relationships/hyperlink" Target="https://www.sec.gov/Archives/edgar/data/744218/000110465921088220/tm2120284d1_ex10-5.htm" TargetMode="External"/><Relationship Id="rId50" Type="http://schemas.openxmlformats.org/officeDocument/2006/relationships/hyperlink" Target="https://www.sec.gov/Archives/edgar/data/744218/000110465921088220/tm2120284d1_ex10-6.htm" TargetMode="External"/><Relationship Id="rId51" Type="http://schemas.openxmlformats.org/officeDocument/2006/relationships/hyperlink" Target="https://www.sec.gov/Archives/edgar/data/744218/000110465921088220/tm2120284d1_ex10-7.htm" TargetMode="External"/><Relationship Id="rId52" Type="http://schemas.openxmlformats.org/officeDocument/2006/relationships/hyperlink" Target="https://www.sec.gov/Archives/edgar/data/744218/000110465921088220/tm2120284d1_ex10-8.htm" TargetMode="External"/><Relationship Id="rId53" Type="http://schemas.openxmlformats.org/officeDocument/2006/relationships/hyperlink" Target="https://www.sec.gov/Archives/edgar/data/744218/000110465921088220/tm2120284d1_ex10-9.htm" TargetMode="External"/><Relationship Id="rId54" Type="http://schemas.openxmlformats.org/officeDocument/2006/relationships/hyperlink" Target="https://www.sec.gov/Archives/edgar/data/744218/000110465921088220/tm2120284d1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2021-08-05T15:52:39Z</dcterms:created>
  <dcterms:modified xsi:type="dcterms:W3CDTF">2021-08-05T15:52:39Z</dcterms:modified>
</cp:coreProperties>
</file>