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660" w:right="32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6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000-15006</w:t>
      </w:r>
    </w:p>
    <w:p>
      <w:pPr>
        <w:spacing w:after="0" w:line="2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229" w:right="319" w:bottom="0" w:gutter="0" w:footer="0" w:header="0"/>
        </w:sectPr>
      </w:pP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00" w:space="720"/>
            <w:col w:w="4020"/>
          </w:cols>
          <w:pgMar w:left="240" w:top="229" w:right="319" w:bottom="0" w:gutter="0" w:footer="0" w:header="0"/>
          <w:type w:val="continuous"/>
        </w:sectPr>
      </w:pP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0" w:gutter="0" w:footer="0" w:header="0"/>
          <w:type w:val="continuous"/>
        </w:sectPr>
      </w:pPr>
    </w:p>
    <w:p>
      <w:pPr>
        <w:spacing w:after="0" w:line="16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29" w:right="319" w:bottom="0" w:gutter="0" w:footer="0" w:header="0"/>
          <w:type w:val="continuous"/>
        </w:sectPr>
      </w:pPr>
    </w:p>
    <w:p>
      <w:pPr>
        <w:spacing w:after="0" w:line="2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6860" w:space="720"/>
            <w:col w:w="3760"/>
          </w:cols>
          <w:pgMar w:left="240" w:top="229" w:right="319" w:bottom="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31, 2014, 89,589,105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 Ended September 30, 2014</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4"/>
          <w:szCs w:val="24"/>
          <w:color w:val="auto"/>
        </w:rPr>
      </w:pPr>
    </w:p>
    <w:p>
      <w:pPr>
        <w:ind w:left="109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7620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40"/>
          </w:cols>
          <w:pgMar w:left="240" w:top="229"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gridSpan w:val="18"/>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I—Financial Information</w:t>
              </w:r>
            </w:hyperlink>
          </w:p>
        </w:tc>
        <w:tc>
          <w:tcPr>
            <w:tcW w:w="700" w:type="dxa"/>
            <w:vAlign w:val="bottom"/>
          </w:tcPr>
          <w:p>
            <w:pPr>
              <w:spacing w:after="0"/>
              <w:rPr>
                <w:sz w:val="17"/>
                <w:szCs w:val="17"/>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0560" w:type="dxa"/>
            <w:vAlign w:val="bottom"/>
            <w:gridSpan w:val="1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 Unaudited Financial Statements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6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Condensed Consolidated Balance Sheets at September 30, 2014 and December 31, 2013</w:t>
              </w:r>
            </w:hyperlink>
          </w:p>
        </w:tc>
        <w:tc>
          <w:tcPr>
            <w:tcW w:w="420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00" w:type="dxa"/>
            <w:vAlign w:val="bottom"/>
          </w:tcPr>
          <w:p>
            <w:pPr>
              <w:spacing w:after="0"/>
              <w:rPr>
                <w:sz w:val="24"/>
                <w:szCs w:val="24"/>
                <w:color w:val="auto"/>
              </w:rPr>
            </w:pPr>
          </w:p>
        </w:tc>
        <w:tc>
          <w:tcPr>
            <w:tcW w:w="1056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and Comprehensive Loss for the Three and Nine Months Ended September 30, 2014 and</w:t>
              </w:r>
            </w:hyperlink>
          </w:p>
        </w:tc>
        <w:tc>
          <w:tcPr>
            <w:tcW w:w="7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gridSpan w:val="2"/>
          </w:tcPr>
          <w:p>
            <w:pPr>
              <w:jc w:val="right"/>
              <w:ind w:right="130"/>
              <w:spacing w:after="0" w:line="196" w:lineRule="exact"/>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2013</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Cash Flows for the Nine Months Ended September 30, 2014 and 2013</w:t>
              </w:r>
            </w:hyperlink>
          </w:p>
        </w:tc>
        <w:tc>
          <w:tcPr>
            <w:tcW w:w="264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200" w:type="dxa"/>
            <w:vAlign w:val="bottom"/>
          </w:tcPr>
          <w:p>
            <w:pPr>
              <w:spacing w:after="0"/>
              <w:rPr>
                <w:sz w:val="24"/>
                <w:szCs w:val="24"/>
                <w:color w:val="auto"/>
              </w:rPr>
            </w:pPr>
          </w:p>
        </w:tc>
        <w:tc>
          <w:tcPr>
            <w:tcW w:w="47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Notes to Unaudited Condensed Consolidated Financial Statements</w:t>
              </w:r>
            </w:hyperlink>
          </w:p>
        </w:tc>
        <w:tc>
          <w:tcPr>
            <w:tcW w:w="578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0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Item 2.</w:t>
              </w:r>
            </w:hyperlink>
          </w:p>
        </w:tc>
        <w:tc>
          <w:tcPr>
            <w:tcW w:w="10040" w:type="dxa"/>
            <w:vAlign w:val="bottom"/>
            <w:gridSpan w:val="15"/>
          </w:tcPr>
          <w:p>
            <w:pPr>
              <w:ind w:lef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2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3.</w:t>
              </w:r>
            </w:hyperlink>
          </w:p>
        </w:tc>
        <w:tc>
          <w:tcPr>
            <w:tcW w:w="6480" w:type="dxa"/>
            <w:vAlign w:val="bottom"/>
            <w:tcBorders>
              <w:top w:val="single" w:sz="8" w:color="0000EE"/>
            </w:tcBorders>
            <w:gridSpan w:val="12"/>
          </w:tcPr>
          <w:p>
            <w:pPr>
              <w:ind w:lef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Quantitative and Qualitative Disclosures About Market Risk</w:t>
              </w:r>
            </w:hyperlink>
          </w:p>
        </w:tc>
        <w:tc>
          <w:tcPr>
            <w:tcW w:w="356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2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4.</w:t>
              </w:r>
            </w:hyperlink>
          </w:p>
        </w:tc>
        <w:tc>
          <w:tcPr>
            <w:tcW w:w="1800" w:type="dxa"/>
            <w:vAlign w:val="bottom"/>
            <w:tcBorders>
              <w:top w:val="single" w:sz="8" w:color="0000EE"/>
              <w:bottom w:val="single" w:sz="8" w:color="0000EE"/>
            </w:tcBorders>
            <w:gridSpan w:val="7"/>
          </w:tcPr>
          <w:p>
            <w:pPr>
              <w:ind w:left="2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66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0760" w:type="dxa"/>
            <w:vAlign w:val="bottom"/>
            <w:gridSpan w:val="18"/>
          </w:tcPr>
          <w:p>
            <w:pPr>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Part II — Other Information</w:t>
              </w:r>
            </w:hyperlink>
          </w:p>
        </w:tc>
        <w:tc>
          <w:tcPr>
            <w:tcW w:w="700" w:type="dxa"/>
            <w:vAlign w:val="bottom"/>
          </w:tcPr>
          <w:p>
            <w:pPr>
              <w:spacing w:after="0"/>
              <w:rPr>
                <w:sz w:val="24"/>
                <w:szCs w:val="24"/>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Item 1A. Risk Factors</w:t>
              </w:r>
            </w:hyperlink>
          </w:p>
        </w:tc>
        <w:tc>
          <w:tcPr>
            <w:tcW w:w="460" w:type="dxa"/>
            <w:vAlign w:val="bottom"/>
            <w:tcBorders>
              <w:top w:val="single" w:sz="8" w:color="0000EE"/>
            </w:tcBorders>
          </w:tcPr>
          <w:p>
            <w:pPr>
              <w:spacing w:after="0"/>
              <w:rPr>
                <w:sz w:val="24"/>
                <w:szCs w:val="24"/>
                <w:color w:val="auto"/>
              </w:rPr>
            </w:pPr>
          </w:p>
        </w:tc>
        <w:tc>
          <w:tcPr>
            <w:tcW w:w="852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20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6.</w:t>
              </w:r>
            </w:hyperlink>
          </w:p>
        </w:tc>
        <w:tc>
          <w:tcPr>
            <w:tcW w:w="10040" w:type="dxa"/>
            <w:vAlign w:val="bottom"/>
            <w:gridSpan w:val="15"/>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Exhibits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20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Signatures</w:t>
              </w:r>
            </w:hyperlink>
          </w:p>
        </w:tc>
        <w:tc>
          <w:tcPr>
            <w:tcW w:w="942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8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0560" w:type="dxa"/>
            <w:vAlign w:val="bottom"/>
            <w:gridSpan w:val="1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Exhibit Index</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53"/>
        </w:trPr>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gridSpan w:val="2"/>
          </w:tcPr>
          <w:p>
            <w:pPr>
              <w:spacing w:after="0"/>
              <w:rPr>
                <w:sz w:val="24"/>
                <w:szCs w:val="24"/>
                <w:color w:val="auto"/>
              </w:rPr>
            </w:pPr>
          </w:p>
        </w:tc>
        <w:tc>
          <w:tcPr>
            <w:tcW w:w="5380" w:type="dxa"/>
            <w:vAlign w:val="bottom"/>
            <w:gridSpan w:val="9"/>
          </w:tcPr>
          <w:p>
            <w:pPr>
              <w:jc w:val="right"/>
              <w:ind w:right="80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271,665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2014 and December 31, 2013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89,436,933 and 89,246,832 Shares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at September 30, 2014 and December 31, 2013,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668,596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239,372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319,795</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5"/>
              </w:rPr>
              <w:t>271,665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77,355</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92,488</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(90,379)</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(Note 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 (Note 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(86,302</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6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2013</w:t>
            </w:r>
          </w:p>
        </w:tc>
        <w:tc>
          <w:tcPr>
            <w:tcW w:w="100" w:type="dxa"/>
            <w:vAlign w:val="bottom"/>
          </w:tcPr>
          <w:p>
            <w:pPr>
              <w:spacing w:after="0"/>
              <w:rPr>
                <w:sz w:val="12"/>
                <w:szCs w:val="12"/>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(86,258)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Premium of Marketable Securities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on Sales and Maturities of Marketable Securities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or Disposal of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(2,416)</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r>
    </w:tbl>
    <w:p>
      <w:pPr>
        <w:spacing w:after="0" w:line="20" w:lineRule="exact"/>
        <w:rPr>
          <w:sz w:val="20"/>
          <w:szCs w:val="20"/>
          <w:color w:val="auto"/>
        </w:rPr>
      </w:pPr>
    </w:p>
    <w:p>
      <w:pPr>
        <w:sectPr>
          <w:pgSz w:w="11900" w:h="16897"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4,992</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(79,323)</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89,215</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(146,159)</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(1,766)</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or Disposal of Assets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1,160</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Term Loan</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Other Liabilities</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(136,877)</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169,402</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2013, which are included in the Company’s Annual Report on Form 10-K filed with the Securities and Exchange Commission (“SEC”) on March 3, 2014. In the opinion of management, the interim financial statements reflect all normal recurring adjustments necessary to fairly state the Company’s financial position and results of operations for the interim periods presented. The year-end condensed consolidated balance sheet data presented for comparative purposes was derived from audited financial statements, but does not include all disclosures required by U.S. GAAP.</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2014, the Company had cash, cash equivalents and marketable securities of $224.1 million. The Company incurred a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$86.3 million for the nine months ended September 30, 2014. Net cash used in operations for the nine months ended September 30, 2014 was $79.3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cash, cash equivalents and marketable securities at September 30, 2014 will be sufficient to meet estimated working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fund planned operations for at least the next twelve months.</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280" w:firstLine="63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nine months ended September 30, 2014 are consistent with those discussed in Note 2 to the consolidated financial statements in our Annual Report on Form 10-K for the year ended December 31,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ectPr>
          <w:pgSz w:w="11900" w:h="16838" w:orient="portrait"/>
          <w:cols w:equalWidth="0" w:num="1">
            <w:col w:w="11420"/>
          </w:cols>
          <w:pgMar w:left="240" w:top="121" w:right="239" w:bottom="0" w:gutter="0" w:footer="0" w:header="0"/>
        </w:sectPr>
      </w:pPr>
    </w:p>
    <w:bookmarkStart w:id="4" w:name="page5"/>
    <w:bookmarkEnd w:id="4"/>
    <w:p>
      <w:pPr>
        <w:ind w:right="40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5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The updated guidance is effective for annual reporting periods beginning on or after December 15, 2016, and interim periods within those annual periods. Early adoption is not permitted. The Company will further study the implications of this standard in order to evaluate the expected impact on the consolidated financial statements.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7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and Nine</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6,999,421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7,008,421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6,086,377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Comprehensive Loss</w:t>
      </w:r>
    </w:p>
    <w:p>
      <w:pPr>
        <w:spacing w:after="0" w:line="229"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The changes in Accumulated Other Comprehensive Income by component for the three and nine months ended September 30, 2014 are summarized below. No amounts were reclassified out of accumulated other comprehensive income during the three or nine months ended September 30, 2014.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 net of tax</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2,585</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2,586</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subject to fair value measurements: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3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27,995</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27,995</w:t>
            </w:r>
          </w:p>
        </w:tc>
        <w:tc>
          <w:tcPr>
            <w:tcW w:w="4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191,553</w:t>
            </w:r>
          </w:p>
        </w:tc>
        <w:tc>
          <w:tcPr>
            <w:tcW w:w="3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21" w:right="199" w:bottom="0" w:gutter="0" w:footer="0" w:header="0"/>
        </w:sectPr>
      </w:pPr>
    </w:p>
    <w:p>
      <w:pPr>
        <w:spacing w:after="0" w:line="219" w:lineRule="exact"/>
        <w:rPr>
          <w:sz w:val="20"/>
          <w:szCs w:val="20"/>
          <w:color w:val="auto"/>
        </w:rPr>
      </w:pPr>
    </w:p>
    <w:p>
      <w:pPr>
        <w:ind w:left="4720"/>
        <w:spacing w:after="0"/>
        <w:tabs>
          <w:tab w:leader="none" w:pos="6540" w:val="left"/>
          <w:tab w:leader="none" w:pos="8420" w:val="left"/>
          <w:tab w:leader="none" w:pos="10280" w:val="left"/>
        </w:tabs>
        <w:rPr>
          <w:sz w:val="20"/>
          <w:szCs w:val="20"/>
          <w:color w:val="auto"/>
        </w:rPr>
      </w:pPr>
      <w:r>
        <w:rPr>
          <w:rFonts w:ascii="Times New Roman" w:cs="Times New Roman" w:eastAsia="Times New Roman" w:hAnsi="Times New Roman"/>
          <w:sz w:val="14"/>
          <w:szCs w:val="14"/>
          <w:b w:val="1"/>
          <w:bCs w:val="1"/>
          <w:color w:val="auto"/>
        </w:rPr>
        <w:t>As of</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ectPr>
          <w:pgSz w:w="11900" w:h="16838" w:orient="portrait"/>
          <w:cols w:equalWidth="0" w:num="1">
            <w:col w:w="11460"/>
          </w:cols>
          <w:pgMar w:left="240" w:top="121" w:right="19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148,549</w:t>
            </w:r>
          </w:p>
        </w:tc>
        <w:tc>
          <w:tcPr>
            <w:tcW w:w="6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148,549</w:t>
            </w:r>
          </w:p>
        </w:tc>
        <w:tc>
          <w:tcPr>
            <w:tcW w:w="880" w:type="dxa"/>
            <w:vAlign w:val="bottom"/>
            <w:gridSpan w:val="2"/>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133,581</w:t>
            </w:r>
          </w:p>
        </w:tc>
        <w:tc>
          <w:tcPr>
            <w:tcW w:w="68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133,581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282,130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marketable securities is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40,198</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30,293</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70,491</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92,510</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28,510</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5"/>
              </w:rPr>
              <w:t>121,020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2"/>
              </w:rPr>
              <w:t>191,511</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55,531</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18,234</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2"/>
              </w:rPr>
              <w:t>73,765</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38,973</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20,761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59,734</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133,499</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marketable securities held by the Company were high investment grade and there were no marketable securities that the Company considered to be other-than-temporarily impaired as of September 30, 2014. Marketable securities include $1.2 million and $0.9 million in accrued interest at September 30, 2014 and December 31, 2013,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and goodwill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3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3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Indefinite</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Amgen Amendment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10,688</w:t>
            </w: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Technology</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 years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Indefinite</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IPR&amp;D intangible asset was recorded in connection with the acquisition of CuraGen and relates to the development of glembatumumab vedotin. At the date of acquisition and at September 30, 2014, glembatumumab vedotin had not yet reached technological feasibility nor did it have any alternative future use. Glembatumumab vedotin is in a randomized study for the treatment of triple negative breast cancer.</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performed an annual impairment test of the IPR&amp;D and goodwill assets as of July 1, 2014 and concluded that the IPR&amp;D and goodwill assets were not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ectPr>
          <w:pgSz w:w="11900" w:h="16838" w:orient="portrait"/>
          <w:cols w:equalWidth="0" w:num="1">
            <w:col w:w="11420"/>
          </w:cols>
          <w:pgMar w:left="240" w:top="114" w:right="239" w:bottom="0" w:gutter="0" w:footer="0" w:header="0"/>
        </w:sectPr>
      </w:pPr>
    </w:p>
    <w:bookmarkStart w:id="6" w:name="page7"/>
    <w:bookmarkEnd w:id="6"/>
    <w:p>
      <w:pPr>
        <w:spacing w:after="0" w:line="9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3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related to IPR&amp;D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4,661</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0"/>
        </w:trPr>
        <w:tc>
          <w:tcPr>
            <w:tcW w:w="5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January 2014, 2013, 2012 and 2011, the Company received approval from the New Jersey Economic Development Authority and agreed to sell New Jersey tax benefits worth $1.1 million, $0.8 million, $0.8 million and $0.6 million to an independent third party for $1.0 million, $0.8 million, $0.7 million and $0.5 million, respectively. Under the agreement, the Company must maintain a base of operations in New Jersey for five years or the tax benefits must be paid back on a pro-rata basis based on the number of years completed. During the nine months ended September 30, 2014 and 2013, the Company recorded $0.4 million and $0.2 million to other income related to the sale of these tax benefits, respectively.</w:t>
      </w:r>
    </w:p>
    <w:p>
      <w:pPr>
        <w:spacing w:after="0" w:line="1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will bill Rockefeller quarterly for actual time and direct costs incurred and record those amounts to revenue in the quarter the services are performed. The Company recorded revenue related to the Rockefeller agreement of $0.8 million and $0.9 million during the three months ended September 30, 2014 and 2013 and $1.5 million and $0.9 million during the nine months ended September 30, 2014 and 2013, respectively.</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2014, the Company entered into a clinical trial collaboration with Bristol-Myers Squibb Company (“BMS”) to evaluate the safety, tolerability and preliminary efficacy of varlilumab and nivolumab, BMS’s PD-1 immune checkpoint inhibitor, in a Phase 1/2 study. Under the terms of this clinical trial collaboration, BMS made a one-time payment to the Company of $5.0 million and the companies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antibody and anti-CD27 agonist antibody combination regimens. The clinical trial collaboration provides that the companies will share development costs and that the Company will be responsible for conducting the Phase 1/2 study, which is expected to begin in the fourth quarter of 2014.</w:t>
      </w:r>
    </w:p>
    <w:p>
      <w:pPr>
        <w:spacing w:after="0" w:line="16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$0.3 million and $0.4 million in revenue related to the BMS agreement during the three and nine months ended September 30, 2014,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2013, the Company issued 2,433,608 shares of its common stock under its controlled equity offering sales agreement with Cantor Fitzgerald &amp; Co., as amended, resulting in net proceeds to the Company of $17.1 million, after deducting commission and offering expenses.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2013, the Company issued 13,800,000 shares of its common stock in an underwritten public offering resulting in net proceeds to the Company of $97.0 million, after deducting underwriting fees and offering expenses.</w:t>
      </w:r>
    </w:p>
    <w:p>
      <w:pPr>
        <w:spacing w:after="0" w:line="16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October 2014, the Company entered into an amended and restated supply agreement with Biosyn Corporation. Under the supply agreement, Biosyn will manufacture and supply keyhole limpet hemocyanin (KLH) to the Company for use in connection with the development, manufacture or commercial sale of rindopepimut. In connection with the supply agreement, the Company issued to Biosyn 152,172 shares of its common stock having a value of $2.0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2014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5,770,544</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1,405,350</w:t>
            </w:r>
          </w:p>
        </w:tc>
        <w:tc>
          <w:tcPr>
            <w:tcW w:w="30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13.65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(167,303)</w:t>
            </w:r>
          </w:p>
        </w:tc>
        <w:tc>
          <w:tcPr>
            <w:tcW w:w="94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6.04</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(9,170)</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10.70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6,999,421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September 30, 2014</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9.28</w:t>
            </w:r>
          </w:p>
        </w:tc>
        <w:tc>
          <w:tcPr>
            <w:tcW w:w="1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line="20" w:lineRule="exact"/>
              <w:rPr>
                <w:sz w:val="1"/>
                <w:szCs w:val="1"/>
                <w:color w:val="auto"/>
              </w:rPr>
            </w:pPr>
          </w:p>
        </w:tc>
      </w:tr>
      <w:tr>
        <w:trPr>
          <w:trHeight w:val="188"/>
        </w:trPr>
        <w:tc>
          <w:tcPr>
            <w:tcW w:w="66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29" w:orient="portrait"/>
          <w:cols w:equalWidth="0" w:num="1">
            <w:col w:w="11420"/>
          </w:cols>
          <w:pgMar w:left="240" w:top="337"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6,937,665</w:t>
            </w:r>
          </w:p>
        </w:tc>
        <w:tc>
          <w:tcPr>
            <w:tcW w:w="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September 30, 2014</w:t>
            </w:r>
          </w:p>
        </w:tc>
        <w:tc>
          <w:tcPr>
            <w:tcW w:w="2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3,878,159</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6.92</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2008 Plan</w:t>
            </w:r>
          </w:p>
        </w:tc>
        <w:tc>
          <w:tcPr>
            <w:tcW w:w="2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694,762</w:t>
            </w:r>
          </w:p>
        </w:tc>
        <w:tc>
          <w:tcPr>
            <w:tcW w:w="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nine months ended September 30, 2014 was $8.81 per share. Stock-based compensation expense for the three and nine months ended September 30, 2014 and 2013 was recorded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977</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1,326</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981</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and director stock options granted during the three and nine months ended September 30, 2014 and 2013 were valued using the Black-Scholes option-pricing model with the following assumptions: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32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71 - 72%</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 years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 years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 years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2.1 - 2.2%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1.9 - 2.0%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2.1 - 2.2%</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1.2 - 2.0%</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Massachusetts, New Jersey and Connecticut are the three states in which the Company primarily operates or has operated and has income tax nexus.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under examination by any jurisdictions for any tax year.</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2014 and December 31, 2013 against the Company’s net deferred tax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report on Form 10-Q contains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980" w:right="60" w:hanging="324"/>
        <w:spacing w:after="0" w:line="266"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animal, preclinical and clinical studies, and, if we obtain regulatory approval, commercialization of rindopepimut (also referred to as CDX-110), glembatumumab vedotin (also referred to as CDX-011), and other drug candidates and the growth of the markets for those drug candidates;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 including ACT IV and ReACT for rindopepimut and METRIC for glembatumumab vedotin;</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safety and efficacy trials of rindopepimut, glembatumumab vedotin, and other preclinical and clinical testing;</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complete the development and, if we obtain regulatory approval, to commercialize rindopepimut in North America ourselves;</w:t>
      </w:r>
    </w:p>
    <w:p>
      <w:pPr>
        <w:sectPr>
          <w:pgSz w:w="11900" w:h="16838" w:orient="portrait"/>
          <w:cols w:equalWidth="0" w:num="1">
            <w:col w:w="11420"/>
          </w:cols>
          <w:pgMar w:left="240" w:top="121" w:right="239" w:bottom="0" w:gutter="0" w:footer="0" w:header="0"/>
        </w:sectPr>
      </w:pPr>
    </w:p>
    <w:bookmarkStart w:id="8" w:name="page9"/>
    <w:bookmarkEnd w:id="8"/>
    <w:p>
      <w:pPr>
        <w:ind w:left="980" w:right="18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programs, which may include rindopepimut outside of North America, glembatumumab vedotin and varlilumab (also referred to as CDX-1127);</w:t>
      </w:r>
    </w:p>
    <w:p>
      <w:pPr>
        <w:spacing w:after="0" w:line="161" w:lineRule="exact"/>
        <w:rPr>
          <w:rFonts w:ascii="Times New Roman" w:cs="Times New Roman" w:eastAsia="Times New Roman" w:hAnsi="Times New Roman"/>
          <w:sz w:val="18"/>
          <w:szCs w:val="18"/>
          <w:color w:val="auto"/>
        </w:rPr>
      </w:pPr>
    </w:p>
    <w:p>
      <w:pPr>
        <w:ind w:left="980" w:right="80" w:hanging="324"/>
        <w:spacing w:after="0" w:line="313" w:lineRule="auto"/>
        <w:tabs>
          <w:tab w:leader="none" w:pos="9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38" w:lineRule="exact"/>
        <w:rPr>
          <w:rFonts w:ascii="Times New Roman" w:cs="Times New Roman" w:eastAsia="Times New Roman" w:hAnsi="Times New Roman"/>
          <w:sz w:val="17"/>
          <w:szCs w:val="17"/>
          <w:color w:val="auto"/>
        </w:rPr>
      </w:pPr>
    </w:p>
    <w:p>
      <w:pPr>
        <w:ind w:left="980" w:right="92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proprietary antibody-targeted technology, or APC Targeting Technology™, to develop new, safe and effective therapeutics for oncology and infectious disease indications;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380" w:hanging="324"/>
        <w:spacing w:after="0" w:line="266"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including the ability to successfully defend patent oppositions filed against an European patent related to technology we use in varlilumab, and our ability to avoid intellectual property litigation, which can be costly and divert management time and attention; and</w:t>
      </w:r>
    </w:p>
    <w:p>
      <w:pPr>
        <w:spacing w:after="0" w:line="176"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the headings “Business,” “Risk Factors” and Management’s Discussion and Analysis of Financial Condition and Results of Operations” in the Company’s annual report on Form 10-K for the year ended December 31, 2013 and other reports that we file with the Securities and Exchange Commission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study for the treatment of triple negative breast cancer designed to obtain accelerated approval. We also have a number of earlier stage drug candidates in clinical development, including varlilumab (also referred to as CDX-1127), a fully human therapeutic monoclonal antibody for cancer indications, CDX-301, an immune cell mobilizing agent and dendritic cell growth factor and CDX-1401, a targeted immunotherapeutic aimed at antigen presenting cells, or APC, for cancer indications. Our drug candidates address market opportunities for which we believe current therapies are inadequate or non-existent.</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programs that we currently believe are significant to our business: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562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60" w:type="dxa"/>
            <w:vAlign w:val="bottom"/>
          </w:tcPr>
          <w:p>
            <w:pPr>
              <w:spacing w:after="0"/>
              <w:rPr>
                <w:sz w:val="15"/>
                <w:szCs w:val="15"/>
                <w:color w:val="auto"/>
              </w:rPr>
            </w:pP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40" w:type="dxa"/>
            <w:vAlign w:val="bottom"/>
          </w:tcPr>
          <w:p>
            <w:pPr>
              <w:spacing w:after="0"/>
              <w:rPr>
                <w:sz w:val="15"/>
                <w:szCs w:val="15"/>
                <w:color w:val="auto"/>
              </w:rPr>
            </w:pPr>
          </w:p>
        </w:tc>
      </w:tr>
      <w:tr>
        <w:trPr>
          <w:trHeight w:val="210"/>
        </w:trPr>
        <w:tc>
          <w:tcPr>
            <w:tcW w:w="2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w:t>
            </w:r>
          </w:p>
        </w:tc>
        <w:tc>
          <w:tcPr>
            <w:tcW w:w="28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Rindopepimut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Front-line glioblastoma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3</w:t>
            </w:r>
          </w:p>
        </w:tc>
        <w:tc>
          <w:tcPr>
            <w:tcW w:w="40" w:type="dxa"/>
            <w:vAlign w:val="bottom"/>
          </w:tcPr>
          <w:p>
            <w:pPr>
              <w:spacing w:after="0"/>
              <w:rPr>
                <w:sz w:val="18"/>
                <w:szCs w:val="18"/>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Metastatic breast cancer and melanoma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2b</w:t>
            </w:r>
          </w:p>
        </w:tc>
        <w:tc>
          <w:tcPr>
            <w:tcW w:w="40" w:type="dxa"/>
            <w:vAlign w:val="bottom"/>
          </w:tcPr>
          <w:p>
            <w:pPr>
              <w:spacing w:after="0"/>
              <w:rPr>
                <w:sz w:val="18"/>
                <w:szCs w:val="18"/>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Rindopepimut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Recurrent glioblastoma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2</w:t>
            </w:r>
          </w:p>
        </w:tc>
        <w:tc>
          <w:tcPr>
            <w:tcW w:w="40" w:type="dxa"/>
            <w:vAlign w:val="bottom"/>
          </w:tcPr>
          <w:p>
            <w:pPr>
              <w:spacing w:after="0"/>
              <w:rPr>
                <w:sz w:val="18"/>
                <w:szCs w:val="18"/>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Lymphoma/leukemia and solid tumors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1</w:t>
            </w:r>
          </w:p>
        </w:tc>
        <w:tc>
          <w:tcPr>
            <w:tcW w:w="40" w:type="dxa"/>
            <w:vAlign w:val="bottom"/>
          </w:tcPr>
          <w:p>
            <w:pPr>
              <w:spacing w:after="0"/>
              <w:rPr>
                <w:sz w:val="18"/>
                <w:szCs w:val="18"/>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solid tumors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1</w:t>
            </w:r>
          </w:p>
        </w:tc>
        <w:tc>
          <w:tcPr>
            <w:tcW w:w="40" w:type="dxa"/>
            <w:vAlign w:val="bottom"/>
          </w:tcPr>
          <w:p>
            <w:pPr>
              <w:spacing w:after="0"/>
              <w:rPr>
                <w:sz w:val="18"/>
                <w:szCs w:val="18"/>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Allogeneic Hematopoietic Stem Cell Transplantation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Pilot</w:t>
            </w:r>
          </w:p>
        </w:tc>
        <w:tc>
          <w:tcPr>
            <w:tcW w:w="40" w:type="dxa"/>
            <w:vAlign w:val="bottom"/>
          </w:tcPr>
          <w:p>
            <w:pPr>
              <w:spacing w:after="0"/>
              <w:rPr>
                <w:sz w:val="18"/>
                <w:szCs w:val="18"/>
                <w:color w:val="auto"/>
              </w:rPr>
            </w:pPr>
          </w:p>
        </w:tc>
      </w:tr>
      <w:tr>
        <w:trPr>
          <w:trHeight w:val="21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Ovarian and renal cancer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Preclinical</w:t>
            </w:r>
          </w:p>
        </w:tc>
        <w:tc>
          <w:tcPr>
            <w:tcW w:w="40" w:type="dxa"/>
            <w:vAlign w:val="bottom"/>
          </w:tcPr>
          <w:p>
            <w:pPr>
              <w:spacing w:after="0"/>
              <w:rPr>
                <w:sz w:val="18"/>
                <w:szCs w:val="18"/>
                <w:color w:val="auto"/>
              </w:rPr>
            </w:pPr>
          </w:p>
        </w:tc>
      </w:tr>
      <w:tr>
        <w:trPr>
          <w:trHeight w:val="432"/>
        </w:trPr>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gridSpan w:val="2"/>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02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-370205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years or more, and the length of time generally varies substantially according to the type, complexity, novelty and intended use of a product candidate.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unusual for the clinical development of these types of product candidates to each take five years or more, and for total development costs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million for each product candidate. We estimate that clinical trials of the type we generally conduct are typically completed over the following timelines: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Completion</w:t>
            </w:r>
          </w:p>
        </w:tc>
        <w:tc>
          <w:tcPr>
            <w:tcW w:w="0" w:type="dxa"/>
            <w:vAlign w:val="bottom"/>
          </w:tcPr>
          <w:p>
            <w:pPr>
              <w:spacing w:after="0"/>
              <w:rPr>
                <w:sz w:val="1"/>
                <w:szCs w:val="1"/>
                <w:color w:val="auto"/>
              </w:rPr>
            </w:pPr>
          </w:p>
        </w:tc>
      </w:tr>
      <w:tr>
        <w:trPr>
          <w:trHeight w:val="173"/>
        </w:trPr>
        <w:tc>
          <w:tcPr>
            <w:tcW w:w="9940" w:type="dxa"/>
            <w:vAlign w:val="bottom"/>
            <w:gridSpan w:val="2"/>
            <w:vMerge w:val="continue"/>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1 - 5 Years</w:t>
            </w: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1 - 5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past five years through December 31, 2013, we incurred an aggregate of $201.1 million in research and development expenses. The following table indicates the amount incurred for each of our significant research programs and for other identified research and development activities during the nine months ended September 30, 2014 and 2013. The amounts disclosed in the following table reflect direct research and development costs, license fees associated with the underlying technology and an allocation of indirect research and development costs to each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12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Rindopepimut</w:t>
            </w:r>
          </w:p>
        </w:tc>
        <w:tc>
          <w:tcPr>
            <w:tcW w:w="4000" w:type="dxa"/>
            <w:vAlign w:val="bottom"/>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39,846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28,144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20,948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7,695</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6,721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5,267</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77,355</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ectPr>
          <w:pgSz w:w="11900" w:h="16838" w:orient="portrait"/>
          <w:cols w:equalWidth="0" w:num="1">
            <w:col w:w="11420"/>
          </w:cols>
          <w:pgMar w:left="240" w:top="121" w:right="2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Rindopepimut</w:t>
      </w:r>
    </w:p>
    <w:p>
      <w:pPr>
        <w:spacing w:after="0" w:line="227"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w:t>
      </w:r>
    </w:p>
    <w:p>
      <w:pPr>
        <w:spacing w:after="0" w:line="17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2 Frontline Long-term Overall Survival Assessments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Median, Years</w:t>
            </w:r>
          </w:p>
        </w:tc>
        <w:tc>
          <w:tcPr>
            <w:tcW w:w="8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2-year</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3-year</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4-year</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5-year</w:t>
            </w:r>
          </w:p>
        </w:tc>
      </w:tr>
      <w:tr>
        <w:trPr>
          <w:trHeight w:val="173"/>
        </w:trPr>
        <w:tc>
          <w:tcPr>
            <w:tcW w:w="42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(95% CI)</w:t>
            </w: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Borders>
              <w:bottom w:val="single" w:sz="8" w:color="CCEEFF"/>
            </w:tcBorders>
          </w:tcPr>
          <w:p>
            <w:pPr>
              <w:spacing w:after="0"/>
              <w:rPr>
                <w:sz w:val="15"/>
                <w:szCs w:val="15"/>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 rindopepimut studies (n=105)</w:t>
            </w:r>
          </w:p>
        </w:tc>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0"/>
              </w:rPr>
              <w:t>2.1 (1.8, 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Matched historical control (n=17)(1)</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 (0.9, 1.7)</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left="660" w:right="20" w:hanging="652"/>
        <w:spacing w:after="0" w:line="284" w:lineRule="auto"/>
        <w:tabs>
          <w:tab w:leader="none" w:pos="66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pooled overall long-term survival results continue to be consistent with the ACT III Phase 2 study (18% for 4-years and 14% for 5-years).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December 2011, we initiated ACT IV, a pivotal, randomized, double-blind, controlled Phase 3 study of rindopepimut in patients with surgically resected, EGFRvIII-positive GBM. Patients are randomized after the completion of surgery and standard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with minimal residual disease post resection and traditional chemo-radiation when compared to treatment with TMZ and a control injection of KLH. KLH is a component of rindopepimut and was selected due to its ability to generate a similar injection site reaction to that observed with rindopepimut. ACT IV is enrolling patients at over 200 centers worldwide and is expected to accrue approximately 700 patients to reach the required 374 patients with minimal residual disease needed for analysis of the primary endpoint, overall survival. All patients, including patients with disease that exceed this threshold will be included in the analysis of secondary endpoints including progression-free survival, safety and tolerability, neurologic status and quality of life. In October 2014 target enrollment (n=700) was reached. Given the lack of treatment options for patients with GBM, additional patients with the EGFRvIII mutation remaining in screening will be allowed to enroll into the study before enrollment is formally completed by year end 2014. Interim analyses will be conducted by an independent Data Safety and Monitoring Board at 50% and 75% of events (deaths). The first interim is expected in the mid-2015 and will provide insight into the event rate to inform estimates regarding timing for the second interim and final data read out.</w:t>
      </w:r>
    </w:p>
    <w:p>
      <w:pPr>
        <w:spacing w:after="0" w:line="19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December 2011, we also initiated ReACT, a Phase 2 study of rindopepimut in combination with Avastin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patients with recurrent EGFRvIII-positive GBM. ReACT was initially planned to enroll approximately 95 patients in a first or second relapse of GBM following receipt of standard therapy at approximately 25 sites across the United States. In August 2013, we announced the addition of an expansion cohort of approximately 75 patients (Group 2C)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(Group 1)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or ORR, overall survival and safety and tolerability.</w:t>
      </w:r>
    </w:p>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November 2013, we reported interim data from our ongoing Phase 2 ReACT study. Rindopepimut plus Avastin was very well tolerated (dosing up to 13+ months) and the results demonstrated promising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strong survival trend has also been seen to date versus the control group (see chart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ReACT Overall Survival and Progression-free Survival in Avastin-Naïve Recurrent GBM</w:t>
      </w:r>
    </w:p>
    <w:p>
      <w:pPr>
        <w:spacing w:after="0" w:line="210" w:lineRule="exact"/>
        <w:rPr>
          <w:sz w:val="20"/>
          <w:szCs w:val="20"/>
          <w:color w:val="auto"/>
        </w:rPr>
      </w:pPr>
    </w:p>
    <w:tbl>
      <w:tblPr>
        <w:tblLayout w:type="fixed"/>
        <w:tblInd w:w="4560" w:type="dxa"/>
        <w:tblCellMar>
          <w:top w:w="0" w:type="dxa"/>
          <w:left w:w="0" w:type="dxa"/>
          <w:bottom w:w="0" w:type="dxa"/>
          <w:right w:w="0" w:type="dxa"/>
        </w:tblCellMar>
      </w:tblPr>
      <w:tr>
        <w:trPr>
          <w:trHeight w:val="161"/>
        </w:trPr>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Rindopepimut &amp;</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Control &amp; Avastin</w:t>
            </w:r>
          </w:p>
        </w:tc>
        <w:tc>
          <w:tcPr>
            <w:tcW w:w="14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Hazard Ratio</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Avastin (n=20)</w:t>
            </w:r>
          </w:p>
        </w:tc>
        <w:tc>
          <w:tcPr>
            <w:tcW w:w="2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(n=20)</w:t>
            </w:r>
          </w:p>
        </w:tc>
        <w:tc>
          <w:tcPr>
            <w:tcW w:w="3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5" w:right="239" w:bottom="0" w:gutter="0" w:footer="0" w:header="0"/>
        </w:sectPr>
      </w:pPr>
    </w:p>
    <w:bookmarkStart w:id="11" w:name="page12"/>
    <w:bookmarkEnd w:id="1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Overall survival</w:t>
            </w: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12.0 months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 months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0.43 (0.13, 1.44)</w:t>
            </w:r>
          </w:p>
        </w:tc>
      </w:tr>
      <w:tr>
        <w:trPr>
          <w:trHeight w:val="216"/>
        </w:trPr>
        <w:tc>
          <w:tcPr>
            <w:tcW w:w="2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p=0.16</w:t>
            </w:r>
          </w:p>
        </w:tc>
        <w:tc>
          <w:tcPr>
            <w:tcW w:w="182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Progression-free survival</w:t>
            </w: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 months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months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0.74 (0.34, 1.61)</w:t>
            </w:r>
          </w:p>
        </w:tc>
      </w:tr>
      <w:tr>
        <w:trPr>
          <w:trHeight w:val="216"/>
        </w:trPr>
        <w:tc>
          <w:tcPr>
            <w:tcW w:w="2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P=0.47</w:t>
            </w:r>
          </w:p>
        </w:tc>
        <w:tc>
          <w:tcPr>
            <w:tcW w:w="18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Avastin-refractory patients treated with both rindopepimut and Avastin, a median progression-free survival, or PFS, of 1.9 months and an overall survival, or OS, of 5.6 months was observed. The median overall survival of 5.6 months is noteworthy in these heavily pre-treated, refractory EGFRvIII-positive patients. A review of the literature assessing survival in recurrent patients who are Avastin-experienced across eight independent studies suggests a weighted-average survival of 3.6 months (range of 2.6 to 5.8 months) in all-comers. It is important to note that these eight studies do not necessarily meet the strict definition of refractory applied in the ReACT study and that these studies included EGFRvIII-negative patients who tend to perform better. Progression-free survival results in this refractory population may be more consistent with the profile of an immunotherapy candidate where progression-free survival does not always correlate directly with an overall survival benefit.</w:t>
      </w:r>
    </w:p>
    <w:p>
      <w:pPr>
        <w:spacing w:after="0" w:line="18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Enrollment to Group 1 (Avastin-naïve patients) and enrollment of the first 23 patients in Group 2C (Avastin-refractory patients) is complete. Group 2C is designed as a two-stage cohort; evidence of anti-tumor activity in the first 23 patients will trigger full completion of enrollment to this arm of the study. Updated data from the study will be presented at the 19th Annual Scientific Meeting and Education Day of the Society for Neuro-Oncology in November of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Glembatumumab Vedotin</w:t>
      </w:r>
    </w:p>
    <w:p>
      <w:pPr>
        <w:spacing w:after="0" w:line="22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In September 2014, a U.S. patent covering the composition of matter of the CR011 antibody used in glembatumumab vedotin was issued. The ADC technology, comprised of MMAE and a stable linker system for attaching it to CR011, was licensed from Seattle Genetics, Inc. and is the same as that used in the marketed product Adcetris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Treatment of Breast Cancer: </w:t>
      </w:r>
      <w:r>
        <w:rPr>
          <w:rFonts w:ascii="Times New Roman" w:cs="Times New Roman" w:eastAsia="Times New Roman" w:hAnsi="Times New Roman"/>
          <w:sz w:val="18"/>
          <w:szCs w:val="18"/>
          <w:color w:val="auto"/>
        </w:rPr>
        <w:t>The Phase 1/2 study of glembatumumab vedotin administered intravenously once every three weeks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8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EMERGE: Overall Response Rate and Disease Control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280" w:type="dxa"/>
            <w:vAlign w:val="bottom"/>
            <w:gridSpan w:val="4"/>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gpNMB Over-Expression</w:t>
            </w:r>
          </w:p>
        </w:tc>
        <w:tc>
          <w:tcPr>
            <w:tcW w:w="31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Triple Negative and</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3280" w:type="dxa"/>
            <w:vAlign w:val="bottom"/>
            <w:gridSpan w:val="4"/>
            <w:vMerge w:val="continue"/>
          </w:tcPr>
          <w:p>
            <w:pPr>
              <w:spacing w:after="0"/>
              <w:rPr>
                <w:sz w:val="15"/>
                <w:szCs w:val="15"/>
                <w:color w:val="auto"/>
              </w:rPr>
            </w:pPr>
          </w:p>
        </w:tc>
        <w:tc>
          <w:tcPr>
            <w:tcW w:w="31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gpNMB Over-Expression</w:t>
            </w: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28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(n=25)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(n=8)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(n=12)</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Response</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356" w:right="239" w:bottom="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EMERGE: Progression Free Survival (PFS) and Overall Survival (OS) Data</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gpNMB</w:t>
            </w:r>
          </w:p>
        </w:tc>
        <w:tc>
          <w:tcPr>
            <w:tcW w:w="31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Triple Negative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1920" w:type="dxa"/>
            <w:vAlign w:val="bottom"/>
            <w:gridSpan w:val="3"/>
          </w:tcPr>
          <w:p>
            <w:pPr>
              <w:jc w:val="center"/>
              <w:ind w:left="1001"/>
              <w:spacing w:after="0" w:line="149" w:lineRule="exact"/>
              <w:rPr>
                <w:sz w:val="20"/>
                <w:szCs w:val="20"/>
                <w:color w:val="auto"/>
              </w:rPr>
            </w:pPr>
            <w:r>
              <w:rPr>
                <w:rFonts w:ascii="Times New Roman" w:cs="Times New Roman" w:eastAsia="Times New Roman" w:hAnsi="Times New Roman"/>
                <w:sz w:val="14"/>
                <w:szCs w:val="14"/>
                <w:b w:val="1"/>
                <w:bCs w:val="1"/>
                <w:color w:val="auto"/>
              </w:rPr>
              <w:t>and gpNMB</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31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Borders>
              <w:top w:val="single" w:sz="8" w:color="auto"/>
            </w:tcBorders>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28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100" w:type="dxa"/>
            <w:vAlign w:val="bottom"/>
            <w:tcBorders>
              <w:top w:val="single" w:sz="8" w:color="auto"/>
            </w:tcBorders>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vedotin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9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PFS (months)</w:t>
            </w:r>
          </w:p>
        </w:tc>
        <w:tc>
          <w:tcPr>
            <w:tcW w:w="15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gridSpan w:val="3"/>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7"/>
              </w:rPr>
              <w:t>1.5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p=0.14</w:t>
            </w:r>
          </w:p>
        </w:tc>
        <w:tc>
          <w:tcPr>
            <w:tcW w:w="1920" w:type="dxa"/>
            <w:vAlign w:val="bottom"/>
            <w:gridSpan w:val="3"/>
            <w:shd w:val="clear" w:color="auto" w:fill="CCEEFF"/>
          </w:tcPr>
          <w:p>
            <w:pPr>
              <w:jc w:val="center"/>
              <w:ind w:left="1001"/>
              <w:spacing w:after="0"/>
              <w:rPr>
                <w:sz w:val="20"/>
                <w:szCs w:val="20"/>
                <w:color w:val="auto"/>
              </w:rPr>
            </w:pPr>
            <w:r>
              <w:rPr>
                <w:rFonts w:ascii="Times New Roman" w:cs="Times New Roman" w:eastAsia="Times New Roman" w:hAnsi="Times New Roman"/>
                <w:sz w:val="18"/>
                <w:szCs w:val="18"/>
                <w:color w:val="auto"/>
              </w:rPr>
              <w:t>p=0.008</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OS (months)</w:t>
            </w:r>
          </w:p>
        </w:tc>
        <w:tc>
          <w:tcPr>
            <w:tcW w:w="1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800" w:type="dxa"/>
            <w:vAlign w:val="bottom"/>
            <w:gridSpan w:val="3"/>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7"/>
              </w:rPr>
              <w:t>5.7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p=0.18</w:t>
            </w:r>
          </w:p>
        </w:tc>
        <w:tc>
          <w:tcPr>
            <w:tcW w:w="1920" w:type="dxa"/>
            <w:vAlign w:val="bottom"/>
            <w:gridSpan w:val="3"/>
            <w:shd w:val="clear" w:color="auto" w:fill="CCEEFF"/>
          </w:tcPr>
          <w:p>
            <w:pPr>
              <w:jc w:val="center"/>
              <w:ind w:left="1001"/>
              <w:spacing w:after="0"/>
              <w:rPr>
                <w:sz w:val="20"/>
                <w:szCs w:val="20"/>
                <w:color w:val="auto"/>
              </w:rPr>
            </w:pPr>
            <w:r>
              <w:rPr>
                <w:rFonts w:ascii="Times New Roman" w:cs="Times New Roman" w:eastAsia="Times New Roman" w:hAnsi="Times New Roman"/>
                <w:sz w:val="18"/>
                <w:szCs w:val="18"/>
                <w:color w:val="auto"/>
              </w:rPr>
              <w:t>p=0.003</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3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December 2013, we initiated METRIC, a randomized, controlled study of glembatumumab vedotin in patients with triple negative breast cancer that over-express gpNMB in the United States, Canada and Australia. The study was originally designed to obtain accelerated approval. Feedback from clinical investigators conducting the study indicated that the eligibility criteria for study entry were limiting their ability to enroll patients they felt were clinically appropriate on study. In addition, we have spoken to country-specific members of the European Medicines Agency, or EMA, and believe a significant opportunity exists to expand the study into the EU. Based on these factors, we have amended the METRIC study and expanded patient entry criteria to position it for full marketing approval with global regulators, including the EMA, and to support improved enrollment in the study. The primary endpoint will be PFS as PFS is an established endpoint for full approval registration studies in this patient population in both the US and the EU. The sample size (n=300) and the secondary endpoint of OS remain unchanged. The Company is implementing these changes in parallel to regulatory discussions to maintain momentum at open clinical trial sites. Based on current projections, we believe enrollment will likely extend into 2016.</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Treatment of Metastatic Melanoma: </w:t>
      </w:r>
      <w:r>
        <w:rPr>
          <w:rFonts w:ascii="Times New Roman" w:cs="Times New Roman" w:eastAsia="Times New Roman" w:hAnsi="Times New Roman"/>
          <w:sz w:val="18"/>
          <w:szCs w:val="18"/>
          <w:color w:val="auto"/>
        </w:rPr>
        <w:t>The Phase 1/2 open-label, multi-center, dose escalation study evaluated the safety, tolerability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exploring conducting additional clinical studies in indications known to express gpNMB. A Phase 2 study in metastatic melanoma is expected to be initiated in the fourth quarter of 2014. Assay optimization and validation for a Phase 2 study in squamous cell lung cancer is expected to be completed by year-end and the study will commence soon after. We have also entered into a Cooperative Research and Development Agreement, or CRADA, with the National Cancer Institute, or NCI, under which NCI will sponsor two studies of glembatumumab vedotin—one in uveal melanoma and one in pediatric osteosarcoma. We will provide support for these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Varlilumab</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or BMS) for access to the UltiMab technology to develop and commercialize human antibodies to CD27. Our licensed rights from the University of Southampton include issued U.S. and European patents and pending patent applications in Japan and Canada relating to the technology used in varlilumab. If and where issued and maintained to full term in due course, these would have estimated patent expiry dates in 2027. We have filed further patent applications in the U.S. and major international territories which, if issued and maintained to full term in due course, would have estimated patent expiry dates in 2031.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oppositions were filed against a University of Southampton European patent. We will defend the European patent vigorously in cooperation with the University of Southampton.</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Both mechanisms have been seen even at low doses in appropriate preclinical models.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An expansion cohort has also been added at 0.3mg/kg dosed once every three weeks in patients with Hodgkin Lymphoma (n=15).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ectPr>
          <w:pgSz w:w="11900" w:h="16838" w:orient="portrait"/>
          <w:cols w:equalWidth="0" w:num="1">
            <w:col w:w="11380"/>
          </w:cols>
          <w:pgMar w:left="240" w:top="333" w:right="279" w:bottom="0" w:gutter="0" w:footer="0" w:header="0"/>
        </w:sectPr>
      </w:pPr>
    </w:p>
    <w:bookmarkStart w:id="13" w:name="page14"/>
    <w:bookmarkEnd w:id="13"/>
    <w:p>
      <w:pPr>
        <w:ind w:firstLine="648"/>
        <w:spacing w:after="0" w:line="253" w:lineRule="auto"/>
        <w:rPr>
          <w:sz w:val="20"/>
          <w:szCs w:val="20"/>
          <w:color w:val="auto"/>
        </w:rPr>
      </w:pPr>
      <w:r>
        <w:rPr>
          <w:rFonts w:ascii="Times New Roman" w:cs="Times New Roman" w:eastAsia="Times New Roman" w:hAnsi="Times New Roman"/>
          <w:sz w:val="18"/>
          <w:szCs w:val="18"/>
          <w:color w:val="auto"/>
        </w:rPr>
        <w:t>We presented data from this Phase 1 study in June 2014. Varlilumab was very well tolerated and induced immunologic activity in patients that is consistent with both its mechanism of action and preclinical models. In the lymphoid malignancies dose escalation arm (n=24) two patients were continuing treatment and had not yet been evaluated for response. A heavily pre-treated patient with aggressive Hodgkin lymphoma had achieved a complete response. She continued in remission at 12.9+ months. Six additional patients with Hodgkin lymphoma had been enrolled, with one patient awaiting initial response evaluation. Three additional patients with non-Hodgkin lymphoma had experienced stable disease with a PFS range of 4.5 to 14 months. One of these patients experienced significant tumor shrinkage (36%). All patients had completed treatment in the solid tumor dose escalation arm (n=25). Four patients experienced stable disease (SD) with a PFS range of 3.0 to 22.4+ months. In the melanoma cohort, three patients had ongoing SD with a PFS range of 2.7+ to 11.5+ months, including a uveal melanoma patient with 12% shrinkage of measurable disease. In the renal cell carcinoma expansion cohort, one patient achieved a partial response at 2.7+ months. Additionally, three patients had SD with a duration of 2.8+ to 8.4+ months. Five patients continued on treatment, one of whom had not yet been seen for the first assessment of response. Based on these data, we intend to initiate new studies of varlilumab in combination with various agents.</w:t>
      </w:r>
    </w:p>
    <w:p>
      <w:pPr>
        <w:spacing w:after="0" w:line="19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May 2014, we entered into a clinical trial collaboration with BMS to evaluate the safety, tolerability and preliminary efficacy of varlilumab and nivolumab, BMS’s PD-1 immune checkpoint inhibitor, in a Phase 1/2 study. Multiple tumor types will be explored in the study, which could potentially include non-small cell lung cancer (NSCLC), metastatic melanoma, ovarian, colorectal (CRC) and squamous cell head and neck cancers. The Phase 1/2 study is expected to begin in the fourth quarter of 2014.</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Multiple efforts are underway to finalize designs and plans for additional Phase 2 studies of varlilumab and we will provide updates on these studies as they are initiated, included but not limited to: a Phase 1/2 study of varlilumab and ipilumumab in patients with metastatic melanoma (plus CDX-1401 in NY-ESO positive patients); a Phase 1/2 of varlilumab plus sunitinib in renal cell carcinoma; and a Phase 1/2 study of varlilumab plus a mek pathway agent (followed sequentially by a checkpoint inhibitor) for patients with B-raf mutated metastatic melanoma.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CDX-1401</w:t>
      </w:r>
    </w:p>
    <w:p>
      <w:pPr>
        <w:spacing w:after="0" w:line="227"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 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Phase 1 study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8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Phase 1 study has identified a well-tolerated and immunogenic regimen to take forward into future studies. Celldex is providing support for a collaborative Phase 2 study of CDX-1401 in combination with CDX-301 in metastatic melanoma. This study is being conducted by the Cancer Immunotherapy Trials Network under a CRADA with the Cancer Therapy Evaluation Program of the NCI and is ongoing.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8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ectPr>
          <w:pgSz w:w="11900" w:h="16838" w:orient="portrait"/>
          <w:cols w:equalWidth="0" w:num="1">
            <w:col w:w="11420"/>
          </w:cols>
          <w:pgMar w:left="240" w:top="337" w:right="2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CDX-014</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CDX-014 is a fully-human monoclonal ADC that targets TIM-1, a molecule that is upregulated in several cancers, including renal cell and ovarian carcinomas. It is associated with kidney injury and the shedding of its ectodomain is a predictive biomarker for tumor progression. TIM-1 has very restricted expression in healthy tissues, making it a promising target for antibody mediated therapy. The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have established preclinical proof-of-concept and are completing manufacturing and IND-enabling studies to support the initiation of Phase 1 clinical studies in renal cell carcinoma and potentially other TIM-1 expressing tumors in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Note 2 to our consolidated financial statements included in our Annual Report on Form 10-K for the year ended December 31, 2013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2014 compared with Three Months Ended September 30,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170"/>
        </w:trPr>
        <w:tc>
          <w:tcPr>
            <w:tcW w:w="45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Operating Expense:</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26,185</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5,768</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1,426</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3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$4.9 million increase in net loss for the three months ended September 30, 2014 compared to the three months ended September 30, 2013 was primarily the result of an increase in research and development and general and administrative expenses, partially offset by an increase in investment and other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$0.2 million increase in product development and licensing agreements revenue for the three months ended September 30, 2014 compared to the three months ended September 30, 2013 was primarily related to our BMS agreement. In May 2014, we entered into a clinical trial collaboration with BMS whereby BMS made a one-time payment to us of $5.0 million which we are recognizing as revenue over our estimated performance period of five years. The $0.1 million decrease in contracts and grants revenue for the three months ended September 30, 2014 compared to the three months ended September 30, 2013 was primarily related to the timing of our research and development services for Rockefeller University pursuant to our Rockefeller agreement. The agreement includes an approved project plan for the development services of $4.8 million and a term of three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8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5,425</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426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856</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w:t>
            </w:r>
          </w:p>
        </w:tc>
        <w:tc>
          <w:tcPr>
            <w:tcW w:w="420" w:type="dxa"/>
            <w:vAlign w:val="bottom"/>
          </w:tcPr>
          <w:p>
            <w:pPr>
              <w:spacing w:after="0"/>
              <w:rPr>
                <w:sz w:val="18"/>
                <w:szCs w:val="18"/>
                <w:color w:val="auto"/>
              </w:rPr>
            </w:pPr>
          </w:p>
        </w:tc>
        <w:tc>
          <w:tcPr>
            <w:tcW w:w="12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1,258</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1,110</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148</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3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tcPr>
          <w:p>
            <w:pPr>
              <w:spacing w:after="0"/>
              <w:rPr>
                <w:sz w:val="18"/>
                <w:szCs w:val="18"/>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16,956</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12,447</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4,509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$0.4 million increase in personnel expenses for the three months ended September 30, 2014 compared to the three months ended September 30, 2013 was primarily due to increased headcount, partially</w:t>
      </w:r>
    </w:p>
    <w:p>
      <w:pPr>
        <w:sectPr>
          <w:pgSz w:w="11900" w:h="16838" w:orient="portrait"/>
          <w:cols w:equalWidth="0" w:num="1">
            <w:col w:w="11420"/>
          </w:cols>
          <w:pgMar w:left="240" w:top="335" w:right="239" w:bottom="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offset by lower stock-based compensation of $0.3 million. We expect personnel expenses to increase over the next twelve months as we plan to continue to increase our headcount, primarily to support our rindopepimut, glembatumumab vedotin and varlilumab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Laboratory supply expenses include laboratory materials and supplies, services, and other related expenses incurred in the development of our technology. The $0.1 million decrease in laboratory supply expense for the three months ended September 30, 2014 compared to the three months ended September 30, 2013 was primarily due to lower manufacturing supply purchases. We expect supply expenses to remain relatively consistent over the next twelve months, although there may be fluctuations on a quarterly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increase in facility expenses for the three months ended September 30, 2014 compared to the three months ended September 30, 2013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an increase in amortization expense related to the leasehold improvements made at our headquarters facility in Hampton, New Jersey.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facility expenses to remain relatively consistent over the next twelve months, although there may be fluctuations on a quarterly basis.</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License fee expenses include annual license maintenance fees and milestone payments due upon the achievement of certain development, regulatory and/or commercial milestones. License fee expenses for the three months ended September 30, 2014 were relatively consistent compared to the three months ended September 30, 2013. We expect license fee expense to remain relatively consistent over the next twelve months.</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$4.5 million increase in product development expenses for the three months ended September 30, 2014 compared to the three months ended September 30, 2013 was primarily the result of an increase in clinical trial costs and contract manufacturing of</w:t>
      </w:r>
    </w:p>
    <w:p>
      <w:pPr>
        <w:spacing w:after="0" w:line="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$3.2 million and $1.4 million, respectively, primarily related to our rindopepimut and glembatumumab vedotin programs. We expect product development expenses to increase over the next twelve months primarily due to the increase in clinical trial and contract manufacturing expenses related to our rindopepimut, glembatumumab vedotin and varlilumab programs, although there may be fluctuations on a quarterly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$1.4 million increase in general and administrative expenses for the three months ended September 30, 2014 compared to the three months ended September 30, 2013 was primarily due to higher stock-based compensation of $0.3 million, increased headcount and rindopepimut and glembatumumab vedotin commercial planning costs. We expect general and administrative expense to increase over the next twelve months primarily due to increased commercial planning efforts for rindopepimut and glembatumumab vedotin,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expenses for the three months ended September 30, 2014 were relatively consistent compared to the three months ended September 30, 2013. We expect amortization expense of acquired intangible assets to remain relatively consistent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$2.1 million increase in investment and other income, net for the three months ended September 30, 2014 compared to the three months ended September 30, 2013 was primarily due to other income of $2.0 million related to a TopoTarget milestone payment. This payment is the last milestone payment we are owed from TopoTarget and was triggered in July 2014 upon the FDA approval of Beleodaq™ (belinostat). We anticipate investment income to remain relatively consistent over the next twelve months, although there may be fluctuations on a quarterly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2014 compared with Nine Months Ended September 30,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1,591</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Royalties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77,355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27,758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14,373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4,245</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92,488</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31,051</w:t>
            </w:r>
          </w:p>
        </w:tc>
        <w:tc>
          <w:tcPr>
            <w:tcW w:w="3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4,121</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3,439</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ectPr>
          <w:pgSz w:w="11900" w:h="16838" w:orient="portrait"/>
          <w:cols w:equalWidth="0" w:num="1">
            <w:col w:w="11420"/>
          </w:cols>
          <w:pgMar w:left="240" w:top="121" w:right="239" w:bottom="0" w:gutter="0" w:footer="0" w:header="0"/>
          <w:type w:val="continuous"/>
        </w:sectPr>
      </w:pPr>
    </w:p>
    <w:bookmarkStart w:id="16" w:name="page17"/>
    <w:bookmarkEnd w:id="16"/>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$26.8 million increase in net loss for the nine months ended September 30, 2014 compared to the nine months ended September 30, 2013 was primarily the result of an increase in research and development and general and administrative expenses, partially offset by an increase in investment and other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80" w:firstLine="648"/>
        <w:spacing w:after="0" w:line="272" w:lineRule="auto"/>
        <w:rPr>
          <w:sz w:val="20"/>
          <w:szCs w:val="20"/>
          <w:color w:val="auto"/>
        </w:rPr>
      </w:pPr>
      <w:r>
        <w:rPr>
          <w:rFonts w:ascii="Times New Roman" w:cs="Times New Roman" w:eastAsia="Times New Roman" w:hAnsi="Times New Roman"/>
          <w:sz w:val="17"/>
          <w:szCs w:val="17"/>
          <w:color w:val="auto"/>
        </w:rPr>
        <w:t>The $0.4 million increase in product development and licensing agreements revenue for the nine months ended September 30, 2014 compared to the nine months ended September 30, 2013 was primarily related to our BMS agreement. The $0.6 million increase in contracts and grants revenue for the nine months ended September 30, 2014 compared to the nine months ended September 30, 2013 was primarily related to our Rockefeller University agreement.</w:t>
      </w:r>
    </w:p>
    <w:p>
      <w:pPr>
        <w:spacing w:after="0" w:line="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The $2.3 million decrease in product royalty revenue for the nine months ended September 30, 2014 compared to the nine months ended September 30, 2013 was due to the termination of our agreement with GlaxoSmithKline plc upon the expiration of the last relevant patent right covered by the agreement. The terminated retained interests in Rotarix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royalties which were not sold to Paul Royalty Fund II, L.P. had been equal to the amount payable to Cincinnati Children’s Hospital Medical Center and recognized as royalty expense by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3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3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14,717</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12,617</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2,100</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2,525</w:t>
            </w:r>
          </w:p>
        </w:tc>
        <w:tc>
          <w:tcPr>
            <w:tcW w:w="6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2,609</w:t>
            </w:r>
          </w:p>
        </w:tc>
        <w:tc>
          <w:tcPr>
            <w:tcW w:w="420" w:type="dxa"/>
            <w:vAlign w:val="bottom"/>
          </w:tcPr>
          <w:p>
            <w:pPr>
              <w:spacing w:after="0"/>
              <w:rPr>
                <w:sz w:val="18"/>
                <w:szCs w:val="18"/>
                <w:color w:val="auto"/>
              </w:rPr>
            </w:pPr>
          </w:p>
        </w:tc>
        <w:tc>
          <w:tcPr>
            <w:tcW w:w="12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(84)</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3,817</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448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2,988</w:t>
            </w:r>
          </w:p>
        </w:tc>
        <w:tc>
          <w:tcPr>
            <w:tcW w:w="6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420" w:type="dxa"/>
            <w:vAlign w:val="bottom"/>
          </w:tcPr>
          <w:p>
            <w:pPr>
              <w:spacing w:after="0"/>
              <w:rPr>
                <w:sz w:val="18"/>
                <w:szCs w:val="18"/>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2,607</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49,979</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28,831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21,148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$2.1 million increase in personnel expenses for the nine months ended September 30, 2014 compared to the nine months ended September 30, 2013 was primarily due to higher headcount.</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$0.1 million decrease in laboratory supply expense for the nine months ended September 30, 2014 compared to the nine months ended September 30, 2013 was primarily due to lower manufacturing supply purchases.</w:t>
      </w:r>
    </w:p>
    <w:p>
      <w:pPr>
        <w:spacing w:after="0" w:line="162"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$0.4 million increase in facility expenses for the nine months ended September 30, 2014 compared to the nine months ended September 30, 2013 was primarily due to an increase in amortization expense related to the leasehold improvements made at our headquarters facility in Hampton, New Jersey.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$2.6 million increase in license fee expenses for the nine months ended September 30, 2014 compared to the nine months ended September 30, 2013 was due to the one-time $2.5 million milestone incurred and paid to Seattle Genetics as a result of the METRIC initiation.</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$21.1 million increase in product development expenses for the nine months ended September 30, 2014 compared to the nine months ended September 30, 2013 was primarily the result of an increase in clinical trial costs and contract manufacturing of $10.9 million and $10.1 million, respectively, primarily related to our rindopepimut and glembatumumab vedotin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Expense</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$2.3 million decrease in royalty expenses for the nine months ended September 30, 2014 compared to the nine months ended September 30, 2013 was due to the termination of our agreement with GlaxoSmithKline plc upon the expiration of the last relevant patent right covered by the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$4.2 million increase in general and administrative expenses for the nine months ended September 30, 2014 compared to the nine months ended September 30, 2013 was primarily due to higher stock-based compensation of $1.2 million, increased headcount and rindopepimut and glembatumumab vedotin commercial planning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right="10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expenses for the nine months ended September 30, 2014 was relatively consistent as compared to the nine months ended September 30, 2013.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$3.4 million increase in investment and other income, net for the nine months ended September 30, 2014 compared to the nine months ended September 30, 2013 was primarily due to $3.0 million in TopoTarget milestone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$0.8 million decrease in interest expense for the nine months ended September 30, 2014 compared to the nine months ended September 30, 2013 was primarily due to our election in May 2013 to prepay the Term Loan in full, pursuant to the terms of our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11420"/>
          </w:cols>
          <w:pgMar w:left="240" w:top="337" w:right="239" w:bottom="0" w:gutter="0" w:footer="0" w:header="0"/>
        </w:sectPr>
      </w:pPr>
    </w:p>
    <w:bookmarkStart w:id="17" w:name="page18"/>
    <w:bookmarkEnd w:id="17"/>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2014, our principal sources of liquidity consisted of cash, cash equivalents and marketable securities of $224.1 million. We incurred a loss of $86.3 million for the nine months ended September 30, 2014. Net cash used in operations for the nine months ended September 30, 2014 was $79.3 million. We believe that the cash, cash equivalents and marketable securities at September 30, 2014 are sufficient to meet estimated working capital requirements and fund planned operations for more than the next two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$79.3 million for the nine months ended September 30, 2014 compared to $52.7 million for the nine months ended September 30, 2013. The increase in net cash used in operating activities was primarily due to an increase in net loss of $26.8 million and changes in working capital. We expect that cash used in operations will continue to increase over the next twelve months primarily related to costs incurred on our rindopepimut, glembatumumab vedotin and varlilumab programs.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$58.7 million for the nine months ended September 30, 2014 compared to $63.6 million for the nine months ended September 30, 2013. The increase in net cash used in investing activities was primarily due to net purchases of marketable securities for the nine months ended September 30, 2014 of $56.9 million as compared to $61.7 million for the nine months ended September 30, 2013.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$1.2 million for the nine months ended September 30, 2014 compared to $106.0 million for the nine months ended September 30, 2013. Net proceeds from stock issuances, including stock issued pursuant to employee benefit plans, were $1.2 million during the nine months ended September 30, 2014 compared to $117.1 million for the nine months ended September 30, 2013. We paid $11.0 million in principal payments on our Term Loan during the nine months ended September 30, 2013.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2013, we issued 2,433,608 shares of our common stock under our controlled equity offering sales agreement with Cantor Fitzgerald &amp; Co., as amended, resulting in net proceeds to us of $17.1 million, after deducting commission and offering expenses.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2013, we issued 13,800,000 shares of our common stock in an underwritten public offering resulting in net proceeds to us of $97.0 million, after deducting underwriting fees and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disclosures relating to our contractual obligations reported in our Annual Report on Form 10-K for the year ended December 31, 2013 which was filed with the SEC on March 3, 2014 have not materially changed since we filed that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18" w:name="page19"/>
    <w:bookmarkEnd w:id="18"/>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5" w:lineRule="exact"/>
        <w:rPr>
          <w:sz w:val="20"/>
          <w:szCs w:val="20"/>
          <w:color w:val="auto"/>
        </w:rPr>
      </w:pPr>
    </w:p>
    <w:p>
      <w:pPr>
        <w:ind w:right="360" w:firstLine="648"/>
        <w:spacing w:after="0" w:line="313" w:lineRule="auto"/>
        <w:rPr>
          <w:sz w:val="20"/>
          <w:szCs w:val="20"/>
          <w:color w:val="auto"/>
        </w:rPr>
      </w:pPr>
      <w:r>
        <w:rPr>
          <w:rFonts w:ascii="Times New Roman" w:cs="Times New Roman" w:eastAsia="Times New Roman" w:hAnsi="Times New Roman"/>
          <w:sz w:val="17"/>
          <w:szCs w:val="17"/>
          <w:color w:val="auto"/>
        </w:rPr>
        <w:t>We do not utilize derivative financial instruments. The carrying amounts reflected in the consolidated balance sheet of cash and cash equivalents, accounts receivables and accounts payable approximates fair value at September 30, 2014 due to the short-term maturities of these instruments.</w:t>
      </w:r>
    </w:p>
    <w:p>
      <w:pPr>
        <w:spacing w:after="0" w:line="13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2014,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2014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2013,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Securities and Exchange Commission on March 3,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3"/>
          </w:tcPr>
          <w:p>
            <w:pPr>
              <w:jc w:val="right"/>
              <w:ind w:right="5548"/>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6"/>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r>
      <w:tr>
        <w:trPr>
          <w:trHeight w:val="385"/>
        </w:trPr>
        <w:tc>
          <w:tcPr>
            <w:tcW w:w="10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180" w:type="dxa"/>
            <w:vAlign w:val="bottom"/>
            <w:gridSpan w:val="2"/>
          </w:tcPr>
          <w:p>
            <w:pPr>
              <w:ind w:left="48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191"/>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6"/>
                <w:szCs w:val="16"/>
                <w:color w:val="auto"/>
              </w:rPr>
            </w:pPr>
          </w:p>
        </w:tc>
        <w:tc>
          <w:tcPr>
            <w:tcW w:w="101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Amendment No. 2 to Shareholder Rights Agreement dated November 5, 2004, between the Company and Computershare Trust Company,</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N.A. (formerly EquiServe Trust Company, N.A.), as Rights Agent, incorporated by reference to Exhibit 10.1 of the Company’s Registration</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Statement on Form 8-A1G/A, filed on March 7, 2008 with the Securities and Exchange Commission.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Third Amended and Restated Supply Agreement dated October 15, 2014 between the Company and Biosyn Corporation</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101.3</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101.4</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101.5</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101.6</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80" w:hanging="38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80" w:hanging="38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780" w:right="100" w:hanging="383"/>
        <w:spacing w:after="0" w:line="261" w:lineRule="auto"/>
        <w:tabs>
          <w:tab w:leader="none" w:pos="7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provisions of this Exhibit pursuant to Rule 24b-2 promulgated under the Securities Exchange Act of 1934, as amended.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5, 2014</w:t>
      </w:r>
      <w:r>
        <w:rPr>
          <w:sz w:val="20"/>
          <w:szCs w:val="20"/>
          <w:color w:val="auto"/>
        </w:rPr>
        <w:tab/>
      </w:r>
      <w:r>
        <w:rPr>
          <w:rFonts w:ascii="Times New Roman" w:cs="Times New Roman" w:eastAsia="Times New Roman" w:hAnsi="Times New Roman"/>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AVERY W. CATLIN</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5, 2014</w:t>
      </w:r>
      <w:r>
        <w:rPr>
          <w:sz w:val="20"/>
          <w:szCs w:val="20"/>
          <w:color w:val="auto"/>
        </w:rPr>
        <w:tab/>
      </w:r>
      <w:r>
        <w:rPr>
          <w:rFonts w:ascii="Times New Roman" w:cs="Times New Roman" w:eastAsia="Times New Roman" w:hAnsi="Times New Roman"/>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6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2"/>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 (formerly EquiServe Trust Company, N.A.) as Rights Agent, incorporated by reference to Exhibit 10.1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Amended and Restated Supply Agreement dated October 15, 2014 between the Company and Biosyn Corporation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-4838065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-4838065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80" w:hanging="38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80" w:hanging="38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460"/>
          </w:cols>
          <w:pgMar w:left="240" w:top="121" w:right="199" w:bottom="0" w:gutter="0" w:footer="0" w:header="0"/>
        </w:sectPr>
      </w:pPr>
    </w:p>
    <w:bookmarkStart w:id="20" w:name="page21"/>
    <w:bookmarkEnd w:id="20"/>
    <w:p>
      <w:pPr>
        <w:ind w:left="383" w:hanging="383"/>
        <w:spacing w:after="0" w:line="282" w:lineRule="auto"/>
        <w:tabs>
          <w:tab w:leader="none" w:pos="3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provisions of this Exhibit pursuant to Rule 24b-2 promulgated under the Securities Exchange Act of 1934, as amended.</w:t>
      </w:r>
    </w:p>
    <w:p>
      <w:pPr>
        <w:spacing w:after="0" w:line="162" w:lineRule="exact"/>
        <w:rPr>
          <w:sz w:val="20"/>
          <w:szCs w:val="20"/>
          <w:color w:val="auto"/>
        </w:rPr>
      </w:pPr>
    </w:p>
    <w:p>
      <w:pPr>
        <w:jc w:val="center"/>
        <w:ind w:right="31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3"/>
          </w:cols>
          <w:pgMar w:left="637" w:top="121" w:right="2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TREATMENT</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03" w:lineRule="exact"/>
        <w:rPr>
          <w:sz w:val="20"/>
          <w:szCs w:val="20"/>
          <w:color w:val="auto"/>
        </w:rPr>
      </w:pPr>
    </w:p>
    <w:p>
      <w:pPr>
        <w:ind w:right="78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THIS THIRD AMENDED AND RESTATED SUPPLY AGREEMENT </w:t>
      </w:r>
      <w:r>
        <w:rPr>
          <w:rFonts w:ascii="Times New Roman" w:cs="Times New Roman" w:eastAsia="Times New Roman" w:hAnsi="Times New Roman"/>
          <w:sz w:val="18"/>
          <w:szCs w:val="18"/>
          <w:color w:val="auto"/>
        </w:rPr>
        <w:t>(“Agreement’) is made as of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2014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9" w:lineRule="exact"/>
        <w:rPr>
          <w:sz w:val="20"/>
          <w:szCs w:val="20"/>
          <w:color w:val="auto"/>
        </w:rPr>
      </w:pPr>
    </w:p>
    <w:p>
      <w:pPr>
        <w:ind w:right="120" w:firstLine="656"/>
        <w:spacing w:after="0" w:line="282" w:lineRule="auto"/>
        <w:tabs>
          <w:tab w:leader="none" w:pos="13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Corporation, a company incorporated in California, USA, whose registered office is at 5939 Darwin Court, Suite 114, Carlsbad, CA 92008, USA, and a wholly owned subsidiary of BIOSYN Arzneimittel GmbH, Germany (collectively referred to herein as “BIOSYN”); and</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13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Therapeutics Inc, a Delaware corporation having its principle place of business at 53 Frontage Road, Suite 220, Hampton New Jersey, 08827 USA. (“CELLDEX”).</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and BIOSYN each may be referred to herein individually as a “Party” or collectively as the “Parties.”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right="40" w:firstLine="1305"/>
        <w:spacing w:after="0" w:line="261" w:lineRule="auto"/>
        <w:tabs>
          <w:tab w:leader="none" w:pos="20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is a pharmaceutical company engaged in the marketing and development of pharmaceuticals, including pharmaceuticals for treating and preventing a number of diseases and conditions. BIOSYN is also engaged in the manufacturing of proprietary formulations of BIOSYN hemocyanin products including keyhole limpet hemocyanin (KLH), abalone (AH), and horseshoe crab (HCH). BIOSYN KLH in this agreement refers to BIOSYN’S proprietary hemocyanin subunit formulation known as VACMUNE® liquid and any modifications thereto.</w:t>
      </w:r>
    </w:p>
    <w:p>
      <w:pPr>
        <w:spacing w:after="0" w:line="180" w:lineRule="exact"/>
        <w:rPr>
          <w:rFonts w:ascii="Times New Roman" w:cs="Times New Roman" w:eastAsia="Times New Roman" w:hAnsi="Times New Roman"/>
          <w:sz w:val="18"/>
          <w:szCs w:val="18"/>
          <w:color w:val="auto"/>
        </w:rPr>
      </w:pPr>
    </w:p>
    <w:p>
      <w:pPr>
        <w:ind w:right="100" w:firstLine="1305"/>
        <w:spacing w:after="0" w:line="261" w:lineRule="auto"/>
        <w:tabs>
          <w:tab w:leader="none" w:pos="20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and CELLDEX entered into a Supply Agreement dated August 18, 2006 as amended on January 14, 2008 and assigned to Pfizer on April 16, 2010, reassigned to CELLDEX on November 1, 2010 and amended as of May 16, 2012 pursuant to which BIOSYN has agreed to manufacture and sell BIOSYN KLH to CELLDEX on a non-exclusive basis and CELLDEX has agreed to order exclusively from BIOSYN (the “Original Agreement”).</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now desire to amend and restate the Original Agreement in its entirety as set forth herein.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covenants and promises contained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In this Agreement</w:t>
      </w:r>
    </w:p>
    <w:p>
      <w:pPr>
        <w:spacing w:after="0" w:line="225" w:lineRule="exact"/>
        <w:rPr>
          <w:sz w:val="20"/>
          <w:szCs w:val="20"/>
          <w:color w:val="auto"/>
        </w:rPr>
      </w:pPr>
    </w:p>
    <w:p>
      <w:pPr>
        <w:ind w:left="660" w:right="20" w:firstLine="1297"/>
        <w:spacing w:after="0" w:line="258" w:lineRule="auto"/>
        <w:rPr>
          <w:sz w:val="20"/>
          <w:szCs w:val="20"/>
          <w:color w:val="auto"/>
        </w:rPr>
      </w:pPr>
      <w:r>
        <w:rPr>
          <w:rFonts w:ascii="Times New Roman" w:cs="Times New Roman" w:eastAsia="Times New Roman" w:hAnsi="Times New Roman"/>
          <w:sz w:val="18"/>
          <w:szCs w:val="18"/>
          <w:color w:val="auto"/>
        </w:rPr>
        <w:t>“Affiliate” or “Affiliates” means any corporation, company, partnership, joint venture, firm or other entity that controls, is controlled by, or is under common control with a Party. For purposes of this definition, “control” means (a) in the case of corporate entities, direct or indirect ownership of at least fifty percent (50%) of the stock or shares entitled to vote for the election of directors; and (b) in the case of non-corporate entities, direct or indirect ownership of at least fifty percent (50%) of the equity interest with the power to direct the management and policies of such noncorporate entities;</w:t>
      </w:r>
    </w:p>
    <w:p>
      <w:pPr>
        <w:spacing w:after="0" w:line="184" w:lineRule="exact"/>
        <w:rPr>
          <w:sz w:val="20"/>
          <w:szCs w:val="20"/>
          <w:color w:val="auto"/>
        </w:rPr>
      </w:pPr>
    </w:p>
    <w:p>
      <w:pPr>
        <w:jc w:val="both"/>
        <w:ind w:left="660" w:right="80" w:firstLine="1297"/>
        <w:spacing w:after="0" w:line="266" w:lineRule="auto"/>
        <w:rPr>
          <w:sz w:val="20"/>
          <w:szCs w:val="20"/>
          <w:color w:val="auto"/>
        </w:rPr>
      </w:pPr>
      <w:r>
        <w:rPr>
          <w:rFonts w:ascii="Times New Roman" w:cs="Times New Roman" w:eastAsia="Times New Roman" w:hAnsi="Times New Roman"/>
          <w:sz w:val="18"/>
          <w:szCs w:val="18"/>
          <w:color w:val="auto"/>
        </w:rPr>
        <w:t>“BIOSYN KLH” means the form of KLH manufactured by BIOSYN known as VACMUNE® liquid corresponding to and having the specifications detailed on the Product Data Sheet attached hereto as Schedule 1 and incorporated by reference herein. Unless otherwise specified herein, all references in this Agreement to BIOSYN KLH shall refer to VACMUNE® liquid.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“CELLDEX Minimum Requirement” shall have the meaning set forth in Section 2.1.3;</w:t>
      </w:r>
    </w:p>
    <w:p>
      <w:pPr>
        <w:spacing w:after="0" w:line="225" w:lineRule="exact"/>
        <w:rPr>
          <w:sz w:val="20"/>
          <w:szCs w:val="20"/>
          <w:color w:val="auto"/>
        </w:rPr>
      </w:pPr>
    </w:p>
    <w:p>
      <w:pPr>
        <w:ind w:left="660" w:right="220" w:firstLine="1297"/>
        <w:spacing w:after="0" w:line="266" w:lineRule="auto"/>
        <w:rPr>
          <w:sz w:val="20"/>
          <w:szCs w:val="20"/>
          <w:color w:val="auto"/>
        </w:rPr>
      </w:pPr>
      <w:r>
        <w:rPr>
          <w:rFonts w:ascii="Times New Roman" w:cs="Times New Roman" w:eastAsia="Times New Roman" w:hAnsi="Times New Roman"/>
          <w:sz w:val="18"/>
          <w:szCs w:val="18"/>
          <w:color w:val="auto"/>
        </w:rPr>
        <w:t>“DMF” means the Drug Master File for BIOSYN KLH, and subject to Section 4.9 hereof, VACMUNE® IEX, which has been filed with the FDA and the Canadian regulatory agency and any amendments, supplements or additional Drug Master Files filed by BIOSYN with the FDA or any other regulatory agency related to KLH.</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 means the European Medicines Agency and any other successor agency thereto.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“FDA” means the United States Food and Drug Administration and any successor agency thereto;</w:t>
      </w:r>
    </w:p>
    <w:p>
      <w:pPr>
        <w:spacing w:after="0" w:line="225" w:lineRule="exact"/>
        <w:rPr>
          <w:sz w:val="20"/>
          <w:szCs w:val="20"/>
          <w:color w:val="auto"/>
        </w:rPr>
      </w:pPr>
    </w:p>
    <w:p>
      <w:pPr>
        <w:ind w:left="660" w:right="280" w:firstLine="1297"/>
        <w:spacing w:after="0" w:line="282" w:lineRule="auto"/>
        <w:rPr>
          <w:sz w:val="20"/>
          <w:szCs w:val="20"/>
          <w:color w:val="auto"/>
        </w:rPr>
      </w:pPr>
      <w:r>
        <w:rPr>
          <w:rFonts w:ascii="Times New Roman" w:cs="Times New Roman" w:eastAsia="Times New Roman" w:hAnsi="Times New Roman"/>
          <w:sz w:val="18"/>
          <w:szCs w:val="18"/>
          <w:color w:val="auto"/>
        </w:rPr>
        <w:t>“FCA” or “Free Carrier” bears the meaning set out in the Incoterms 2010, a copy of the relevant section of which is included as Schedule 3 hereto;</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“Further Term” means any term of five (5) years subsequent to the Initial Term;</w:t>
      </w:r>
    </w:p>
    <w:p>
      <w:pPr>
        <w:spacing w:after="0" w:line="225" w:lineRule="exact"/>
        <w:rPr>
          <w:sz w:val="20"/>
          <w:szCs w:val="20"/>
          <w:color w:val="auto"/>
        </w:rPr>
      </w:pPr>
    </w:p>
    <w:p>
      <w:pPr>
        <w:ind w:left="660" w:right="140" w:firstLine="1297"/>
        <w:spacing w:after="0" w:line="289" w:lineRule="auto"/>
        <w:rPr>
          <w:sz w:val="20"/>
          <w:szCs w:val="20"/>
          <w:color w:val="auto"/>
        </w:rPr>
      </w:pPr>
      <w:r>
        <w:rPr>
          <w:rFonts w:ascii="Times New Roman" w:cs="Times New Roman" w:eastAsia="Times New Roman" w:hAnsi="Times New Roman"/>
          <w:sz w:val="17"/>
          <w:szCs w:val="17"/>
          <w:color w:val="auto"/>
        </w:rPr>
        <w:t>“GMP” or “cGMP” means those laws and regulations applicable in the U.S. and Europe, relating to the manufacture of medicinal products for human use, including, without limitation, current good manufacturing practices as specified in the ICH guidelines, including without limitation, ICH Q7A “ICH Good Manufacturing Practice Guide for Active Pharmaceutical Ingredients”, US Federal Food Drug and Cosmetic Act</w:t>
      </w:r>
    </w:p>
    <w:p>
      <w:pPr>
        <w:sectPr>
          <w:pgSz w:w="11900" w:h="16838" w:orient="portrait"/>
          <w:cols w:equalWidth="0" w:num="1">
            <w:col w:w="11420"/>
          </w:cols>
          <w:pgMar w:left="240" w:top="117" w:right="239" w:bottom="0" w:gutter="0" w:footer="0" w:header="0"/>
        </w:sectPr>
      </w:pPr>
    </w:p>
    <w:bookmarkStart w:id="22" w:name="page23"/>
    <w:bookmarkEnd w:id="22"/>
    <w:p>
      <w:pPr>
        <w:spacing w:after="0" w:line="32"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and its implementing regulations at 21 CFR (Chapters 210, 211, 600 and 610) and relevant FDA Guidance interpreting same and EU Directive 2003/94/EC and all relevant implementation of such directive and relevant guidelines interpreting same.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firstLine="1297"/>
        <w:spacing w:after="0" w:line="282" w:lineRule="auto"/>
        <w:rPr>
          <w:sz w:val="20"/>
          <w:szCs w:val="20"/>
          <w:color w:val="auto"/>
        </w:rPr>
      </w:pPr>
      <w:r>
        <w:rPr>
          <w:rFonts w:ascii="Times New Roman" w:cs="Times New Roman" w:eastAsia="Times New Roman" w:hAnsi="Times New Roman"/>
          <w:sz w:val="18"/>
          <w:szCs w:val="18"/>
          <w:color w:val="auto"/>
        </w:rPr>
        <w:t>“Initial Term” means the first fifteen (15) year term of this Agreement, commencing on the Effective Date of the Original Agreement (August 18, 2006) and ending on the fifteenth anniversary thereof;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“KLH” means Keyhole Limpet Hemocyanin, a protein from the giant limpet Megathura crenulata;</w:t>
      </w:r>
    </w:p>
    <w:p>
      <w:pPr>
        <w:spacing w:after="0" w:line="225" w:lineRule="exact"/>
        <w:rPr>
          <w:sz w:val="20"/>
          <w:szCs w:val="20"/>
          <w:color w:val="auto"/>
        </w:rPr>
      </w:pPr>
    </w:p>
    <w:p>
      <w:pPr>
        <w:ind w:left="660" w:right="180" w:firstLine="1297"/>
        <w:spacing w:after="0" w:line="282" w:lineRule="auto"/>
        <w:rPr>
          <w:sz w:val="20"/>
          <w:szCs w:val="20"/>
          <w:color w:val="auto"/>
        </w:rPr>
      </w:pPr>
      <w:r>
        <w:rPr>
          <w:rFonts w:ascii="Times New Roman" w:cs="Times New Roman" w:eastAsia="Times New Roman" w:hAnsi="Times New Roman"/>
          <w:sz w:val="18"/>
          <w:szCs w:val="18"/>
          <w:color w:val="auto"/>
        </w:rPr>
        <w:t>“Rindopepimut” or “CDX 110” means CELLDEX’s immunotherapy drug candidate which consists of KLH coupled to a peptide targeting the EGFR vIII mutation in cancer patients.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“Territory” means the world;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“Year” means calendar year, first month being January and the last month being December.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this Agreement, a reference to:</w:t>
      </w:r>
    </w:p>
    <w:p>
      <w:pPr>
        <w:spacing w:after="0" w:line="225" w:lineRule="exact"/>
        <w:rPr>
          <w:sz w:val="20"/>
          <w:szCs w:val="20"/>
          <w:color w:val="auto"/>
        </w:rPr>
      </w:pPr>
    </w:p>
    <w:p>
      <w:pPr>
        <w:ind w:right="220" w:firstLine="1945"/>
        <w:spacing w:after="0" w:line="282" w:lineRule="auto"/>
        <w:rPr>
          <w:sz w:val="20"/>
          <w:szCs w:val="20"/>
          <w:color w:val="auto"/>
        </w:rPr>
      </w:pPr>
      <w:r>
        <w:rPr>
          <w:rFonts w:ascii="Times New Roman" w:cs="Times New Roman" w:eastAsia="Times New Roman" w:hAnsi="Times New Roman"/>
          <w:sz w:val="18"/>
          <w:szCs w:val="18"/>
          <w:color w:val="auto"/>
        </w:rPr>
        <w:t>1.2.1. a document in the “agreed form” is a reference to a document in a form approved and for the purposes of identification signed by or on behalf of the Parties;</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1.2.2.</w:t>
        <w:tab/>
        <w:t>persons includes a reference to any natural person(s), corporation, unincorporated business association, joint venture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a person includes a reference to that person’s legal personal representatives, successors and permitted assigns;</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1.2.4.</w:t>
        <w:tab/>
        <w:t>a Section or Schedule, unless the context otherwise requires, is a reference to a section or schedule of this Agreement;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1.2.5.</w:t>
        <w:tab/>
        <w:t>an agreement or other document is a reference to that agreement or documents as from time to time supplemented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this Agreement shall not affect the interpretation of this Agreement.</w:t>
      </w:r>
    </w:p>
    <w:p>
      <w:pPr>
        <w:spacing w:after="0" w:line="22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BIOSYN</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During the Initial Term and any Further Term, BIOSYN shall use its best efforts consistent with reasonable business practices to:</w:t>
      </w:r>
    </w:p>
    <w:p>
      <w:pPr>
        <w:spacing w:after="0" w:line="225" w:lineRule="exact"/>
        <w:rPr>
          <w:sz w:val="20"/>
          <w:szCs w:val="20"/>
          <w:color w:val="auto"/>
        </w:rPr>
      </w:pPr>
    </w:p>
    <w:p>
      <w:pPr>
        <w:ind w:right="20" w:firstLine="1945"/>
        <w:spacing w:after="0" w:line="266" w:lineRule="auto"/>
        <w:rPr>
          <w:sz w:val="20"/>
          <w:szCs w:val="20"/>
          <w:color w:val="auto"/>
        </w:rPr>
      </w:pPr>
      <w:r>
        <w:rPr>
          <w:rFonts w:ascii="Times New Roman" w:cs="Times New Roman" w:eastAsia="Times New Roman" w:hAnsi="Times New Roman"/>
          <w:sz w:val="18"/>
          <w:szCs w:val="18"/>
          <w:color w:val="auto"/>
        </w:rPr>
        <w:t>2.1.1. fulfill all orders made by CELLDEX in any one year for BIOSYN KLH. Orders by CELLDEX shall be fulfilled promptly, and in any event within one hundred twenty (120) days of receiving an order (in substantially the form set out in Schedule 2, or a standard purchase order) from CELLDEX;</w:t>
      </w:r>
    </w:p>
    <w:p>
      <w:pPr>
        <w:spacing w:after="0" w:line="176"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2.1.2.</w:t>
        <w:tab/>
        <w:t>maintain sufficient manufacturing and supply capacity so as to enable it to comply with the obligations of BIOSYN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this Section 2;</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45"/>
        <w:spacing w:after="0" w:line="266" w:lineRule="auto"/>
        <w:rPr>
          <w:sz w:val="20"/>
          <w:szCs w:val="20"/>
          <w:color w:val="auto"/>
        </w:rPr>
      </w:pPr>
      <w:r>
        <w:rPr>
          <w:rFonts w:ascii="Times New Roman" w:cs="Times New Roman" w:eastAsia="Times New Roman" w:hAnsi="Times New Roman"/>
          <w:sz w:val="18"/>
          <w:szCs w:val="18"/>
          <w:color w:val="auto"/>
        </w:rPr>
        <w:t>2.1.3. supply such quantities of BIOSYN KLH per twelve (12) month period to CELLDEX as ordered by CELLDEX pursuant to Section 3.1.2 provided that at no time during the Initial Term or any Further Term shall BIOSYN supply less than two (2) grams of BIOSYN KLH per twelve (12) month period to CELLDEX (“CELLDEX Minimum Requirement”);</w:t>
      </w:r>
    </w:p>
    <w:p>
      <w:pPr>
        <w:spacing w:after="0" w:line="176" w:lineRule="exact"/>
        <w:rPr>
          <w:sz w:val="20"/>
          <w:szCs w:val="20"/>
          <w:color w:val="auto"/>
        </w:rPr>
      </w:pPr>
    </w:p>
    <w:p>
      <w:pPr>
        <w:jc w:val="right"/>
        <w:spacing w:after="0"/>
        <w:tabs>
          <w:tab w:leader="none" w:pos="8760" w:val="left"/>
        </w:tabs>
        <w:rPr>
          <w:sz w:val="20"/>
          <w:szCs w:val="20"/>
          <w:color w:val="auto"/>
        </w:rPr>
      </w:pPr>
      <w:r>
        <w:rPr>
          <w:rFonts w:ascii="Times New Roman" w:cs="Times New Roman" w:eastAsia="Times New Roman" w:hAnsi="Times New Roman"/>
          <w:sz w:val="18"/>
          <w:szCs w:val="18"/>
          <w:color w:val="auto"/>
        </w:rPr>
        <w:t>2.1.4.</w:t>
        <w:tab/>
        <w:t>provide (i) such quantities of BIOSYN KLH in [*] of BIOSYN KLH in approximately 50mL, (ii) BIOSYN KLH as bulk,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when requested</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right="200" w:firstLine="1945"/>
        <w:spacing w:after="0" w:line="261" w:lineRule="auto"/>
        <w:rPr>
          <w:sz w:val="20"/>
          <w:szCs w:val="20"/>
          <w:color w:val="auto"/>
        </w:rPr>
      </w:pPr>
      <w:r>
        <w:rPr>
          <w:rFonts w:ascii="Times New Roman" w:cs="Times New Roman" w:eastAsia="Times New Roman" w:hAnsi="Times New Roman"/>
          <w:sz w:val="18"/>
          <w:szCs w:val="18"/>
          <w:color w:val="auto"/>
        </w:rPr>
        <w:t>2.1.5. ensure that all BIOSYN KLH supplied to CELLDEX is (i) manufactured in accordance with GMP and all current or future FDA or EMA directives, (ii) complies with any description of BIOSYN KLH supplied by BIOSYN to CELLDEX, (ii) meets all specifications for BIOSYN KLH, (iv) is not adulterated or misbranded and (v) complies in all respects (including with regard to its manufacture) with the DMF and the KLH license granted in Section 6 hereof;</w:t>
      </w:r>
    </w:p>
    <w:p>
      <w:pPr>
        <w:spacing w:after="0" w:line="180" w:lineRule="exact"/>
        <w:rPr>
          <w:sz w:val="20"/>
          <w:szCs w:val="20"/>
          <w:color w:val="auto"/>
        </w:rPr>
      </w:pPr>
    </w:p>
    <w:p>
      <w:pPr>
        <w:ind w:right="60" w:firstLine="1945"/>
        <w:spacing w:after="0" w:line="255" w:lineRule="auto"/>
        <w:rPr>
          <w:sz w:val="20"/>
          <w:szCs w:val="20"/>
          <w:color w:val="auto"/>
        </w:rPr>
      </w:pPr>
      <w:r>
        <w:rPr>
          <w:rFonts w:ascii="Times New Roman" w:cs="Times New Roman" w:eastAsia="Times New Roman" w:hAnsi="Times New Roman"/>
          <w:sz w:val="18"/>
          <w:szCs w:val="18"/>
          <w:color w:val="auto"/>
        </w:rPr>
        <w:t>2.1.6. refrain while in the normal course of business from knowingly supplying BIOSYN KLH to any third party, or knowingly issuing a Cross Reference Letter to any third party authorizing access to the DMF, for use by such third party in producing a generic or equivalent form of Rindopepimut (or an equivalent molecular construct containing the sequence Lys-Lys-Gly-Asn-Tyr) or any vaccine containing the same peptide conjugate which may compete with Rindopepimut, provided, however, that to assist BIOSYN in complying with this Section 2.1.6, CELLDEX shall promptly notify BIOSYN in the event CELLDEX becomes aware of any third party developing, manufacturing or selling a vaccine product in competition with Rindopepimut. For the avoidance of doubt, CELLDEX will make every reasonable effort to notify BIOSYN if it becomes aware of any third parties who may be working toward, or considering the development of a product competitive with Rindopepimut. Notwithstanding the foregoing, the failure of CELLDEX to provide such notification shall in no way relieve BIOSYN of its obligations hereunder;</w:t>
      </w:r>
    </w:p>
    <w:p>
      <w:pPr>
        <w:spacing w:after="0" w:line="185" w:lineRule="exact"/>
        <w:rPr>
          <w:sz w:val="20"/>
          <w:szCs w:val="20"/>
          <w:color w:val="auto"/>
        </w:rPr>
      </w:pPr>
    </w:p>
    <w:p>
      <w:pPr>
        <w:ind w:right="220" w:firstLine="1945"/>
        <w:spacing w:after="0" w:line="282" w:lineRule="auto"/>
        <w:rPr>
          <w:sz w:val="20"/>
          <w:szCs w:val="20"/>
          <w:color w:val="auto"/>
        </w:rPr>
      </w:pPr>
      <w:r>
        <w:rPr>
          <w:rFonts w:ascii="Times New Roman" w:cs="Times New Roman" w:eastAsia="Times New Roman" w:hAnsi="Times New Roman"/>
          <w:sz w:val="18"/>
          <w:szCs w:val="18"/>
          <w:color w:val="auto"/>
        </w:rPr>
        <w:t>2.1.7. to perform [*] Stability Studies of at least [*] in duration for BIOSYN KLH described on Exhibit 2.1.7 annexed hereto for [*] different lots/batches of BIOSYN KLH that have been supplied hereunder since the date of the Original Agreement.</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Intentionally Omitted.</w:t>
      </w:r>
    </w:p>
    <w:p>
      <w:pPr>
        <w:sectPr>
          <w:pgSz w:w="11900" w:h="16870" w:orient="portrait"/>
          <w:cols w:equalWidth="0" w:num="1">
            <w:col w:w="11400"/>
          </w:cols>
          <w:pgMar w:left="240" w:top="121" w:right="259" w:bottom="0" w:gutter="0" w:footer="0" w:header="0"/>
        </w:sectPr>
      </w:pPr>
    </w:p>
    <w:bookmarkStart w:id="23" w:name="page24"/>
    <w:bookmarkEnd w:id="23"/>
    <w:p>
      <w:pPr>
        <w:ind w:right="180" w:firstLine="1945"/>
        <w:spacing w:after="0" w:line="282" w:lineRule="auto"/>
        <w:rPr>
          <w:sz w:val="20"/>
          <w:szCs w:val="20"/>
          <w:color w:val="auto"/>
        </w:rPr>
      </w:pPr>
      <w:r>
        <w:rPr>
          <w:rFonts w:ascii="Times New Roman" w:cs="Times New Roman" w:eastAsia="Times New Roman" w:hAnsi="Times New Roman"/>
          <w:sz w:val="18"/>
          <w:szCs w:val="18"/>
          <w:color w:val="auto"/>
        </w:rPr>
        <w:t>2.1.9. to execute the Quality Agreement simultaneously with the execution of this Agreement. Upon execution of the Quality Agreement, the Quality Agreement shall automatically be considered attached to this Agreement as Exhibit 2.1.9 and incorporated herein by reference.</w:t>
      </w:r>
    </w:p>
    <w:p>
      <w:pPr>
        <w:spacing w:after="0" w:line="158"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CELLDEX</w:t>
      </w:r>
    </w:p>
    <w:p>
      <w:pPr>
        <w:spacing w:after="0" w:line="229" w:lineRule="exact"/>
        <w:rPr>
          <w:sz w:val="20"/>
          <w:szCs w:val="20"/>
          <w:color w:val="auto"/>
        </w:rPr>
      </w:pPr>
    </w:p>
    <w:p>
      <w:pPr>
        <w:jc w:val="right"/>
        <w:spacing w:after="0"/>
        <w:tabs>
          <w:tab w:leader="none" w:pos="94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During the Initial Term and any Further Term, CELLDEX shall use its best efforts consistent with reasonable business practices to:</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3.1.1.</w:t>
        <w:tab/>
        <w:t>procure from BIOSYN all BIOSYN KLH for the clinical development and commercial manufacture of Rindopepimut;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3.1.2.</w:t>
        <w:tab/>
        <w:t>subject to Section 9.3, order at least the CELLDEX Minimum Requirement each year, beginning January 2007;</w:t>
      </w:r>
    </w:p>
    <w:p>
      <w:pPr>
        <w:spacing w:after="0" w:line="225" w:lineRule="exact"/>
        <w:rPr>
          <w:sz w:val="20"/>
          <w:szCs w:val="20"/>
          <w:color w:val="auto"/>
        </w:rPr>
      </w:pPr>
    </w:p>
    <w:p>
      <w:pPr>
        <w:ind w:right="100" w:firstLine="1945"/>
        <w:spacing w:after="0" w:line="282" w:lineRule="auto"/>
        <w:rPr>
          <w:sz w:val="20"/>
          <w:szCs w:val="20"/>
          <w:color w:val="auto"/>
        </w:rPr>
      </w:pPr>
      <w:r>
        <w:rPr>
          <w:rFonts w:ascii="Times New Roman" w:cs="Times New Roman" w:eastAsia="Times New Roman" w:hAnsi="Times New Roman"/>
          <w:sz w:val="18"/>
          <w:szCs w:val="18"/>
          <w:color w:val="auto"/>
        </w:rPr>
        <w:t>3.1.3. in January, 2008 and in January of each subsequent Year during the Initial Term and any Further Term, CELLDEX, shall place an order for its requirements of the BIOSYN KLH for such year.</w:t>
      </w:r>
    </w:p>
    <w:p>
      <w:pPr>
        <w:spacing w:after="0" w:line="162" w:lineRule="exact"/>
        <w:rPr>
          <w:sz w:val="20"/>
          <w:szCs w:val="20"/>
          <w:color w:val="auto"/>
        </w:rPr>
      </w:pPr>
    </w:p>
    <w:p>
      <w:pPr>
        <w:ind w:right="120" w:firstLine="1945"/>
        <w:spacing w:after="0" w:line="255" w:lineRule="auto"/>
        <w:rPr>
          <w:sz w:val="20"/>
          <w:szCs w:val="20"/>
          <w:color w:val="auto"/>
        </w:rPr>
      </w:pPr>
      <w:r>
        <w:rPr>
          <w:rFonts w:ascii="Times New Roman" w:cs="Times New Roman" w:eastAsia="Times New Roman" w:hAnsi="Times New Roman"/>
          <w:sz w:val="18"/>
          <w:szCs w:val="18"/>
          <w:color w:val="auto"/>
        </w:rPr>
        <w:t>3.1.4. hold in strictest confidence, not use or disclose to any third party, and take all necessary precautions to secure any Confidential Information (as defined below) of BIOSYN. Disclosure of such information shall be restricted solely to employees, agents, consultants, and representatives of CELLDEX who have been advised of their obligation with respect to Confidential Information. The term “Confidential Information” shall mean all non-public information that BIOSYN designates as being confidential, or which, under the circumstances of disclosure ought to be treated as confidential. For the purposes of this Section 3.1.4, the term “Confidential Information” shall mean, without limitation, the terms and conditions of this Agreement, the DMF, potential customers or suppliers of information, trade secrets, know-how, source codes, documentation, formulae, technology, or information received from others that a party is obligated to treat as confidential. If CELLDEX has any questions as to what comprises such Confidential Information, then CELLDEX shall first consult with BIOSYN.</w:t>
      </w:r>
    </w:p>
    <w:p>
      <w:pPr>
        <w:spacing w:after="0" w:line="18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provisions of this Section 3.1.4 shall not apply to any Confidential Information disclosed hereunder that: (a) was known or used by CELLDEX or its Affiliates prior to its date of disclosure to CELLDEX, as evidenced by the prior written records of CELLDEX or its Affiliates; or (b) either before or after the date of the disclosure to CELLDEX is lawfully disclosed without restriction to CELLDEX or its Affiliates by an independent, unaffiliated third party rightfully in possession of the Confidential Information (but only to the extent of the rights received from such third party); or (c) either before or after the date of the disclosure to CELLDEX becomes published or generally known to the public through no fault or omission on the part of CELLDEX or its Affiliates; or (d) is generally made available by BIOSYN to third parties without restriction. Further, CELLDEX shall have the right to disclose information disclosed by BIOSYN (x) to the extent necessary to comply with applicable laws, to defend or prosecute litigation or to comply with governmental regulations, or the rules of a stock exchange or automated quotation system, provided that CELLDEX provides prior written notice of such disclosure to BIOSYN and takes reasonable and lawful actions to avoid or minimize the degree of such disclosure, including assisting BIOSYN to seek confidential treatment or a protective order, or (y) to existing or potential acquirers or merger candidates, existing or potential sublicensees/licensees, investment bankers, existing or potential investors, venture capital firms or other financial institutions or investors of CELLDEX for purposes of obtaining financing, each of whom prior to disclosure must be bound by obligations of confidentiality and non-use at least equivalent in scope to those set forth in Section 3.1.4. CELLDEX may not use the Confidential Information except for the express purposes stated in this Agreement. Except in connection with the development, manufacture or commercial sale of Rindopepimut, CELLDEX may not provide or sell BIOSYN KLH purchased hereunder to any unaffiliated third party without the prior consent of BIOSYN which consent shall not be unreasonably withheld.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45"/>
        <w:spacing w:after="0" w:line="282" w:lineRule="auto"/>
        <w:rPr>
          <w:sz w:val="20"/>
          <w:szCs w:val="20"/>
          <w:color w:val="auto"/>
        </w:rPr>
      </w:pPr>
      <w:r>
        <w:rPr>
          <w:rFonts w:ascii="Times New Roman" w:cs="Times New Roman" w:eastAsia="Times New Roman" w:hAnsi="Times New Roman"/>
          <w:sz w:val="18"/>
          <w:szCs w:val="18"/>
          <w:color w:val="auto"/>
        </w:rPr>
        <w:t>3.1.5. pay for all reasonable costs related to freight duty, packaging costs and associated taxes, including any insurance, for the delivery of BIOSYN KLH to CELLDEX.</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3.1.6.</w:t>
        <w:tab/>
        <w:t>pay all amounts due under this Agreement in accordance with Section 5.</w:t>
      </w:r>
    </w:p>
    <w:p>
      <w:pPr>
        <w:spacing w:after="0" w:line="225" w:lineRule="exact"/>
        <w:rPr>
          <w:sz w:val="20"/>
          <w:szCs w:val="20"/>
          <w:color w:val="auto"/>
        </w:rPr>
      </w:pPr>
    </w:p>
    <w:p>
      <w:pPr>
        <w:ind w:right="280" w:firstLine="1945"/>
        <w:spacing w:after="0" w:line="266" w:lineRule="auto"/>
        <w:rPr>
          <w:sz w:val="20"/>
          <w:szCs w:val="20"/>
          <w:color w:val="auto"/>
        </w:rPr>
      </w:pPr>
      <w:r>
        <w:rPr>
          <w:rFonts w:ascii="Times New Roman" w:cs="Times New Roman" w:eastAsia="Times New Roman" w:hAnsi="Times New Roman"/>
          <w:sz w:val="18"/>
          <w:szCs w:val="18"/>
          <w:color w:val="auto"/>
        </w:rPr>
        <w:t>3.1.7. During the Initial Term and any Further Term, CELLDEX shall maintain a policy of product liability insurance for the BIOSYN KLH insuring against personal injury, death or damage to property with such policy having a limit of not less than Five Million US dollars ($5,000,0000) per occurrence and in the aggregate with a financially sound and reputable insurer.</w:t>
      </w:r>
    </w:p>
    <w:p>
      <w:pPr>
        <w:spacing w:after="0" w:line="176" w:lineRule="exact"/>
        <w:rPr>
          <w:sz w:val="20"/>
          <w:szCs w:val="20"/>
          <w:color w:val="auto"/>
        </w:rPr>
      </w:pPr>
    </w:p>
    <w:p>
      <w:pPr>
        <w:ind w:right="220" w:firstLine="1945"/>
        <w:spacing w:after="0" w:line="282" w:lineRule="auto"/>
        <w:rPr>
          <w:sz w:val="20"/>
          <w:szCs w:val="20"/>
          <w:color w:val="auto"/>
        </w:rPr>
      </w:pPr>
      <w:r>
        <w:rPr>
          <w:rFonts w:ascii="Times New Roman" w:cs="Times New Roman" w:eastAsia="Times New Roman" w:hAnsi="Times New Roman"/>
          <w:sz w:val="18"/>
          <w:szCs w:val="18"/>
          <w:color w:val="auto"/>
        </w:rPr>
        <w:t>3.1.8. to execute the Quality Agreement simultaneously with the execution of this Agreement. Upon execution of the Quality Agreement, the Quality Agreement shall automatically be considered attached to this Agreement as Exhibit 2.1.9 and incorporated herein by reference.</w:t>
      </w:r>
    </w:p>
    <w:p>
      <w:pPr>
        <w:spacing w:after="0" w:line="158"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ORDERS FOR BIOSYN KLH</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4.1.All orders for BIOSYN KLH will be placed by CELLDEX in writing and shall be in substantially the form set out in Schedule 2.</w:t>
      </w:r>
    </w:p>
    <w:p>
      <w:pPr>
        <w:spacing w:after="0" w:line="225" w:lineRule="exact"/>
        <w:rPr>
          <w:sz w:val="20"/>
          <w:szCs w:val="20"/>
          <w:color w:val="auto"/>
        </w:rPr>
      </w:pPr>
    </w:p>
    <w:p>
      <w:pPr>
        <w:ind w:right="80" w:firstLine="1297"/>
        <w:spacing w:after="0" w:line="282" w:lineRule="auto"/>
        <w:rPr>
          <w:sz w:val="20"/>
          <w:szCs w:val="20"/>
          <w:color w:val="auto"/>
        </w:rPr>
      </w:pPr>
      <w:r>
        <w:rPr>
          <w:rFonts w:ascii="Times New Roman" w:cs="Times New Roman" w:eastAsia="Times New Roman" w:hAnsi="Times New Roman"/>
          <w:sz w:val="18"/>
          <w:szCs w:val="18"/>
          <w:color w:val="auto"/>
        </w:rPr>
        <w:t>4.2. The BIOSYN KLH shall be supplied to CELLDEX by BIOSYN in accordance with the terms of this Agreement. The orders shall be accepted by BIOSYN subject to the terms of Section 2.1.</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CELLDEX may by giving notice to BIOSYN reject all or any part of any order of BIOSYN KLH which:</w:t>
      </w:r>
    </w:p>
    <w:p>
      <w:pPr>
        <w:spacing w:after="0" w:line="225" w:lineRule="exact"/>
        <w:rPr>
          <w:sz w:val="20"/>
          <w:szCs w:val="20"/>
          <w:color w:val="auto"/>
        </w:rPr>
      </w:pPr>
    </w:p>
    <w:p>
      <w:pPr>
        <w:ind w:right="80" w:firstLine="1945"/>
        <w:spacing w:after="0" w:line="282" w:lineRule="auto"/>
        <w:rPr>
          <w:sz w:val="20"/>
          <w:szCs w:val="20"/>
          <w:color w:val="auto"/>
        </w:rPr>
      </w:pPr>
      <w:r>
        <w:rPr>
          <w:rFonts w:ascii="Times New Roman" w:cs="Times New Roman" w:eastAsia="Times New Roman" w:hAnsi="Times New Roman"/>
          <w:sz w:val="18"/>
          <w:szCs w:val="18"/>
          <w:color w:val="auto"/>
        </w:rPr>
        <w:t>4.3.1. has not been manufactured in accordance with the specifications set out in the DMF filed with the FDA or in compliance with cGMP and all current or future FDA or EMA directives or other applicable regulations; or</w:t>
      </w:r>
    </w:p>
    <w:p>
      <w:pPr>
        <w:spacing w:after="0" w:line="162" w:lineRule="exact"/>
        <w:rPr>
          <w:sz w:val="20"/>
          <w:szCs w:val="20"/>
          <w:color w:val="auto"/>
        </w:rPr>
      </w:pPr>
    </w:p>
    <w:p>
      <w:pPr>
        <w:ind w:right="860" w:firstLine="1945"/>
        <w:spacing w:after="0" w:line="282" w:lineRule="auto"/>
        <w:rPr>
          <w:sz w:val="20"/>
          <w:szCs w:val="20"/>
          <w:color w:val="auto"/>
        </w:rPr>
      </w:pPr>
      <w:r>
        <w:rPr>
          <w:rFonts w:ascii="Times New Roman" w:cs="Times New Roman" w:eastAsia="Times New Roman" w:hAnsi="Times New Roman"/>
          <w:sz w:val="18"/>
          <w:szCs w:val="18"/>
          <w:color w:val="auto"/>
        </w:rPr>
        <w:t>4.3.2. does not comply with any description applied to it and supplied by BIOSYN to CELLDEX or any of the other requirements set forth in Section 2.1.5.</w:t>
      </w:r>
    </w:p>
    <w:p>
      <w:pPr>
        <w:sectPr>
          <w:pgSz w:w="11900" w:h="16838" w:orient="portrait"/>
          <w:cols w:equalWidth="0" w:num="1">
            <w:col w:w="11420"/>
          </w:cols>
          <w:pgMar w:left="240" w:top="337" w:right="239" w:bottom="0" w:gutter="0" w:footer="0" w:header="0"/>
        </w:sectPr>
      </w:pPr>
    </w:p>
    <w:bookmarkStart w:id="24" w:name="page25"/>
    <w:bookmarkEnd w:id="24"/>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notice of rejection shall be given by CELLDEX within ninety (90) days of actual receipt of the order by CELLDEX at the address for delivery specified in the purchase order provided by CELLDEX. Where all or any part of any order of BIOSYN KLH is rejected by CELLDEX under this Section 4.3, such BIOSYN KLH shall be returned to BIOSYN at the risk and expense of BIOSYN for replacement forthwith by BIOSYN and CELLDEX will be reimbursed for its shipping costs, unless it is reasonably determined by BIOSYN that the order complies with this Section 4.3, in which case CELLDEX shall be obligated to purchase such order, assume all risks of transportation, and pay all associated costs. In the event that the Parties disagree as to whether the BIOSYN KLH complies with this Section 4.3, the dispute shall be submitted to a third party laboratory acceptable to both Parties for a final determination which shall be binding upon the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All orders of BIOSYN KLH shall be supplied and delivered to CELLDEX by BIOSYN via FCA.</w:t>
      </w:r>
    </w:p>
    <w:p>
      <w:pPr>
        <w:spacing w:after="0" w:line="225"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4.5. Title and risk in respect of BIOSYN KLH supplied by BIOSYN to CELLDEX shall pass on completion of delivery in accordance with Section 4.4 above, subject to the terms of Section 4.3.</w:t>
      </w:r>
    </w:p>
    <w:p>
      <w:pPr>
        <w:spacing w:after="0" w:line="162"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4.6. In the event BIOSYN is unable to supply CELLDEX’s orders for BIOSYN KLH or this Agreement is terminated by CELLDEX pursuant to Section 8.1, then BIOSYN undertakes as a continuing obligation notwithstanding any such termination that it shall use all reasonable endeavors to effect a transfer of all intellectual property, know-how and confidential information used by BIOSYN in the performance of its obligations hereunder and the manufacture of BIOSYN KLH to CELLDEX or a third party manufacturer designated by CELLDEX [*] and/or grant such license or access to the DMF as may be necessary to enable CELLDEX or such third party manufacturer to manufacture BIOSYN KLH in such form and quantities contemplated by this Agreement.</w:t>
      </w:r>
    </w:p>
    <w:p>
      <w:pPr>
        <w:spacing w:after="0" w:line="188" w:lineRule="exact"/>
        <w:rPr>
          <w:sz w:val="20"/>
          <w:szCs w:val="20"/>
          <w:color w:val="auto"/>
        </w:rPr>
      </w:pPr>
    </w:p>
    <w:p>
      <w:pPr>
        <w:ind w:firstLine="1297"/>
        <w:spacing w:after="0" w:line="252" w:lineRule="auto"/>
        <w:rPr>
          <w:sz w:val="20"/>
          <w:szCs w:val="20"/>
          <w:color w:val="auto"/>
        </w:rPr>
      </w:pPr>
      <w:r>
        <w:rPr>
          <w:rFonts w:ascii="Times New Roman" w:cs="Times New Roman" w:eastAsia="Times New Roman" w:hAnsi="Times New Roman"/>
          <w:sz w:val="18"/>
          <w:szCs w:val="18"/>
          <w:color w:val="auto"/>
        </w:rPr>
        <w:t>4.7. During the Initial Term and any further Term of this Agreement, CELLDEX shall have the right to audit and inspect those portions of any facilities by BIOSYN used in the manufacture, packaging, generation, storage, testing, treatment, holding, transportation, distribution or other handling or receiving of BIOSYN KLH. CELLDEX shall have the right to audit and inspect all inventory of BIOSYN KLH contained at the aforementioned facilities and manufacturing and testing areas and associated documentation to periodically assess compliance with applicable product and establishment standards and cGMP. Such audits or inspections shall occur during normal business hours and shall be scheduled by CELLDEX at least ten (10) Business Days in advance; provided, however, that in the event of Rindopepimut or BIOSYN KLH failure or any other potential or actual health or safety issue related to Rindopepimut linked to BIOSYN KLH (“Product Failure”) or any for cause manufacturing investigation, including, but not limited to, cGMP issues (“Manufacturing Investigation”), or any proposed or actual inspection by the FDA or other regulatory authority in the Territory, CELLDEX shall have the right at any time upon oral or written notice to BIOSYN of five (5) Business Days to conduct an audit or inspection hereunder. Except in the case of a Product Failure or Manufacturing Investigation or inspection by the FDA or other regulatory Authority of a BIOSYN facility responsible for manufacturing BIOSYN KLH under this Agreement, CELLDEX shall limit such audits to no more than once per calendar year for each facility. CELLDEX’s audit and inspection rights under this Section 4.7 shall not extend to any portions of any facility, documents, records or other information which do not relate to BIOSYN KLH or, to the extent they relate or pertain to Third Parties or their products or materials, BIOSYN may redact information relating to Third Parties and their respective products or materials from any documents deliverable to CELLDEX in connection with CELLDEX’s exercise of its audit and inspection rights hereunder. BIOSYN may participate in CELLDEX’s audit and respond to any issues raised by CELLDEX based on such audit, with a corrective action plan.</w:t>
      </w:r>
    </w:p>
    <w:p>
      <w:pPr>
        <w:spacing w:after="0" w:line="197" w:lineRule="exact"/>
        <w:rPr>
          <w:sz w:val="20"/>
          <w:szCs w:val="20"/>
          <w:color w:val="auto"/>
        </w:rPr>
      </w:pPr>
    </w:p>
    <w:p>
      <w:pPr>
        <w:ind w:right="220" w:firstLine="1297"/>
        <w:spacing w:after="0" w:line="282" w:lineRule="auto"/>
        <w:rPr>
          <w:sz w:val="20"/>
          <w:szCs w:val="20"/>
          <w:color w:val="auto"/>
        </w:rPr>
      </w:pPr>
      <w:r>
        <w:rPr>
          <w:rFonts w:ascii="Times New Roman" w:cs="Times New Roman" w:eastAsia="Times New Roman" w:hAnsi="Times New Roman"/>
          <w:sz w:val="18"/>
          <w:szCs w:val="18"/>
          <w:color w:val="auto"/>
        </w:rPr>
        <w:t>4.8. Each Party shall maintain, in accordance with and for the period required under cGMP and all other laws, rules and regulations, complete and adequate records pertaining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methods and facilities used for the cGMP manufacture, processing, testing, packing, labeling, holding and distribution of BIOSYN KLH.</w:t>
      </w:r>
    </w:p>
    <w:p>
      <w:pPr>
        <w:spacing w:after="0" w:line="225" w:lineRule="exact"/>
        <w:rPr>
          <w:sz w:val="20"/>
          <w:szCs w:val="20"/>
          <w:color w:val="auto"/>
        </w:rPr>
      </w:pPr>
    </w:p>
    <w:p>
      <w:pPr>
        <w:ind w:right="280" w:firstLine="1297"/>
        <w:spacing w:after="0" w:line="258" w:lineRule="auto"/>
        <w:rPr>
          <w:sz w:val="20"/>
          <w:szCs w:val="20"/>
          <w:color w:val="auto"/>
        </w:rPr>
      </w:pPr>
      <w:r>
        <w:rPr>
          <w:rFonts w:ascii="Times New Roman" w:cs="Times New Roman" w:eastAsia="Times New Roman" w:hAnsi="Times New Roman"/>
          <w:sz w:val="18"/>
          <w:szCs w:val="18"/>
          <w:color w:val="auto"/>
        </w:rPr>
        <w:t>4.9. Celldex may at its option evaluate other formulations of KLH manufactured by BIOSYN including VACMUNE® IEX. Upon Celldex’s request, BIOSYN agrees to manufacture and supply VACMUNE® IEX to Celldex. The cost of VACMUNE IEX will be the same as the cost of BIOSYN KLH per details in Section 5. BIOSYN agrees to promptly provide access to the DMF for VACMUNE® IEX at no additional cost, if and when CELLDEX communicates in writing that CELLDEX intends to discontinue using BIOSYN KLH and will be using VACMUNE® IEX in its routine manufacturing of Rindopepimut. Celldex agrees to pay for the stability studies of VACMUNE® IEX as detailed in Section 5.12</w:t>
      </w:r>
    </w:p>
    <w:p>
      <w:pPr>
        <w:spacing w:after="0" w:line="180"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AND PAYMENT</w:t>
      </w:r>
    </w:p>
    <w:p>
      <w:pPr>
        <w:spacing w:after="0" w:line="229" w:lineRule="exact"/>
        <w:rPr>
          <w:sz w:val="20"/>
          <w:szCs w:val="20"/>
          <w:color w:val="auto"/>
        </w:rPr>
      </w:pPr>
    </w:p>
    <w:p>
      <w:pPr>
        <w:jc w:val="both"/>
        <w:ind w:right="120" w:firstLine="1297"/>
        <w:spacing w:after="0" w:line="266" w:lineRule="auto"/>
        <w:rPr>
          <w:sz w:val="20"/>
          <w:szCs w:val="20"/>
          <w:color w:val="auto"/>
        </w:rPr>
      </w:pPr>
      <w:r>
        <w:rPr>
          <w:rFonts w:ascii="Times New Roman" w:cs="Times New Roman" w:eastAsia="Times New Roman" w:hAnsi="Times New Roman"/>
          <w:sz w:val="18"/>
          <w:szCs w:val="18"/>
          <w:color w:val="auto"/>
        </w:rPr>
        <w:t>5.1. The price to be paid by CELLDEX to BIOSYN for BIOSYN KLH shall be [*] per gram in 2014, [*] in 2015 and 2016 and [*] in 2017 Thereafter, commencing in January 2018, such price shall be reviewed and adjusted annually (upward or downwards), effective January of each Year, and such adjustment will not increase or decrease by [*].</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CELLDEX shall pay a non-refundable deposit of 50% of the product cost at the time of placing the order at the beginning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additional 50% of product cost shall be paid per Section 5.7.</w:t>
      </w:r>
    </w:p>
    <w:p>
      <w:pPr>
        <w:spacing w:after="0" w:line="225" w:lineRule="exact"/>
        <w:rPr>
          <w:sz w:val="20"/>
          <w:szCs w:val="20"/>
          <w:color w:val="auto"/>
        </w:rPr>
      </w:pPr>
    </w:p>
    <w:p>
      <w:pPr>
        <w:ind w:right="280" w:firstLine="1297"/>
        <w:spacing w:after="0" w:line="282" w:lineRule="auto"/>
        <w:rPr>
          <w:sz w:val="20"/>
          <w:szCs w:val="20"/>
          <w:color w:val="auto"/>
        </w:rPr>
      </w:pPr>
      <w:r>
        <w:rPr>
          <w:rFonts w:ascii="Times New Roman" w:cs="Times New Roman" w:eastAsia="Times New Roman" w:hAnsi="Times New Roman"/>
          <w:sz w:val="18"/>
          <w:szCs w:val="18"/>
          <w:color w:val="auto"/>
        </w:rPr>
        <w:t>5.4. CELLDEX shall pay, effective Jan 2014, [*] per shipment towards the cost of shipping, packaging and temperature monitoring service for shipments of BIOSYN KLH within the United States.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Effective January 1, 2014, CELLDEX shall pay no Customs or other related charges for BIOSYN KLH orders of [*] or more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180" w:firstLine="1297"/>
        <w:spacing w:after="0" w:line="282" w:lineRule="auto"/>
        <w:rPr>
          <w:sz w:val="20"/>
          <w:szCs w:val="20"/>
          <w:color w:val="auto"/>
        </w:rPr>
      </w:pPr>
      <w:r>
        <w:rPr>
          <w:rFonts w:ascii="Times New Roman" w:cs="Times New Roman" w:eastAsia="Times New Roman" w:hAnsi="Times New Roman"/>
          <w:sz w:val="18"/>
          <w:szCs w:val="18"/>
          <w:color w:val="auto"/>
        </w:rPr>
        <w:t>5.6. Effective January 1, 2014, CELLDEX shall pay a fee of [*] of the BIOSYN KLH cost towards Customs and other charges if the BIOSYN KLH product order is less than [*] in a year.</w:t>
      </w:r>
    </w:p>
    <w:p>
      <w:pPr>
        <w:sectPr>
          <w:pgSz w:w="11900" w:h="16838" w:orient="portrait"/>
          <w:cols w:equalWidth="0" w:num="1">
            <w:col w:w="11400"/>
          </w:cols>
          <w:pgMar w:left="240" w:top="121" w:right="259" w:bottom="0" w:gutter="0" w:footer="0" w:header="0"/>
        </w:sectPr>
      </w:pPr>
    </w:p>
    <w:bookmarkStart w:id="25" w:name="page26"/>
    <w:bookmarkEnd w:id="25"/>
    <w:p>
      <w:pPr>
        <w:ind w:firstLine="1297"/>
        <w:spacing w:after="0" w:line="266" w:lineRule="auto"/>
        <w:rPr>
          <w:sz w:val="20"/>
          <w:szCs w:val="20"/>
          <w:color w:val="auto"/>
        </w:rPr>
      </w:pPr>
      <w:r>
        <w:rPr>
          <w:rFonts w:ascii="Times New Roman" w:cs="Times New Roman" w:eastAsia="Times New Roman" w:hAnsi="Times New Roman"/>
          <w:sz w:val="18"/>
          <w:szCs w:val="18"/>
          <w:color w:val="auto"/>
        </w:rPr>
        <w:t>5.7. Payment for BIOSYN KLH accepted by CELLDEX and expenses incurred by BIOSYN under Sections 5.3, 5.4 and if applicable 5.6 shall be made by CELLDEX to BIOSYN within thirty (30) days of the end of the month in which BIOSYN KLH is actually received by CELLDEX at the address specified in the purchase order provided by CELLDEX.</w:t>
      </w:r>
    </w:p>
    <w:p>
      <w:pPr>
        <w:spacing w:after="0" w:line="176" w:lineRule="exact"/>
        <w:rPr>
          <w:sz w:val="20"/>
          <w:szCs w:val="20"/>
          <w:color w:val="auto"/>
        </w:rPr>
      </w:pPr>
    </w:p>
    <w:p>
      <w:pPr>
        <w:ind w:right="280" w:firstLine="1297"/>
        <w:spacing w:after="0" w:line="282" w:lineRule="auto"/>
        <w:rPr>
          <w:sz w:val="20"/>
          <w:szCs w:val="20"/>
          <w:color w:val="auto"/>
        </w:rPr>
      </w:pPr>
      <w:r>
        <w:rPr>
          <w:rFonts w:ascii="Times New Roman" w:cs="Times New Roman" w:eastAsia="Times New Roman" w:hAnsi="Times New Roman"/>
          <w:sz w:val="18"/>
          <w:szCs w:val="18"/>
          <w:color w:val="auto"/>
        </w:rPr>
        <w:t>5.8. CELLDEX shall pay a one-time non-refundable and non-exclusive licensing fee of [*] to BIOSYN, due in accordance with the following schedule:</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5.8.1.</w:t>
        <w:tab/>
        <w:t>[*] on the Effective Date of the Original Agreement (which amount has been paid).</w:t>
      </w:r>
    </w:p>
    <w:p>
      <w:pPr>
        <w:spacing w:after="0" w:line="225" w:lineRule="exact"/>
        <w:rPr>
          <w:sz w:val="20"/>
          <w:szCs w:val="20"/>
          <w:color w:val="auto"/>
        </w:rPr>
      </w:pPr>
    </w:p>
    <w:p>
      <w:pPr>
        <w:ind w:right="700" w:firstLine="1945"/>
        <w:spacing w:after="0" w:line="282" w:lineRule="auto"/>
        <w:rPr>
          <w:sz w:val="20"/>
          <w:szCs w:val="20"/>
          <w:color w:val="auto"/>
        </w:rPr>
      </w:pPr>
      <w:r>
        <w:rPr>
          <w:rFonts w:ascii="Times New Roman" w:cs="Times New Roman" w:eastAsia="Times New Roman" w:hAnsi="Times New Roman"/>
          <w:sz w:val="18"/>
          <w:szCs w:val="18"/>
          <w:color w:val="auto"/>
        </w:rPr>
        <w:t>5.8.2. Annual payments of [*] per year, payable each year on the anniversary date of the Effective Date of the Original Agreement, until such amount is paid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full. As of the Effective Date of this Agreement, the sum of [*] has been paid to BIOSYN. Notwithstanding the foregoing, such annual installment shall not be payable by CELLDEX in the event this Agreement is terminated by CELLDEX at least sixty (60) days prior to the date such payment is to be made in accordance with the provisions of Section 9.3. In such event, CELLDEX will have no further obligation to make annual payments under this Section 5.8. Previously paid annual payments remain non-refundable.</w:t>
      </w:r>
    </w:p>
    <w:p>
      <w:pPr>
        <w:spacing w:after="0" w:line="180" w:lineRule="exact"/>
        <w:rPr>
          <w:sz w:val="20"/>
          <w:szCs w:val="20"/>
          <w:color w:val="auto"/>
        </w:rPr>
      </w:pPr>
    </w:p>
    <w:p>
      <w:pPr>
        <w:ind w:right="880" w:firstLine="1945"/>
        <w:spacing w:after="0" w:line="282" w:lineRule="auto"/>
        <w:rPr>
          <w:sz w:val="20"/>
          <w:szCs w:val="20"/>
          <w:color w:val="auto"/>
        </w:rPr>
      </w:pPr>
      <w:r>
        <w:rPr>
          <w:rFonts w:ascii="Times New Roman" w:cs="Times New Roman" w:eastAsia="Times New Roman" w:hAnsi="Times New Roman"/>
          <w:sz w:val="18"/>
          <w:szCs w:val="18"/>
          <w:color w:val="auto"/>
        </w:rPr>
        <w:t>5.8.3. Outstanding balance, if any, shall be paid in full within thirty (30) days of FDA approval of Rindopepimut for commercial sale in the United States.</w:t>
      </w:r>
    </w:p>
    <w:p>
      <w:pPr>
        <w:spacing w:after="0" w:line="162"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18"/>
          <w:szCs w:val="18"/>
          <w:color w:val="auto"/>
        </w:rPr>
        <w:t>5.9. In addition to the payments described in Section 5.8, CELLDEX shall also issue to BIOSYN a number of shares of common stock of CELLDEX determined by dividing (x) $2,000,000.00 by (y) the ten (10) day average closing price of the common stock of CELLDEX (ticker symbol CLDX) ending one (1) day prior to the Effective Date. At such time BIOSYN shall enter into a Subscription and Restricted Stock Agreement substantially in the form annexed hereto as Exhibit 5.9.</w:t>
      </w:r>
    </w:p>
    <w:p>
      <w:pPr>
        <w:spacing w:after="0" w:line="180" w:lineRule="exact"/>
        <w:rPr>
          <w:sz w:val="20"/>
          <w:szCs w:val="20"/>
          <w:color w:val="auto"/>
        </w:rPr>
      </w:pPr>
    </w:p>
    <w:p>
      <w:pPr>
        <w:ind w:right="520" w:firstLine="1297"/>
        <w:spacing w:after="0" w:line="282" w:lineRule="auto"/>
        <w:rPr>
          <w:sz w:val="20"/>
          <w:szCs w:val="20"/>
          <w:color w:val="auto"/>
        </w:rPr>
      </w:pPr>
      <w:r>
        <w:rPr>
          <w:rFonts w:ascii="Times New Roman" w:cs="Times New Roman" w:eastAsia="Times New Roman" w:hAnsi="Times New Roman"/>
          <w:sz w:val="18"/>
          <w:szCs w:val="18"/>
          <w:color w:val="auto"/>
        </w:rPr>
        <w:t>5.10. In consideration for performing the Stability Studies for BIOSYN KLH described in Section 2.1.7 and as further set forth in Exhibit 2.1.7, CELLDEX shall pay to BIOSYN on the Effective Date of this Agreement the sum of [*].</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5.12. In the event that CELLDEX determines at a future date to use the VACMUNE® IEX formulation of KLH for the manufacture of Rindopepimut as provided in Section 4.9 above, CELLDEX will pay towards the cost of stability studies. Such costs will equal the actual cost of the VACMUNE IEX product used in such stability studies plus $100,000.00 per batch or lot.</w:t>
      </w:r>
    </w:p>
    <w:p>
      <w:pPr>
        <w:spacing w:after="0" w:line="176"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5.13. CELLDEX shall pay to BIOSYN for any special requests by CELLDEX for product characterization, product quality, or any other requests for services or products not expressly provided for in this Agreement at a price to be negotiated by the parties.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7"/>
          <w:szCs w:val="17"/>
          <w:color w:val="auto"/>
        </w:rPr>
        <w:t>All amounts due and payable under this Agreement shall be made in United States currency.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7"/>
          <w:szCs w:val="17"/>
          <w:color w:val="auto"/>
        </w:rPr>
        <w:t>If any amounts due hereunder are not paid when due, the unpaid balance shall accrue interest at the rate of 1.5% per month until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in full.</w:t>
      </w:r>
    </w:p>
    <w:p>
      <w:pPr>
        <w:spacing w:after="0" w:line="203"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BIOSYN LICENSE</w:t>
      </w:r>
    </w:p>
    <w:p>
      <w:pPr>
        <w:spacing w:after="0" w:line="229" w:lineRule="exact"/>
        <w:rPr>
          <w:sz w:val="20"/>
          <w:szCs w:val="20"/>
          <w:color w:val="auto"/>
        </w:rPr>
      </w:pPr>
    </w:p>
    <w:p>
      <w:pPr>
        <w:jc w:val="both"/>
        <w:ind w:right="100" w:firstLine="1297"/>
        <w:spacing w:after="0" w:line="266" w:lineRule="auto"/>
        <w:rPr>
          <w:sz w:val="20"/>
          <w:szCs w:val="20"/>
          <w:color w:val="auto"/>
        </w:rPr>
      </w:pPr>
      <w:r>
        <w:rPr>
          <w:rFonts w:ascii="Times New Roman" w:cs="Times New Roman" w:eastAsia="Times New Roman" w:hAnsi="Times New Roman"/>
          <w:sz w:val="18"/>
          <w:szCs w:val="18"/>
          <w:color w:val="auto"/>
        </w:rPr>
        <w:t>6.1. In consideration of the obligations undertaken by CELLDEX in this Agreement, BIOSYN hereby grants to CELLDEX (i) a non-exclusive perpetual, royalty-free license in the Territory, to BIOSYN KLH, to research, develop, make, have made, use, sell, offer for sale, export and import Rindopepimut (with the right to sublicense for the same purposes) during the Initial Term and any Further Term.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58" w:lineRule="auto"/>
        <w:rPr>
          <w:sz w:val="20"/>
          <w:szCs w:val="20"/>
          <w:color w:val="auto"/>
        </w:rPr>
      </w:pPr>
      <w:r>
        <w:rPr>
          <w:rFonts w:ascii="Times New Roman" w:cs="Times New Roman" w:eastAsia="Times New Roman" w:hAnsi="Times New Roman"/>
          <w:sz w:val="18"/>
          <w:szCs w:val="18"/>
          <w:color w:val="auto"/>
        </w:rPr>
        <w:t>6.2. BIOSYN will update and maintain the DMF per regulations of the Canadian and United States regulatory authorities including FDA, and will provide any additional data requested to support CELLDEX’s regulatory filings in any and all jurisdictions or countries in the Territory (including the EU) at no additional cost, pursuant to the licensing fee paid pursuant to Section 5.8. Upon execution of this Agreement, BIOSYN shall provide to CELLDEX a full and complete copy of the DMF with a right to reference, use or otherwise access the DMF as necessary in connection with any filings necessary to gain regulatory approval of Rindopepimut anywhere in the Territory.</w:t>
      </w:r>
    </w:p>
    <w:p>
      <w:pPr>
        <w:spacing w:after="0" w:line="184" w:lineRule="exact"/>
        <w:rPr>
          <w:sz w:val="20"/>
          <w:szCs w:val="20"/>
          <w:color w:val="auto"/>
        </w:rPr>
      </w:pPr>
    </w:p>
    <w:p>
      <w:pPr>
        <w:jc w:val="both"/>
        <w:ind w:right="360" w:firstLine="1297"/>
        <w:spacing w:after="0" w:line="266" w:lineRule="auto"/>
        <w:rPr>
          <w:sz w:val="20"/>
          <w:szCs w:val="20"/>
          <w:color w:val="auto"/>
        </w:rPr>
      </w:pPr>
      <w:r>
        <w:rPr>
          <w:rFonts w:ascii="Times New Roman" w:cs="Times New Roman" w:eastAsia="Times New Roman" w:hAnsi="Times New Roman"/>
          <w:sz w:val="18"/>
          <w:szCs w:val="18"/>
          <w:color w:val="auto"/>
        </w:rPr>
        <w:t>6.3. BIOSYN will be responsible for any BIOSYN KLH related questions and specific regulatory related updates requested by the United States, Canadian, or other regulatory authorities in the Territory and shall provide CELLDEX with copies of any requests received and responses thereto.</w:t>
      </w:r>
    </w:p>
    <w:p>
      <w:pPr>
        <w:spacing w:after="0" w:line="176" w:lineRule="exact"/>
        <w:rPr>
          <w:sz w:val="20"/>
          <w:szCs w:val="20"/>
          <w:color w:val="auto"/>
        </w:rPr>
      </w:pPr>
    </w:p>
    <w:p>
      <w:pPr>
        <w:ind w:right="100" w:firstLine="1297"/>
        <w:spacing w:after="0" w:line="282" w:lineRule="auto"/>
        <w:rPr>
          <w:sz w:val="20"/>
          <w:szCs w:val="20"/>
          <w:color w:val="auto"/>
        </w:rPr>
      </w:pPr>
      <w:r>
        <w:rPr>
          <w:rFonts w:ascii="Times New Roman" w:cs="Times New Roman" w:eastAsia="Times New Roman" w:hAnsi="Times New Roman"/>
          <w:sz w:val="18"/>
          <w:szCs w:val="18"/>
          <w:color w:val="auto"/>
        </w:rPr>
        <w:t>6.4. At the request of CELLDEX, BIOSYN shall provide a cross-reference letter (“Cross Reference Letter”) to the FDA, Canadian, or other regulatory authorities in the Territory, authorizing access to the DMF.</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6.4.1.</w:t>
        <w:tab/>
        <w:t>In its request, CELLDEX shall provide the following information to BIOSYN for Cross Reference Letter issuance: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Title of the IND/NDA; Name and Address of IND/NDA Holder; IND/NDA number;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Name and address of specific FDA, Canadian, or other regulatory reviewer, if available.</w:t>
      </w:r>
    </w:p>
    <w:p>
      <w:pPr>
        <w:sectPr>
          <w:pgSz w:w="11900" w:h="16838" w:orient="portrait"/>
          <w:cols w:equalWidth="0" w:num="1">
            <w:col w:w="11420"/>
          </w:cols>
          <w:pgMar w:left="240" w:top="121" w:right="239" w:bottom="36" w:gutter="0" w:footer="0" w:header="0"/>
        </w:sectPr>
      </w:pPr>
    </w:p>
    <w:bookmarkStart w:id="26" w:name="page27"/>
    <w:bookmarkEnd w:id="26"/>
    <w:p>
      <w:pPr>
        <w:spacing w:after="0" w:line="81" w:lineRule="exact"/>
        <w:rPr>
          <w:sz w:val="20"/>
          <w:szCs w:val="20"/>
          <w:color w:val="auto"/>
        </w:rPr>
      </w:pPr>
    </w:p>
    <w:p>
      <w:pPr>
        <w:ind w:right="300" w:firstLine="1297"/>
        <w:spacing w:after="0" w:line="282" w:lineRule="auto"/>
        <w:rPr>
          <w:sz w:val="20"/>
          <w:szCs w:val="20"/>
          <w:color w:val="auto"/>
        </w:rPr>
      </w:pPr>
      <w:r>
        <w:rPr>
          <w:rFonts w:ascii="Times New Roman" w:cs="Times New Roman" w:eastAsia="Times New Roman" w:hAnsi="Times New Roman"/>
          <w:sz w:val="18"/>
          <w:szCs w:val="18"/>
          <w:color w:val="auto"/>
        </w:rPr>
        <w:t>6.5. BIOSYN will deliver to the FDA, Canadian, or other regulatory authority in the Territory with a copy to CELLDEX, the Cross Reference Letter, not later than thirty (30) days following the date of CELLDEX’S request.</w:t>
      </w:r>
    </w:p>
    <w:p>
      <w:pPr>
        <w:spacing w:after="0" w:line="158"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7.1. This Agreement shall (unless terminated at an earlier date pursuant to Section 10) continue in full force and effect for the Initial Term and any Further Term.</w:t>
      </w:r>
    </w:p>
    <w:p>
      <w:pPr>
        <w:spacing w:after="0" w:line="162" w:lineRule="exact"/>
        <w:rPr>
          <w:sz w:val="20"/>
          <w:szCs w:val="20"/>
          <w:color w:val="auto"/>
        </w:rPr>
      </w:pPr>
    </w:p>
    <w:p>
      <w:pPr>
        <w:ind w:right="60" w:firstLine="1297"/>
        <w:spacing w:after="0" w:line="266" w:lineRule="auto"/>
        <w:rPr>
          <w:sz w:val="20"/>
          <w:szCs w:val="20"/>
          <w:color w:val="auto"/>
        </w:rPr>
      </w:pPr>
      <w:r>
        <w:rPr>
          <w:rFonts w:ascii="Times New Roman" w:cs="Times New Roman" w:eastAsia="Times New Roman" w:hAnsi="Times New Roman"/>
          <w:sz w:val="18"/>
          <w:szCs w:val="18"/>
          <w:color w:val="auto"/>
        </w:rPr>
        <w:t>7.2. After the Initial Term or any Further Term, this Agreement shall be automatically extended for an additional Further Term unless terminated by either Party by giving to the other written notice of termination at least six (6) months prior to the end of the Initial or Further Term, as the case may be.</w:t>
      </w:r>
    </w:p>
    <w:p>
      <w:pPr>
        <w:spacing w:after="0" w:line="172"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FAILURE TO PERFORM</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7"/>
          <w:szCs w:val="17"/>
          <w:color w:val="auto"/>
        </w:rPr>
        <w:t>A default by a Party occurs when:</w:t>
      </w:r>
    </w:p>
    <w:p>
      <w:pPr>
        <w:spacing w:after="0" w:line="225"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8.1.1.   BIOSYN fails to comply with the terms of Sections 2 or 4 or any other covenant made by it under this Agreement;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8.1.2.</w:t>
        <w:tab/>
        <w:t>CELLDEX fails to comply with the terms of Sections 3 or 5 or any other covenant made by it under this Agreement.</w:t>
      </w:r>
    </w:p>
    <w:p>
      <w:pPr>
        <w:spacing w:after="0" w:line="225" w:lineRule="exact"/>
        <w:rPr>
          <w:sz w:val="20"/>
          <w:szCs w:val="20"/>
          <w:color w:val="auto"/>
        </w:rPr>
      </w:pPr>
    </w:p>
    <w:p>
      <w:pPr>
        <w:ind w:right="320" w:firstLine="1297"/>
        <w:spacing w:after="0" w:line="266" w:lineRule="auto"/>
        <w:rPr>
          <w:sz w:val="20"/>
          <w:szCs w:val="20"/>
          <w:color w:val="auto"/>
        </w:rPr>
      </w:pPr>
      <w:r>
        <w:rPr>
          <w:rFonts w:ascii="Times New Roman" w:cs="Times New Roman" w:eastAsia="Times New Roman" w:hAnsi="Times New Roman"/>
          <w:sz w:val="18"/>
          <w:szCs w:val="18"/>
          <w:color w:val="auto"/>
        </w:rPr>
        <w:t>8.2. In the event either Party is in default under Section 8.1 of this Agreement, the other Party shall give notice of default to the defaulting Party. The defaulting Party shall be allowed thirty (30) days to cure their breach. Failure to cure such default within thirty (30) days permits the non-breaching Party, without limitation to other remedies, to terminate this Agreement pursuant to Section 9 below.</w:t>
      </w:r>
    </w:p>
    <w:p>
      <w:pPr>
        <w:spacing w:after="0" w:line="176"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8.3. In the event BIOSYN fails to perform pursuant to the events of Section 8.1.1, and notwithstanding any limitations set forth in Section 4.6 hereof, CELLDEX is entitled to attempt to cover by obtaining pharmaceutical grade (cGMP) KLH from any other source without prejudice to any other remedy, provided, BIOSYN shall be entitled to first cure the event pursuant to Section 8.2.</w:t>
      </w:r>
    </w:p>
    <w:p>
      <w:pPr>
        <w:spacing w:after="0" w:line="172"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9.1. Subject to Sections 9.3 and 8.2, either Party may terminate this Agreement upon either of the events of Section 8.1. If, however, termination is pursuant to Section 9.2 and BIOSYN is the Breaching Party, BIOSYN agrees that it will not withdraw supplies of BIOSYN KLH required for the completion of any clinical trial for Rindopepimut conducted by CELLDEX pending at the time of CELLDEX’s notice of termination, so long as CELLDEX is not in violation of Sections 3 or 5 and shall continue to supply such quantities of BIOSYN KLH to CELLDEX until CELLDEX is able to complete the Technology Transfer contemplated in Section 4.6 above. In addition, CELLDEX shall have the continued right and license to reference the DMF as necessary to continue to develop and commercialize Rindopepimut.</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Events that permit termination, other than the events of Section 8.1, are:</w:t>
      </w:r>
    </w:p>
    <w:p>
      <w:pPr>
        <w:spacing w:after="0" w:line="225" w:lineRule="exact"/>
        <w:rPr>
          <w:sz w:val="20"/>
          <w:szCs w:val="20"/>
          <w:color w:val="auto"/>
        </w:rPr>
      </w:pPr>
    </w:p>
    <w:p>
      <w:pPr>
        <w:ind w:right="20" w:firstLine="1945"/>
        <w:spacing w:after="0" w:line="282" w:lineRule="auto"/>
        <w:rPr>
          <w:sz w:val="20"/>
          <w:szCs w:val="20"/>
          <w:color w:val="auto"/>
        </w:rPr>
      </w:pPr>
      <w:r>
        <w:rPr>
          <w:rFonts w:ascii="Times New Roman" w:cs="Times New Roman" w:eastAsia="Times New Roman" w:hAnsi="Times New Roman"/>
          <w:sz w:val="18"/>
          <w:szCs w:val="18"/>
          <w:color w:val="auto"/>
        </w:rPr>
        <w:t>9.2.1. the passing by a Party of a resolution for its winding-up or the making by a court of competent jurisdiction of an order for the winding-up of the other Party or the dissolution of the Party;</w:t>
      </w:r>
    </w:p>
    <w:p>
      <w:pPr>
        <w:spacing w:after="0" w:line="162" w:lineRule="exact"/>
        <w:rPr>
          <w:sz w:val="20"/>
          <w:szCs w:val="20"/>
          <w:color w:val="auto"/>
        </w:rPr>
      </w:pPr>
    </w:p>
    <w:p>
      <w:pPr>
        <w:ind w:right="380" w:firstLine="1945"/>
        <w:spacing w:after="0" w:line="282" w:lineRule="auto"/>
        <w:rPr>
          <w:sz w:val="20"/>
          <w:szCs w:val="20"/>
          <w:color w:val="auto"/>
        </w:rPr>
      </w:pPr>
      <w:r>
        <w:rPr>
          <w:rFonts w:ascii="Times New Roman" w:cs="Times New Roman" w:eastAsia="Times New Roman" w:hAnsi="Times New Roman"/>
          <w:sz w:val="18"/>
          <w:szCs w:val="18"/>
          <w:color w:val="auto"/>
        </w:rPr>
        <w:t>9.2.2. the making of an administration order in relation to the a Party or the appointment of a receiver over, or the taking of possession or sale by an encumbrance of, any of the Party’s assets;</w:t>
      </w:r>
    </w:p>
    <w:p>
      <w:pPr>
        <w:spacing w:after="0" w:line="162" w:lineRule="exact"/>
        <w:rPr>
          <w:sz w:val="20"/>
          <w:szCs w:val="20"/>
          <w:color w:val="auto"/>
        </w:rPr>
      </w:pPr>
    </w:p>
    <w:p>
      <w:pPr>
        <w:ind w:right="540" w:firstLine="1945"/>
        <w:spacing w:after="0" w:line="282" w:lineRule="auto"/>
        <w:rPr>
          <w:sz w:val="20"/>
          <w:szCs w:val="20"/>
          <w:color w:val="auto"/>
        </w:rPr>
      </w:pPr>
      <w:r>
        <w:rPr>
          <w:rFonts w:ascii="Times New Roman" w:cs="Times New Roman" w:eastAsia="Times New Roman" w:hAnsi="Times New Roman"/>
          <w:sz w:val="18"/>
          <w:szCs w:val="18"/>
          <w:color w:val="auto"/>
        </w:rPr>
        <w:t>9.2.3. the Party making an arrangement or composition with its creditors generally or making an application to a court of competent jurisdiction for protection from its creditors generally.</w:t>
      </w:r>
    </w:p>
    <w:p>
      <w:pPr>
        <w:spacing w:after="0" w:line="162"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9.3. Notwithstanding anything herein to the contrary, CELLDEX shall have the right to terminate this Agreement upon sixty (60) days written notice to BIOSYN in the event CELLDEX shall determine not to proceed with the development of Rindopepimut for any reason. In such event, CELLDEX shall cease further development of Rindopepimut.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TERMINATION</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Subject to Section 9.1, all rights and obligations of the Parties shall cease to have effect immediately upon termination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except that termination shall not affect:</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10.1.1.</w:t>
        <w:tab/>
        <w:t>the accrued rights and obligations of the Parties at the date of termination; and</w:t>
      </w:r>
    </w:p>
    <w:p>
      <w:pPr>
        <w:spacing w:after="0" w:line="225" w:lineRule="exact"/>
        <w:rPr>
          <w:sz w:val="20"/>
          <w:szCs w:val="20"/>
          <w:color w:val="auto"/>
        </w:rPr>
      </w:pPr>
    </w:p>
    <w:p>
      <w:pPr>
        <w:jc w:val="both"/>
        <w:ind w:right="20" w:firstLine="1945"/>
        <w:spacing w:after="0" w:line="266" w:lineRule="auto"/>
        <w:rPr>
          <w:sz w:val="20"/>
          <w:szCs w:val="20"/>
          <w:color w:val="auto"/>
        </w:rPr>
      </w:pPr>
      <w:r>
        <w:rPr>
          <w:rFonts w:ascii="Times New Roman" w:cs="Times New Roman" w:eastAsia="Times New Roman" w:hAnsi="Times New Roman"/>
          <w:sz w:val="18"/>
          <w:szCs w:val="18"/>
          <w:color w:val="auto"/>
        </w:rPr>
        <w:t>10.1.2. the continued existence and validity of the rights and obligations of the Parties under Sections 2 and 5 (but only in respect of any orders made by CELLDEX prior to the date of termination as to both Sections 2 and 5), Section 4.6, Section 9.1 (as it relates to BIOSYN), Section 10, and any provisions of this Agreement necessary for the interpretation or enforcement of this Agreement.</w:t>
      </w:r>
    </w:p>
    <w:p>
      <w:pPr>
        <w:spacing w:after="0" w:line="17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11.1. BIOSYN shall indemnify CELLDEX, its Affiliates, and their respective officers, employees and agents (“CELLDEX Indemnitees”) for any loss, damage, costs and expenses (including reasonable attorney fees) that CELLDEX Indemnitees may suffer as a result of any Third Party claim arising directly out of (i) a failure by BIOSYN or any of its employees to perform the obligations in accordance with Section 2 of this Agreement,</w:t>
      </w:r>
    </w:p>
    <w:p>
      <w:pPr>
        <w:sectPr>
          <w:pgSz w:w="11900" w:h="16919" w:orient="portrait"/>
          <w:cols w:equalWidth="0" w:num="1">
            <w:col w:w="11420"/>
          </w:cols>
          <w:pgMar w:left="240" w:top="121" w:right="239" w:bottom="0" w:gutter="0" w:footer="0" w:header="0"/>
        </w:sectPr>
      </w:pPr>
    </w:p>
    <w:bookmarkStart w:id="27" w:name="page28"/>
    <w:bookmarkEnd w:id="27"/>
    <w:p>
      <w:pPr>
        <w:ind w:firstLine="8"/>
        <w:spacing w:after="0" w:line="266"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negligent, wilful or reckless action, misconduct, error, inaction or omission of BIOSYN or its employees, agents or subcontractors or (iii) any claims alleging that the BIOSYN KLH infringes any intellectual property rights of a Third Party except, in each case, to the extent that such claims resulted from the negligence, intentional misconduct or breach of this Agreement by any CELLDEX Indemnitees.</w:t>
      </w:r>
    </w:p>
    <w:p>
      <w:pPr>
        <w:spacing w:after="0" w:line="176" w:lineRule="exact"/>
        <w:rPr>
          <w:sz w:val="20"/>
          <w:szCs w:val="20"/>
          <w:color w:val="auto"/>
        </w:rPr>
      </w:pPr>
    </w:p>
    <w:p>
      <w:pPr>
        <w:ind w:right="20" w:firstLine="1297"/>
        <w:spacing w:after="0" w:line="256" w:lineRule="auto"/>
        <w:rPr>
          <w:sz w:val="20"/>
          <w:szCs w:val="20"/>
          <w:color w:val="auto"/>
        </w:rPr>
      </w:pPr>
      <w:r>
        <w:rPr>
          <w:rFonts w:ascii="Times New Roman" w:cs="Times New Roman" w:eastAsia="Times New Roman" w:hAnsi="Times New Roman"/>
          <w:sz w:val="18"/>
          <w:szCs w:val="18"/>
          <w:color w:val="auto"/>
        </w:rPr>
        <w:t>11.2. CELLDEX shall indemnify BIOSYN, its Affiliates, and their respective officers, employees and agents (“BIOSYN Indemnitees”) from and against any loss, damage, costs and expenses (including reasonable attorney fees) that BIOSYN Indemnitees may suffer as a result of any Third Party claim arising directly out of (i) any negligent, wilful or reckless action, misconduct, error, inaction or omission of CELLDEX or its employees, agents or subcontractors. (ii) any claims alleging that Rindopepimut infringes any Intellectual Property rights of third parties; or (iii) the manufacture, use, sale, or distribution of Rindopepimut, including any claims of product liability; except, in each case, to the extent that such claims resulted from the negligence, intentional misconduct or breach of this Agreement by any BIOSYN Indemnitees.</w:t>
      </w:r>
    </w:p>
    <w:p>
      <w:pPr>
        <w:spacing w:after="0" w:line="188"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11.3. If the Party to be indemnified intends to claim indemnification under this Section 11 it shall promptly notify the indemnifying Party in writing of such claim. The indemnitor shall have the right to control the defense and/or settlement thereof; provided, however, that any indemnitee shall have the right to retain its own counsel at its own expense. The indemnitee, its employees and agents, shall reasonably cooperate with the indemnitor in the investigation of any liability covered by this Section 11. The failure to deliver prompt written notice to the indemnitor of any claim, to the extent prejudicial to its ability to defend such claim, shall relieve the indemnitor of any obligation to the indemnitee under this Section 11.</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this Agreement, each Party shall pay its own costs of and incidental to the negotiation, preparation, execution and implementation by it of this Agreement and of all other documents referred to in it.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Each Party shall at its own cost do and execute or procure to be done and executed all necessary acts, agreements, documents and things reasonably within its power to give effect to this Agreement.</w:t>
      </w:r>
    </w:p>
    <w:p>
      <w:pPr>
        <w:spacing w:after="0" w:line="15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DISCLAIMERS</w:t>
      </w:r>
    </w:p>
    <w:p>
      <w:pPr>
        <w:spacing w:after="0" w:line="229" w:lineRule="exact"/>
        <w:rPr>
          <w:sz w:val="20"/>
          <w:szCs w:val="20"/>
          <w:color w:val="auto"/>
        </w:rPr>
      </w:pPr>
    </w:p>
    <w:p>
      <w:pPr>
        <w:ind w:right="220" w:firstLine="1297"/>
        <w:spacing w:after="0" w:line="266" w:lineRule="auto"/>
        <w:rPr>
          <w:sz w:val="20"/>
          <w:szCs w:val="20"/>
          <w:color w:val="auto"/>
        </w:rPr>
      </w:pPr>
      <w:r>
        <w:rPr>
          <w:rFonts w:ascii="Times New Roman" w:cs="Times New Roman" w:eastAsia="Times New Roman" w:hAnsi="Times New Roman"/>
          <w:sz w:val="18"/>
          <w:szCs w:val="18"/>
          <w:color w:val="auto"/>
        </w:rPr>
        <w:t>14.1. EXCEPT AS SET FORTH IN SECTIONS 2 AND 4 OF THIS AGREEMENT, BIOSYN DISCLAIMS ALL REPRESENTATIONS AND WARRANTIES OF ANY KIND RELATING TO BIOSYN KLH WHETHER EXPRESS OR IMPLIED, INCLUDING BUT NOT LIMITED TO, IMPLIED WARRANTIES OF MERCHANTABILITY AND FITNESS FOR A PARTICULAR PURPOSE.</w:t>
      </w:r>
    </w:p>
    <w:p>
      <w:pPr>
        <w:spacing w:after="0" w:line="176" w:lineRule="exact"/>
        <w:rPr>
          <w:sz w:val="20"/>
          <w:szCs w:val="20"/>
          <w:color w:val="auto"/>
        </w:rPr>
      </w:pPr>
    </w:p>
    <w:p>
      <w:pPr>
        <w:ind w:right="100" w:firstLine="1297"/>
        <w:spacing w:after="0" w:line="261" w:lineRule="auto"/>
        <w:rPr>
          <w:sz w:val="20"/>
          <w:szCs w:val="20"/>
          <w:color w:val="auto"/>
        </w:rPr>
      </w:pPr>
      <w:r>
        <w:rPr>
          <w:rFonts w:ascii="Times New Roman" w:cs="Times New Roman" w:eastAsia="Times New Roman" w:hAnsi="Times New Roman"/>
          <w:sz w:val="18"/>
          <w:szCs w:val="18"/>
          <w:color w:val="auto"/>
        </w:rPr>
        <w:t>14.2. IN NO EVENT SHALL EITHER PARTY BE LIABLE TO THE OTHER FOR ANY CONSEQUENTIAL, INDIRECT, INCIDENTAL, SPECIAL, OR EXEMPLARY DAMAGES ARISING OUT OF THE PERFORMANCE OR NON-PERFORMANCE OF THE BIOSYN KLH OR BREACH OF THIS AGREEMENT, INCLUDING WITHOUT LIMITATION DAMAGES FOR LOSS OF PROFITS, LOSS OF BUSINESS, OR BUSINESS INTERRUPTION, EVEN IF SUCH PARTY HAS BEEN ADVISED OF THE POSSIBILITY OF SUCH DAMAGES.</w:t>
      </w:r>
    </w:p>
    <w:p>
      <w:pPr>
        <w:spacing w:after="0" w:line="176"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80" w:firstLine="1297"/>
        <w:spacing w:after="0" w:line="282" w:lineRule="auto"/>
        <w:rPr>
          <w:sz w:val="20"/>
          <w:szCs w:val="20"/>
          <w:color w:val="auto"/>
        </w:rPr>
      </w:pPr>
      <w:r>
        <w:rPr>
          <w:rFonts w:ascii="Times New Roman" w:cs="Times New Roman" w:eastAsia="Times New Roman" w:hAnsi="Times New Roman"/>
          <w:sz w:val="18"/>
          <w:szCs w:val="18"/>
          <w:color w:val="auto"/>
        </w:rPr>
        <w:t>15.1. This Agreement constitutes the entire agreement between the Parties relating to the subject matter of this Agreement and supersedes all such previous agreements.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No modification of this Agreement shall be valid unless it is in writing and signed by or on behalf of each of the Parties.</w:t>
      </w:r>
    </w:p>
    <w:p>
      <w:pPr>
        <w:spacing w:after="0" w:line="225" w:lineRule="exact"/>
        <w:rPr>
          <w:sz w:val="20"/>
          <w:szCs w:val="20"/>
          <w:color w:val="auto"/>
        </w:rPr>
      </w:pPr>
    </w:p>
    <w:p>
      <w:pPr>
        <w:ind w:right="160" w:firstLine="1297"/>
        <w:spacing w:after="0" w:line="282" w:lineRule="auto"/>
        <w:rPr>
          <w:sz w:val="20"/>
          <w:szCs w:val="20"/>
          <w:color w:val="auto"/>
        </w:rPr>
      </w:pPr>
      <w:r>
        <w:rPr>
          <w:rFonts w:ascii="Times New Roman" w:cs="Times New Roman" w:eastAsia="Times New Roman" w:hAnsi="Times New Roman"/>
          <w:sz w:val="18"/>
          <w:szCs w:val="18"/>
          <w:color w:val="auto"/>
        </w:rPr>
        <w:t>15.3. The failure to exercise or delay in exercising a right or remedy under this Agreement shall not constitute a waiver of the right or remedy or a waiver of any other rights or remedies and no single or partial exercise of any right or remedy or the exercise of any other right or remedy.</w:t>
      </w:r>
    </w:p>
    <w:p>
      <w:pPr>
        <w:spacing w:after="0" w:line="162" w:lineRule="exact"/>
        <w:rPr>
          <w:sz w:val="20"/>
          <w:szCs w:val="20"/>
          <w:color w:val="auto"/>
        </w:rPr>
      </w:pPr>
    </w:p>
    <w:p>
      <w:pPr>
        <w:ind w:right="460" w:firstLine="1297"/>
        <w:spacing w:after="0" w:line="282" w:lineRule="auto"/>
        <w:rPr>
          <w:sz w:val="20"/>
          <w:szCs w:val="20"/>
          <w:color w:val="auto"/>
        </w:rPr>
      </w:pPr>
      <w:r>
        <w:rPr>
          <w:rFonts w:ascii="Times New Roman" w:cs="Times New Roman" w:eastAsia="Times New Roman" w:hAnsi="Times New Roman"/>
          <w:sz w:val="18"/>
          <w:szCs w:val="18"/>
          <w:color w:val="auto"/>
        </w:rPr>
        <w:t>15.4. Except as expressly provided in this Agreement the rights and remedies contained in this Agreement are cumulative and not exclusive of any rights or remedies provided by law.</w:t>
      </w:r>
    </w:p>
    <w:p>
      <w:pPr>
        <w:spacing w:after="0" w:line="162" w:lineRule="exact"/>
        <w:rPr>
          <w:sz w:val="20"/>
          <w:szCs w:val="20"/>
          <w:color w:val="auto"/>
        </w:rPr>
      </w:pPr>
    </w:p>
    <w:p>
      <w:pPr>
        <w:ind w:right="340" w:firstLine="1297"/>
        <w:spacing w:after="0" w:line="282" w:lineRule="auto"/>
        <w:rPr>
          <w:sz w:val="20"/>
          <w:szCs w:val="20"/>
          <w:color w:val="auto"/>
        </w:rPr>
      </w:pPr>
      <w:r>
        <w:rPr>
          <w:rFonts w:ascii="Times New Roman" w:cs="Times New Roman" w:eastAsia="Times New Roman" w:hAnsi="Times New Roman"/>
          <w:sz w:val="18"/>
          <w:szCs w:val="18"/>
          <w:color w:val="auto"/>
        </w:rPr>
        <w:t>15.5. Any date, time or period referred to in this Agreement is of the essence except only to the extent of which the Parties agree in writing to vary it in which event the varied date, time or period is of the essence.</w:t>
      </w:r>
    </w:p>
    <w:p>
      <w:pPr>
        <w:spacing w:after="0" w:line="162"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15.6. Nothing in this Agreement be construed as creating a partnership between the Parties or as constituting either Party as the agent of the other Party for any purpose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whatsoever and neither Party shall have the authority or power to bind the other Party or to contract in the name of or create a liability against the other Party in any way or for any purpose.</w:t>
      </w:r>
    </w:p>
    <w:p>
      <w:pPr>
        <w:spacing w:after="0" w:line="162" w:lineRule="exact"/>
        <w:rPr>
          <w:sz w:val="20"/>
          <w:szCs w:val="20"/>
          <w:color w:val="auto"/>
        </w:rPr>
      </w:pPr>
    </w:p>
    <w:p>
      <w:pPr>
        <w:jc w:val="both"/>
        <w:ind w:right="120" w:firstLine="1297"/>
        <w:spacing w:after="0" w:line="289" w:lineRule="auto"/>
        <w:rPr>
          <w:sz w:val="20"/>
          <w:szCs w:val="20"/>
          <w:color w:val="auto"/>
        </w:rPr>
      </w:pPr>
      <w:r>
        <w:rPr>
          <w:rFonts w:ascii="Times New Roman" w:cs="Times New Roman" w:eastAsia="Times New Roman" w:hAnsi="Times New Roman"/>
          <w:sz w:val="17"/>
          <w:szCs w:val="17"/>
          <w:color w:val="auto"/>
        </w:rPr>
        <w:t>15.7. The prevailing party(ies) in any litigation, arbitration, insolvency or other proceeding (“Proceeding”) relating to the enforcement or interpretation of this Agreement may recover from the unsuccessful party(ies) all costs, expenses, and attorney’s fees (including expert witness and other consultants’ fees and costs) relating to or arising out of (a) the Proceeding (whether or not the Proceeding proceeds to judgment), and (b) any post-judgment</w:t>
      </w:r>
    </w:p>
    <w:p>
      <w:pPr>
        <w:sectPr>
          <w:pgSz w:w="11900" w:h="16838" w:orient="portrait"/>
          <w:cols w:equalWidth="0" w:num="1">
            <w:col w:w="11360"/>
          </w:cols>
          <w:pgMar w:left="240" w:top="121" w:right="299" w:bottom="0" w:gutter="0" w:footer="0" w:header="0"/>
        </w:sectPr>
      </w:pPr>
    </w:p>
    <w:bookmarkStart w:id="28" w:name="page29"/>
    <w:bookmarkEnd w:id="28"/>
    <w:p>
      <w:pPr>
        <w:ind w:right="220"/>
        <w:spacing w:after="0" w:line="282" w:lineRule="auto"/>
        <w:rPr>
          <w:sz w:val="20"/>
          <w:szCs w:val="20"/>
          <w:color w:val="auto"/>
        </w:rPr>
      </w:pPr>
      <w:r>
        <w:rPr>
          <w:rFonts w:ascii="Times New Roman" w:cs="Times New Roman" w:eastAsia="Times New Roman" w:hAnsi="Times New Roman"/>
          <w:sz w:val="18"/>
          <w:szCs w:val="18"/>
          <w:color w:val="auto"/>
        </w:rPr>
        <w:t>or post-award proceeding including, without limitation, one to enforce or collect any judgment or award resulting from the Proceeding. All such judgments and awards shall contain a specific provision for the recovery of all such subsequently incurred costs, expenses, and attorney’s fees.</w:t>
      </w:r>
    </w:p>
    <w:p>
      <w:pPr>
        <w:spacing w:after="0" w:line="158"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Neither Party shall assign or transfer or purport to assign or transfer any of its rights or obligations under this Agreement except with the prior written consent of the other Party; provided, however, that CELLDEX shall have the right to assign the Agreement, without BIOSYN’S consent to (a) its Affiliate(s) (provided that the assigning Party shall remain jointly and severally liable with such Affiliate(s) under this Agreement), and (b) an entity that acquires all or substantially all of the business or assets of the assigning Party, whether by merger, reorganization, acquisition, sale or otherwise.</w:t>
      </w:r>
    </w:p>
    <w:p>
      <w:pPr>
        <w:spacing w:after="0" w:line="176"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18"/>
          <w:szCs w:val="18"/>
          <w:color w:val="auto"/>
        </w:rPr>
        <w:t>17.1. Any notice or other communication under or in connection with this Agreement shall be in writing in the English language and shall be delivered personally or sent by first class post pre-paid recorded delivery and air mail, by confirmed telefax, or by confirmed electronic mail (e-mail) to the Party due to receive the notice or communication at its address set out in this Agreement or such other address as either Party may specify by notice in writing to the other.</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In the absence of evidence of earlier receipt, any notice or other communication shall be deemed to have been duly given:</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color w:val="auto"/>
        </w:rPr>
        <w:t>if delivered personally, when left at the address referred to in this Agreement;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7"/>
          <w:szCs w:val="17"/>
          <w:color w:val="auto"/>
        </w:rPr>
        <w:t>if sent by mail other than air mail, six (6) days after posting it;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17.2.3.</w:t>
        <w:tab/>
        <w:t>if sent by air mail, six (6) days after posting it;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17.2.4.</w:t>
        <w:tab/>
        <w:t>if sent by confirmed telefax or confirmed e-mail, when clearly received in full.</w:t>
      </w:r>
    </w:p>
    <w:p>
      <w:pPr>
        <w:spacing w:after="0" w:line="221"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This Agreement is governed by, and shall be construed in accordance with Delaware law.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18.2. Each party irrevocably waives any objection which it might at any time have to the courts of Delaware being nominated as the forum to hear and determine any proceedings and to settle any disputes and agrees not to claim that the courts of Delaware are not a convenient or appropriate forum.</w:t>
      </w:r>
    </w:p>
    <w:p>
      <w:pPr>
        <w:spacing w:after="0" w:line="176" w:lineRule="exact"/>
        <w:rPr>
          <w:sz w:val="20"/>
          <w:szCs w:val="20"/>
          <w:color w:val="auto"/>
        </w:rPr>
      </w:pPr>
    </w:p>
    <w:p>
      <w:pPr>
        <w:ind w:right="360" w:firstLine="1297"/>
        <w:spacing w:after="0" w:line="313" w:lineRule="auto"/>
        <w:rPr>
          <w:sz w:val="20"/>
          <w:szCs w:val="20"/>
          <w:color w:val="auto"/>
        </w:rPr>
      </w:pPr>
      <w:r>
        <w:rPr>
          <w:rFonts w:ascii="Times New Roman" w:cs="Times New Roman" w:eastAsia="Times New Roman" w:hAnsi="Times New Roman"/>
          <w:sz w:val="17"/>
          <w:szCs w:val="17"/>
          <w:color w:val="auto"/>
        </w:rPr>
        <w:t>18.3. Each party agrees that the process by which any proceedings are begun in Delaware may be served on BIOSYN by being delivered in accordance with Section 17. Nothing contained in this paragraph shall affect the right to serve process in any other manner permitted by law.</w:t>
      </w:r>
    </w:p>
    <w:p>
      <w:pPr>
        <w:spacing w:after="0" w:line="138" w:lineRule="exact"/>
        <w:rPr>
          <w:sz w:val="20"/>
          <w:szCs w:val="20"/>
          <w:color w:val="auto"/>
        </w:rPr>
      </w:pPr>
    </w:p>
    <w:p>
      <w:pPr>
        <w:ind w:right="160" w:firstLine="1297"/>
        <w:spacing w:after="0" w:line="282" w:lineRule="auto"/>
        <w:rPr>
          <w:sz w:val="20"/>
          <w:szCs w:val="20"/>
          <w:color w:val="auto"/>
        </w:rPr>
      </w:pPr>
      <w:r>
        <w:rPr>
          <w:rFonts w:ascii="Times New Roman" w:cs="Times New Roman" w:eastAsia="Times New Roman" w:hAnsi="Times New Roman"/>
          <w:sz w:val="18"/>
          <w:szCs w:val="18"/>
          <w:color w:val="auto"/>
        </w:rPr>
        <w:t>18.4. This Agreement is drawn up in the English language and if this Agreement is translated into any language other than the English language this version shall prevail.</w:t>
      </w:r>
    </w:p>
    <w:p>
      <w:pPr>
        <w:spacing w:after="0" w:line="158"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and delivered shall be an original, but all the counterparts together shall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WITNESS the hands of the Parties or their duly authorized representatives the day and year first above written.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78"/>
        </w:trPr>
        <w:tc>
          <w:tcPr>
            <w:tcW w:w="1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99"/>
              </w:rPr>
              <w:t>for and behalf of</w:t>
            </w:r>
          </w:p>
        </w:tc>
        <w:tc>
          <w:tcPr>
            <w:tcW w:w="4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CELLDEX THERAPEUTICS, INC.</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Shammana Muddukrishna</w:t>
            </w:r>
          </w:p>
        </w:tc>
      </w:tr>
      <w:tr>
        <w:trPr>
          <w:trHeight w:val="178"/>
        </w:trPr>
        <w:tc>
          <w:tcPr>
            <w:tcW w:w="1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99"/>
              </w:rPr>
              <w:t>for and behalf of</w:t>
            </w:r>
          </w:p>
        </w:tc>
        <w:tc>
          <w:tcPr>
            <w:tcW w:w="4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BIOSYN Corporation</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/s/Ortwin Kottwitz</w:t>
            </w:r>
          </w:p>
        </w:tc>
      </w:tr>
      <w:tr>
        <w:trPr>
          <w:trHeight w:val="198"/>
        </w:trPr>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for and behalf of</w:t>
            </w:r>
          </w:p>
        </w:tc>
        <w:tc>
          <w:tcPr>
            <w:tcW w:w="40" w:type="dxa"/>
            <w:vAlign w:val="bottom"/>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BIOSYN Arzneimittel GmbH</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Stability Studies</w:t>
      </w:r>
    </w:p>
    <w:p>
      <w:pPr>
        <w:sectPr>
          <w:pgSz w:w="11900" w:h="16838" w:orient="portrait"/>
          <w:cols w:equalWidth="0" w:num="1">
            <w:col w:w="11400"/>
          </w:cols>
          <w:pgMar w:left="240" w:top="121" w:right="259" w:bottom="0" w:gutter="0" w:footer="0" w:header="0"/>
        </w:sectPr>
      </w:pPr>
    </w:p>
    <w:bookmarkStart w:id="29" w:name="page30"/>
    <w:bookmarkEnd w:id="2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Stability Study in accordance with BIOSYN’S procedures will be of [*] of the current formulation of BIOSYN KLH (supplied since the date of the Original Agreement) as follows:</w:t>
      </w:r>
    </w:p>
    <w:p>
      <w:pPr>
        <w:spacing w:after="0" w:line="162" w:lineRule="exact"/>
        <w:rPr>
          <w:sz w:val="20"/>
          <w:szCs w:val="20"/>
          <w:color w:val="auto"/>
        </w:rPr>
      </w:pPr>
    </w:p>
    <w:p>
      <w:pPr>
        <w:ind w:right="600" w:firstLine="656"/>
        <w:spacing w:after="0" w:line="282" w:lineRule="auto"/>
        <w:tabs>
          <w:tab w:leader="none" w:pos="13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Stability Study of [*] in duration from [*] in 50 ml bags filled with BIOSYN KLH under storage conditions at [*] (from current manufacturing process.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stress study of BIOSYN KLH under [*] and at [*].</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Stability Studies are estimated to be completed by approximately [*]. A draft copy of the stability results will be provided upon execution of this Agreement and a final report will be provided upon study completion.</w:t>
      </w:r>
    </w:p>
    <w:p>
      <w:pPr>
        <w:spacing w:after="0" w:line="162" w:lineRule="exact"/>
        <w:rPr>
          <w:sz w:val="20"/>
          <w:szCs w:val="20"/>
          <w:color w:val="auto"/>
        </w:rPr>
      </w:pPr>
    </w:p>
    <w:p>
      <w:pPr>
        <w:ind w:right="460" w:firstLine="1297"/>
        <w:spacing w:after="0" w:line="282" w:lineRule="auto"/>
        <w:rPr>
          <w:sz w:val="20"/>
          <w:szCs w:val="20"/>
          <w:color w:val="auto"/>
        </w:rPr>
      </w:pPr>
      <w:r>
        <w:rPr>
          <w:rFonts w:ascii="Times New Roman" w:cs="Times New Roman" w:eastAsia="Times New Roman" w:hAnsi="Times New Roman"/>
          <w:sz w:val="18"/>
          <w:szCs w:val="18"/>
          <w:color w:val="auto"/>
        </w:rPr>
        <w:t>Upon the request of CELLDEX, BIOSYN shall provide and make available BIOSYN KLH from the Stability Studies so as to enable CELLDEX to assess BIOSYN KLH in conjugation and Rindopepimut product quality.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2.1.8</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2.1.9</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QUALITY AGREEMENT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Quality Agreement</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BIOSYN Corporation, a company incorporated in California, USA, whose registered office is at 5939 Darwin Court, Suite 114, Carlsbad, CA 92008, USA, and a wholly owned subsidiary of BIOSYN Arzneimittel GmbH, Germany (collectively referred to herein as “BIOSYN”); and Celldex Therapeutics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(“Celldex”) 119 Fourth Ave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Needham, MA 02494</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QUALITY AGREEMENT (hereinafter the “Agreement”) outlines the co-operation and Current Good Manufacturing Practices (as defined below), Quality Assurance (“QA”) and Compliance responsibilities (collectively the “QUALITY RESPONSIBILITIES”) between </w:t>
      </w:r>
      <w:r>
        <w:rPr>
          <w:rFonts w:ascii="Times New Roman" w:cs="Times New Roman" w:eastAsia="Times New Roman" w:hAnsi="Times New Roman"/>
          <w:sz w:val="18"/>
          <w:szCs w:val="18"/>
          <w:b w:val="1"/>
          <w:bCs w:val="1"/>
          <w:color w:val="auto"/>
        </w:rPr>
        <w:t>Celldex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BIOSYN</w:t>
      </w:r>
      <w:r>
        <w:rPr>
          <w:rFonts w:ascii="Times New Roman" w:cs="Times New Roman" w:eastAsia="Times New Roman" w:hAnsi="Times New Roman"/>
          <w:sz w:val="18"/>
          <w:szCs w:val="18"/>
          <w:color w:val="auto"/>
        </w:rPr>
        <w:t xml:space="preserve"> with respect to the supply of BIOSYN KLH meaning the form of KLH manufactured by BIOSYN as [*], a raw material to be purchased by Celldex (hereinafter the “Material”) as Bulk liquid in bags to be used in products manufactured by and for Celldex. The terms and conditions of this Agreement shall remain in full force and effect during the term of the Third Amended and Restated Supply Agreement, as amended, entered into between Celldex and BIOSYN related to the Material (the “Supply Agreement”). The termination of this Agreement shall not affect the continued existence and validity of the rights and obligations of the parties hereunder necessary for the interpretation or enforcement of this Agreement. The Agreement can be amended or revised at any time pursuant to a signed written amendment of authorized representatives of the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 OF THE AGREEMENT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aim of this Agreement is to define and agree upon the cGMP (as defined below) and Quality responsibilities associated with the manufacture, testing and quality provisions of the Material manufactured by BIOSYN and supplied to Celldex.</w:t>
      </w:r>
    </w:p>
    <w:p>
      <w:pPr>
        <w:spacing w:after="0" w:line="16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Quality responsibilities associated with the manufacture of the Material must meet all applicable requirements of the Code of Federal Regulations of the U.S. Food and Drug Administration, 21 CFR Parts 210, 211, 610, and corresponding EU directive 2003/94/EC and all relevant implementation of such directive and relevant guidelines interpreting same. . This is also stated in ICH Guidance Q7 on Good Manufacturing Practice for Active Pharmaceutical Ingredients. Celldex may not require BIOSYN to perform activities that do not meet the current requirements of 21 CFR Parts 210, 211, 600 and 610, or other directives as identified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MANUFACTURER DESCRIPTION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is a cGMP manufacturer of hemocyanin, selenium and other pharmaceutical products.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Procedures</w:t>
      </w:r>
    </w:p>
    <w:p>
      <w:pPr>
        <w:sectPr>
          <w:pgSz w:w="11900" w:h="16838" w:orient="portrait"/>
          <w:cols w:equalWidth="0" w:num="1">
            <w:col w:w="11340"/>
          </w:cols>
          <w:pgMar w:left="240" w:top="337" w:right="319" w:bottom="0" w:gutter="0" w:footer="0" w:header="0"/>
        </w:sectPr>
      </w:pPr>
    </w:p>
    <w:bookmarkStart w:id="30" w:name="page31"/>
    <w:bookmarkEnd w:id="30"/>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BIOSYN’s established facility, equipment, process, Quality Control (QC) and Quality Assurance (QA) System Operating Procedures shall be used to manufacture, test and disposition the Material. The Material will be manufactured and tested according to the BIOSYN Drug Master File.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Quality Responsibilities Documents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Quality Responsibilities apply to operating procedures, lot manufacturing instructions, Standard Operating Procedures (“SOPs”), lot release, stability testing, and any other cGMP related documents necessary for BIOSYN to fulfill their obligation. BIOSYN will complete all documentation to release and ship Material and will supply Celldex with identified shipping and quality documentation with each batch of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BIOSYN must have adequate resources to carry out the manufacture, testing and quality oversight of the Material and report to Celldex in writing any changes to the manufacturing process that could affect the Material as specified at the time of this Agreement. BIOSYN is responsible for the training of all personnel in established BIOSYN’s Manufacturing, Testing and Quality System procedures.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BIOSYN will have all regulatory responsibilities for the product. All inquiries to the manufacturer from regulatory authorities regarding Celldex products shall be forwarded to Celldex Quality &amp; Regulatory Affairs. Similarly all discussions with regulatory authorities regarding Celldex Product (Rindopepimut) shall be conducted only with the participation of Celldex Regulatory Affairs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Celldex is responsible to place orders for the Material with BIOSYN in accordance with the approved Supply Agreement with respect to quantities, packaging and date of delivery. Celldex or the designated Contract Manufacturer will inspect the Material upon receipt and report any issues to BIOSYN in a timely fashion.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Temperature monitors will be handled per BIOSYN’s instruction and BIOSYN is responsible to investigate temperature excursions due to shipping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general responsibilities of the parties for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An “X” in both columns indicates that the activity is conducted by BIOSYN with Celldex approval.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260" w:type="dxa"/>
            <w:vAlign w:val="bottom"/>
            <w:tcBorders>
              <w:bottom w:val="single" w:sz="8" w:color="CCEEFF"/>
            </w:tcBorders>
          </w:tcPr>
          <w:p>
            <w:pPr>
              <w:spacing w:after="0"/>
              <w:rPr>
                <w:sz w:val="15"/>
                <w:szCs w:val="15"/>
                <w:color w:val="auto"/>
              </w:rPr>
            </w:pPr>
          </w:p>
        </w:tc>
        <w:tc>
          <w:tcPr>
            <w:tcW w:w="49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Responsibility</w:t>
            </w:r>
          </w:p>
        </w:tc>
        <w:tc>
          <w:tcPr>
            <w:tcW w:w="2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Celldex</w:t>
            </w: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BIOSYN</w:t>
            </w:r>
          </w:p>
        </w:tc>
        <w:tc>
          <w:tcPr>
            <w:tcW w:w="40" w:type="dxa"/>
            <w:vAlign w:val="bottom"/>
          </w:tcPr>
          <w:p>
            <w:pPr>
              <w:spacing w:after="0"/>
              <w:rPr>
                <w:sz w:val="15"/>
                <w:szCs w:val="15"/>
                <w:color w:val="auto"/>
              </w:rPr>
            </w:pPr>
          </w:p>
        </w:tc>
      </w:tr>
      <w:tr>
        <w:trPr>
          <w:trHeight w:val="210"/>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Manufacture, Testing and Release</w:t>
            </w: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Master Record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Batch File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batch processing/ labeling and packaging</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Deviation Notification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Stability program</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 Samples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Specifications and Test Methods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5180" w:type="dxa"/>
            <w:vAlign w:val="bottom"/>
            <w:gridSpan w:val="2"/>
          </w:tcPr>
          <w:p>
            <w:pPr>
              <w:jc w:val="right"/>
              <w:ind w:right="2673"/>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260" w:type="dxa"/>
            <w:vAlign w:val="bottom"/>
            <w:tcBorders>
              <w:bottom w:val="single" w:sz="8" w:color="CCEEFF"/>
            </w:tcBorders>
          </w:tcPr>
          <w:p>
            <w:pPr>
              <w:spacing w:after="0"/>
              <w:rPr>
                <w:sz w:val="24"/>
                <w:szCs w:val="24"/>
                <w:color w:val="auto"/>
              </w:rPr>
            </w:pPr>
          </w:p>
        </w:tc>
        <w:tc>
          <w:tcPr>
            <w:tcW w:w="49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Responsibility</w:t>
            </w: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Celldex</w:t>
            </w: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BIOSYN</w:t>
            </w:r>
          </w:p>
        </w:tc>
        <w:tc>
          <w:tcPr>
            <w:tcW w:w="40" w:type="dxa"/>
            <w:vAlign w:val="bottom"/>
          </w:tcPr>
          <w:p>
            <w:pPr>
              <w:spacing w:after="0"/>
              <w:rPr>
                <w:sz w:val="24"/>
                <w:szCs w:val="24"/>
                <w:color w:val="auto"/>
              </w:rPr>
            </w:pPr>
          </w:p>
        </w:tc>
      </w:tr>
      <w:tr>
        <w:trPr>
          <w:trHeight w:val="210"/>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control Notification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18"/>
                <w:szCs w:val="18"/>
                <w:color w:val="auto"/>
              </w:rPr>
            </w:pP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Shipping</w:t>
            </w:r>
          </w:p>
        </w:tc>
        <w:tc>
          <w:tcPr>
            <w:tcW w:w="2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Documentation supplied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-765810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6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Packing slip</w:t>
            </w:r>
          </w:p>
        </w:tc>
        <w:tc>
          <w:tcPr>
            <w:tcW w:w="1880" w:type="dxa"/>
            <w:vAlign w:val="bottom"/>
          </w:tcPr>
          <w:p>
            <w:pPr>
              <w:spacing w:after="0"/>
              <w:rPr>
                <w:sz w:val="17"/>
                <w:szCs w:val="17"/>
                <w:color w:val="auto"/>
              </w:rPr>
            </w:pPr>
          </w:p>
        </w:tc>
        <w:tc>
          <w:tcPr>
            <w:tcW w:w="134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Analysis</w:t>
            </w:r>
          </w:p>
        </w:tc>
        <w:tc>
          <w:tcPr>
            <w:tcW w:w="188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Compliance</w:t>
            </w:r>
          </w:p>
        </w:tc>
        <w:tc>
          <w:tcPr>
            <w:tcW w:w="188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Origin</w:t>
            </w:r>
          </w:p>
        </w:tc>
        <w:tc>
          <w:tcPr>
            <w:tcW w:w="188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Shipment</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Qualified shipping container</w:t>
            </w:r>
          </w:p>
        </w:tc>
        <w:tc>
          <w:tcPr>
            <w:tcW w:w="188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Shipping Deviations</w:t>
            </w:r>
          </w:p>
        </w:tc>
        <w:tc>
          <w:tcPr>
            <w:tcW w:w="1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3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temperature recorder</w:t>
            </w:r>
          </w:p>
        </w:tc>
        <w:tc>
          <w:tcPr>
            <w:tcW w:w="1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0"/>
                <w:szCs w:val="20"/>
                <w:color w:val="auto"/>
              </w:rPr>
            </w:pP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Raw Material procurement</w:t>
            </w: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Qualification of raw materials</w:t>
            </w:r>
          </w:p>
        </w:tc>
        <w:tc>
          <w:tcPr>
            <w:tcW w:w="1880" w:type="dxa"/>
            <w:vAlign w:val="bottom"/>
            <w:shd w:val="clear" w:color="auto" w:fill="CCEEFF"/>
          </w:tcPr>
          <w:p>
            <w:pPr>
              <w:spacing w:after="0"/>
              <w:rPr>
                <w:sz w:val="18"/>
                <w:szCs w:val="18"/>
                <w:color w:val="auto"/>
              </w:rPr>
            </w:pPr>
          </w:p>
        </w:tc>
        <w:tc>
          <w:tcPr>
            <w:tcW w:w="1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Retain raw material samples</w:t>
            </w:r>
          </w:p>
        </w:tc>
        <w:tc>
          <w:tcPr>
            <w:tcW w:w="1880" w:type="dxa"/>
            <w:vAlign w:val="bottom"/>
            <w:shd w:val="clear" w:color="auto" w:fill="CCEEFF"/>
          </w:tcPr>
          <w:p>
            <w:pPr>
              <w:spacing w:after="0"/>
              <w:rPr>
                <w:sz w:val="18"/>
                <w:szCs w:val="18"/>
                <w:color w:val="auto"/>
              </w:rPr>
            </w:pPr>
          </w:p>
        </w:tc>
        <w:tc>
          <w:tcPr>
            <w:tcW w:w="1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Notification of changes to critical raw materials</w:t>
            </w:r>
          </w:p>
        </w:tc>
        <w:tc>
          <w:tcPr>
            <w:tcW w:w="1880" w:type="dxa"/>
            <w:vAlign w:val="bottom"/>
            <w:shd w:val="clear" w:color="auto" w:fill="CCEEFF"/>
          </w:tcPr>
          <w:p>
            <w:pPr>
              <w:spacing w:after="0"/>
              <w:rPr>
                <w:sz w:val="18"/>
                <w:szCs w:val="18"/>
                <w:color w:val="auto"/>
              </w:rPr>
            </w:pPr>
          </w:p>
        </w:tc>
        <w:tc>
          <w:tcPr>
            <w:tcW w:w="1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198"/>
        </w:trPr>
        <w:tc>
          <w:tcPr>
            <w:tcW w:w="3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Validation</w:t>
            </w:r>
          </w:p>
        </w:tc>
        <w:tc>
          <w:tcPr>
            <w:tcW w:w="48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Process Validation</w:t>
            </w:r>
          </w:p>
        </w:tc>
        <w:tc>
          <w:tcPr>
            <w:tcW w:w="1880" w:type="dxa"/>
            <w:vAlign w:val="bottom"/>
          </w:tcPr>
          <w:p>
            <w:pPr>
              <w:spacing w:after="0"/>
              <w:rPr>
                <w:sz w:val="17"/>
                <w:szCs w:val="17"/>
                <w:color w:val="auto"/>
              </w:rPr>
            </w:pPr>
          </w:p>
        </w:tc>
        <w:tc>
          <w:tcPr>
            <w:tcW w:w="134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3380" w:type="dxa"/>
            <w:vAlign w:val="bottom"/>
          </w:tcPr>
          <w:p>
            <w:pPr>
              <w:spacing w:after="0"/>
              <w:rPr>
                <w:sz w:val="18"/>
                <w:szCs w:val="18"/>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Test Method Validation</w:t>
            </w:r>
          </w:p>
        </w:tc>
        <w:tc>
          <w:tcPr>
            <w:tcW w:w="188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380" w:type="dxa"/>
            <w:vAlign w:val="bottom"/>
          </w:tcPr>
          <w:p>
            <w:pPr>
              <w:spacing w:after="0"/>
              <w:rPr>
                <w:sz w:val="20"/>
                <w:szCs w:val="20"/>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Cleaning Validation</w:t>
            </w:r>
          </w:p>
        </w:tc>
        <w:tc>
          <w:tcPr>
            <w:tcW w:w="1880" w:type="dxa"/>
            <w:vAlign w:val="bottom"/>
          </w:tcPr>
          <w:p>
            <w:pPr>
              <w:spacing w:after="0"/>
              <w:rPr>
                <w:sz w:val="20"/>
                <w:szCs w:val="20"/>
                <w:color w:val="auto"/>
              </w:rPr>
            </w:pPr>
          </w:p>
        </w:tc>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ABBREVIATIONS</w:t>
      </w:r>
    </w:p>
    <w:p>
      <w:pPr>
        <w:spacing w:after="0" w:line="225" w:lineRule="exact"/>
        <w:rPr>
          <w:sz w:val="20"/>
          <w:szCs w:val="20"/>
          <w:color w:val="auto"/>
        </w:rPr>
      </w:pPr>
    </w:p>
    <w:p>
      <w:pPr>
        <w:ind w:left="1300" w:right="6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Audit: </w:t>
      </w:r>
      <w:r>
        <w:rPr>
          <w:rFonts w:ascii="Times New Roman" w:cs="Times New Roman" w:eastAsia="Times New Roman" w:hAnsi="Times New Roman"/>
          <w:sz w:val="18"/>
          <w:szCs w:val="18"/>
          <w:color w:val="auto"/>
        </w:rPr>
        <w:t>A planned, independent, documented, objective assessment per written procedures to verify that systems and/or processes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and are currently being followed to achieve quality system objectives and/or regulatory requirements.</w:t>
      </w:r>
    </w:p>
    <w:p>
      <w:pPr>
        <w:spacing w:after="0" w:line="155" w:lineRule="exact"/>
        <w:rPr>
          <w:sz w:val="20"/>
          <w:szCs w:val="20"/>
          <w:color w:val="auto"/>
        </w:rPr>
      </w:pPr>
    </w:p>
    <w:p>
      <w:pPr>
        <w:ind w:left="1300" w:right="40" w:hanging="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cGMP, </w:t>
      </w:r>
      <w:r>
        <w:rPr>
          <w:rFonts w:ascii="Times New Roman" w:cs="Times New Roman" w:eastAsia="Times New Roman" w:hAnsi="Times New Roman"/>
          <w:sz w:val="18"/>
          <w:szCs w:val="18"/>
          <w:color w:val="auto"/>
        </w:rPr>
        <w:t>or Current Good Manufacturing Practices: Means those laws and regulations applicable in the U.S. and Europe, relating to the manufacture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medicinal products for human use, including, without limitation, current good manufacturing practices as specified in the ICH guidelines, including without limitation, ICH Q7A “ICH Good Manufacturing Practice Guide for Active Pharmaceutical Ingredients”, US Federal Food Drug and Cosmetic Act and its implementing regulations at 21 CFR (Chapters 210, 211, 600 and 610) and relevant FDA Guidance interpreting same and EU directive 2003/94/EC and all relevant implementation of such directive and relevant guidelines interpreting same.</w:t>
      </w:r>
    </w:p>
    <w:p>
      <w:pPr>
        <w:spacing w:after="0" w:line="180" w:lineRule="exact"/>
        <w:rPr>
          <w:sz w:val="20"/>
          <w:szCs w:val="20"/>
          <w:color w:val="auto"/>
        </w:rPr>
      </w:pPr>
    </w:p>
    <w:p>
      <w:pPr>
        <w:ind w:left="1300" w:right="140" w:hanging="59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w:t>
      </w:r>
      <w:r>
        <w:rPr>
          <w:rFonts w:ascii="Times New Roman" w:cs="Times New Roman" w:eastAsia="Times New Roman" w:hAnsi="Times New Roman"/>
          <w:sz w:val="18"/>
          <w:szCs w:val="18"/>
          <w:color w:val="auto"/>
        </w:rPr>
        <w:t>A modification, addition or deletion to a current process, method, piece of equipment, service, or procedure that is identified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complaint, internal or external audit, review of quality control data, review of processing records, staff recommendation, regulatory changes, or other means of determining process improvements.</w:t>
      </w:r>
    </w:p>
    <w:p>
      <w:pPr>
        <w:sectPr>
          <w:pgSz w:w="11900" w:h="16838" w:orient="portrait"/>
          <w:cols w:equalWidth="0" w:num="1">
            <w:col w:w="11460"/>
          </w:cols>
          <w:pgMar w:left="240" w:top="121" w:right="199" w:bottom="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Major Deviation</w:t>
      </w:r>
      <w:r>
        <w:rPr>
          <w:rFonts w:ascii="Times New Roman" w:cs="Times New Roman" w:eastAsia="Times New Roman" w:hAnsi="Times New Roman"/>
          <w:sz w:val="18"/>
          <w:szCs w:val="18"/>
          <w:color w:val="auto"/>
        </w:rPr>
        <w:t>: An occurrence that is a significant departure from documented procedures or specifications. Major deviations may require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review or medical judgment upon the company’s behalf.</w:t>
      </w:r>
    </w:p>
    <w:p>
      <w:pPr>
        <w:spacing w:after="0" w:line="155" w:lineRule="exact"/>
        <w:rPr>
          <w:sz w:val="20"/>
          <w:szCs w:val="20"/>
          <w:color w:val="auto"/>
        </w:rPr>
      </w:pPr>
    </w:p>
    <w:p>
      <w:pPr>
        <w:ind w:left="1300" w:right="6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Moderate Deviation</w:t>
      </w:r>
      <w:r>
        <w:rPr>
          <w:rFonts w:ascii="Times New Roman" w:cs="Times New Roman" w:eastAsia="Times New Roman" w:hAnsi="Times New Roman"/>
          <w:sz w:val="18"/>
          <w:szCs w:val="18"/>
          <w:color w:val="auto"/>
        </w:rPr>
        <w:t>: An occurrence that has the potential for affecting the identity, strength, quality, safety or efficacy of the product but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definitively confirmed through further investigation or testing that the Material either conforms to existing specifications and is accepted or does not and must be rejected.</w:t>
      </w:r>
    </w:p>
    <w:p>
      <w:pPr>
        <w:spacing w:after="0" w:line="171" w:lineRule="exact"/>
        <w:rPr>
          <w:sz w:val="20"/>
          <w:szCs w:val="20"/>
          <w:color w:val="auto"/>
        </w:rPr>
      </w:pPr>
    </w:p>
    <w:p>
      <w:pPr>
        <w:ind w:left="1300" w:right="2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Minor Deviation</w:t>
      </w:r>
      <w:r>
        <w:rPr>
          <w:rFonts w:ascii="Times New Roman" w:cs="Times New Roman" w:eastAsia="Times New Roman" w:hAnsi="Times New Roman"/>
          <w:sz w:val="18"/>
          <w:szCs w:val="18"/>
          <w:color w:val="auto"/>
        </w:rPr>
        <w:t>: A minor alteration from established procedures (SOP’s) as judged by supervisors and or managers. A minor deviation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identity, strength, quality, safety or efficacy of the Material.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Distributor of a raw material or 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MANUFACTURING DESCRIPTION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BIOSYN will manufacture, test, disposition and ship the Material to Celldex in accordance with the applicable Drug Master File, Food and Drug Administration, 21 CFR Parts 210 and 211, 610, and applicable EU regulations. BIOSYN will source and use qualified / approved vendors for raw materials used in the manufacture of the Material. Manufacturing shall be performed in cGMP dedicated BIOSYN facilities in Carlsbad, CA USA, at 5939 Darwin Court, Suite 114, and in Fellbach, Germany at Schorndorfer Str. 32 D-70734 Fellbach, Germany. Hemolymph is collected at the Carlsbad site from keyhole limpets collected from Southern California coastal waters and purified and packaged at the German site. The use of any additional facilities not referenced in this Agreement must be approved in writing in advance by Celldex. . The German facility is cGMP certified by local German authorities.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maintain all licenses, registrations and other authorizations, as required to operate a cGMP facility under the applicable laws.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BIOSYN will operate the facility in a manner to prevent contamination and/or cross contamination in conformance with cGMPs and other applicable regulations.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Changes to the manufacture, components, and/or packaging must be communicated to Celldex QA in writing prior to implementation (if planned) or prior to disposition of Material manufactured for Celldex.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INSPECTION AND TESTING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testing must be done in accordance with approved written procedures and cGMPs.</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Changes to the testing and stability program must be communicated in writing to Celldex QA prior to implementation (if planned) or prior to disposition of Material manufactured for Celldex.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ANALYTICAL METHODS</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All analytical methods used for in-process, stability or release testing performed by BIOSYN must be appropriately validated and/or qualified.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contract testing laboratories used by BIOSYN must be approved / qualified by BIOSYN in accordance with cGMP.</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Celldex reserves the right to conduct additional investigations on any material, or test to determine the suitability of KLH used for cGMP manufacturing of Celldex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CONTROL AND DEVIATIONS</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BIOSYN shall inform Celldex Quality Assurance in writing of proposed changes in the Manufacturing process affecting the Material from that described in the Drug Master File. Change Control documentation and Major Deviations affecting the Material will be made available prior to use of the affected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STABILITY TESTING AND EXPIRATION DATING</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Stability testing of the Material will be maintained by BIOSYN. Changes to the expiration date of a batch sent to Celldex will be reported in a timely fashion in writing to Celldex.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stability failures (OOS) must be communicated to Celldex in writing within 5 business days of confirmation.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AND PROCESS VALIDATION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Validation records will be maintained by the BIOSYN and re-validation will be performed as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AND SHIPMENT</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BIOSYN will release the Material after manufacturing batch record review according to their approved procedures, closing out all deviations, investigations, and Out of Specification reports, and reviewing all testing results and environmental monitoring data.</w:t>
      </w:r>
    </w:p>
    <w:p>
      <w:pPr>
        <w:sectPr>
          <w:pgSz w:w="11900" w:h="16838" w:orient="portrait"/>
          <w:cols w:equalWidth="0" w:num="1">
            <w:col w:w="11400"/>
          </w:cols>
          <w:pgMar w:left="240" w:top="337" w:right="259" w:bottom="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Information describing the manner and conditions of shipment of the Material and validation of these shipping conditions will be maintained.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BIOSYN will provide reasonable access to their premises, during normal working hours, to permit audits of their manufacturing and testing areas to periodically assess compliance with applicable product and establishment standards and cGMP. The frequency and triggers for audits and the timing for audits is set forth in Section 4.7 of the Supply Agreement. Celldex may bring up to [*] people to perform the audit for a maximum of [*] days. Celldex will supply the head of quality and/or BIOSYN Management at BIOSYN with an audit agenda outlining the scope of the audit. Within [*] business days following the audit, Celldex will supply BIOSYN with a written audit report. BIOSYN will address audit comments within [*] business days. The audit will remain open and the Quality Units at BIOSYN and Celldex will cooperate so that all comments are satisfactorily resolved in a timely manner.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 REGULATORY INSPECTION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permits inspections by the Regulatory Authorities of all relevant premises, procedures and documentation.</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BIOSYN will notify promptly Celldex Regulatory Affairs &amp; Quality of any FDA or other Regulatory Authority investigation related to Material acquired by Celldex and allow the Celldex Regulatory Affairs &amp; Quality to be present for any regulatory inspection that involves Material acquired by Celldex.</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notify Celldex of any adverse inspection or audit findings from an external agency that may directly impact Material acquired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provide copies to Celldex QA of any regulatory authority findings in relation to the Material acquired by Celldex.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generate responses to any Regulatory Authority audit finding, or the like, in a timely manner.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Celldex provides input and approves response(s) to any Regulatory Authority audit finding, or the like, directly related to the Material acquired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BIOSYN provides Celldex with copies of final response(s) to Regulatory Authority findings, or the like, relating to the Material acquired by Celldex within [*] working days. Celldex acknowledges these responses maybe redacted for any third party owned confidential or proprietary information that is unrelated to the Material acquired by Celldex.</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BIOSYN will notify Celldex within [*] business days when a Regulatory Inspection documents an observation that may interrupt the manufacture of the Material.</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BIOSYN notifies Celldex of any requests for information, notices of violation or other communications from a Regulatory Authority relating to environmental, occupational health and safety compliance related directly to the Material acquired by Celldex.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 SAMPLES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Adequate retain samples from each lot of Material sent to Celldex will be taken and maintained at BIOSYN based on established criteria.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REQUESTED INFORMATION</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BIOSYN will provide to Celldex any information required for regulatory submissions. This may include letters of cross reference to regulatory filings made by BIOSYN, data to support regulatory filings, and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COMPLAINTS</w:t>
      </w:r>
    </w:p>
    <w:p>
      <w:pPr>
        <w:spacing w:after="0" w:line="229"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18"/>
          <w:szCs w:val="18"/>
          <w:color w:val="auto"/>
        </w:rPr>
        <w:t>BIOSYN will provide written investigation reports, regarding complaints of a quality nature for Material provided to Celldex, within [*] weeks of receiving written notification of the complaint. If additional time is required to complete the investigation, an interim report and timeline will be provided.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RETENTION</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All documentation relating to the manufacture of the lot(s) of Material for Celldex shall be held by BIOSYN for a minimum of 5 years and in accordance with cGMP.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INFORMATIONAL UPDATES AND CORRESPONDENCES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Informational and correspondences will be supplied to Celldex as indicated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supply Celldex with updates regarding the manufacture of the Material when timelines change from those originally agreed upon.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BIOSYN will confirm with Celldex the date of shipping at least 2 weeks prior to this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 OF KEY CONTACTS, WITH TITLES, PHONE NUMBERS AND EMAIL.</w:t>
      </w:r>
    </w:p>
    <w:p>
      <w:pPr>
        <w:spacing w:after="0" w:line="20" w:lineRule="exact"/>
        <w:rPr>
          <w:sz w:val="20"/>
          <w:szCs w:val="20"/>
          <w:color w:val="auto"/>
        </w:rPr>
      </w:pPr>
    </w:p>
    <w:p>
      <w:pPr>
        <w:sectPr>
          <w:pgSz w:w="11900" w:h="16838" w:orient="portrait"/>
          <w:cols w:equalWidth="0" w:num="1">
            <w:col w:w="11400"/>
          </w:cols>
          <w:pgMar w:left="240" w:top="121" w:right="25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Biosyn USA</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Celldex Therapeutics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5939 Darwin Court, Suite 114,</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119 Fourth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Carlsbad, CA 92008, USA</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Needham, MA 02494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Biosyn Germany</w:t>
            </w:r>
          </w:p>
        </w:tc>
        <w:tc>
          <w:tcPr>
            <w:tcW w:w="6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Schorndorfer Str 32, Fellbach</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Ph: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80" w:type="dxa"/>
            <w:vAlign w:val="bottom"/>
            <w:shd w:val="clear" w:color="auto" w:fill="CCEEFF"/>
          </w:tcPr>
          <w:p>
            <w:pPr>
              <w:spacing w:after="0"/>
              <w:rPr>
                <w:sz w:val="19"/>
                <w:szCs w:val="19"/>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Germany 70734</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Fx:</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w:t>
            </w:r>
          </w:p>
        </w:tc>
        <w:tc>
          <w:tcPr>
            <w:tcW w:w="6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Fx:</w:t>
            </w:r>
          </w:p>
        </w:tc>
        <w:tc>
          <w:tcPr>
            <w:tcW w:w="63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spacing w:after="0"/>
              <w:rPr>
                <w:sz w:val="16"/>
                <w:szCs w:val="16"/>
                <w:color w:val="auto"/>
              </w:rPr>
            </w:pPr>
          </w:p>
        </w:tc>
        <w:tc>
          <w:tcPr>
            <w:tcW w:w="32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b w:val="1"/>
                <w:bCs w:val="1"/>
                <w:color w:val="auto"/>
              </w:rPr>
              <w:t>President</w:t>
            </w:r>
          </w:p>
        </w:tc>
        <w:tc>
          <w:tcPr>
            <w:tcW w:w="6300" w:type="dxa"/>
            <w:vAlign w:val="bottom"/>
            <w:shd w:val="clear" w:color="auto" w:fill="CCEEFF"/>
          </w:tcPr>
          <w:p>
            <w:pPr>
              <w:ind w:left="1740"/>
              <w:spacing w:after="0" w:line="194" w:lineRule="exact"/>
              <w:rPr>
                <w:sz w:val="20"/>
                <w:szCs w:val="20"/>
                <w:color w:val="auto"/>
              </w:rPr>
            </w:pPr>
            <w:r>
              <w:rPr>
                <w:rFonts w:ascii="Times New Roman" w:cs="Times New Roman" w:eastAsia="Times New Roman" w:hAnsi="Times New Roman"/>
                <w:sz w:val="18"/>
                <w:szCs w:val="18"/>
                <w:b w:val="1"/>
                <w:bCs w:val="1"/>
                <w:color w:val="auto"/>
              </w:rPr>
              <w:t>VP Commercial Manufacturing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w:t>
            </w: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Ph:</w:t>
            </w:r>
          </w:p>
        </w:tc>
        <w:tc>
          <w:tcPr>
            <w:tcW w:w="6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phone: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Managing Director</w:t>
            </w:r>
          </w:p>
        </w:tc>
        <w:tc>
          <w:tcPr>
            <w:tcW w:w="630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Executive Director, Manufacturing</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3240" w:type="dxa"/>
            <w:vAlign w:val="bottom"/>
            <w:shd w:val="clear" w:color="auto" w:fill="CCEEFF"/>
          </w:tcPr>
          <w:p>
            <w:pPr>
              <w:spacing w:after="0"/>
              <w:rPr>
                <w:sz w:val="15"/>
                <w:szCs w:val="15"/>
                <w:color w:val="auto"/>
              </w:rPr>
            </w:pPr>
          </w:p>
        </w:tc>
        <w:tc>
          <w:tcPr>
            <w:tcW w:w="63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80" w:type="dxa"/>
            <w:vAlign w:val="bottom"/>
            <w:vMerge w:val="continue"/>
            <w:shd w:val="clear" w:color="auto" w:fill="CCEEFF"/>
          </w:tcPr>
          <w:p>
            <w:pPr>
              <w:spacing w:after="0"/>
              <w:rPr>
                <w:sz w:val="10"/>
                <w:szCs w:val="10"/>
                <w:color w:val="auto"/>
              </w:rPr>
            </w:pPr>
          </w:p>
        </w:tc>
        <w:tc>
          <w:tcPr>
            <w:tcW w:w="32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80" w:type="dxa"/>
            <w:vAlign w:val="bottom"/>
            <w:shd w:val="clear" w:color="auto" w:fill="CCEEFF"/>
          </w:tcPr>
          <w:p>
            <w:pPr>
              <w:spacing w:after="0"/>
              <w:rPr>
                <w:sz w:val="7"/>
                <w:szCs w:val="7"/>
                <w:color w:val="auto"/>
              </w:rPr>
            </w:pPr>
          </w:p>
        </w:tc>
        <w:tc>
          <w:tcPr>
            <w:tcW w:w="3240" w:type="dxa"/>
            <w:vAlign w:val="bottom"/>
            <w:vMerge w:val="continue"/>
            <w:shd w:val="clear" w:color="auto" w:fill="CCEEFF"/>
          </w:tcPr>
          <w:p>
            <w:pPr>
              <w:spacing w:after="0"/>
              <w:rPr>
                <w:sz w:val="7"/>
                <w:szCs w:val="7"/>
                <w:color w:val="auto"/>
              </w:rPr>
            </w:pPr>
          </w:p>
        </w:tc>
        <w:tc>
          <w:tcPr>
            <w:tcW w:w="6300" w:type="dxa"/>
            <w:vAlign w:val="bottom"/>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w:t>
            </w:r>
          </w:p>
        </w:tc>
        <w:tc>
          <w:tcPr>
            <w:tcW w:w="6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phone: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Quality Control</w:t>
            </w:r>
          </w:p>
        </w:tc>
        <w:tc>
          <w:tcPr>
            <w:tcW w:w="324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Quality Person/Quality Control</w:t>
            </w:r>
          </w:p>
        </w:tc>
        <w:tc>
          <w:tcPr>
            <w:tcW w:w="6300" w:type="dxa"/>
            <w:vAlign w:val="bottom"/>
            <w:shd w:val="clear" w:color="auto" w:fill="CCEEFF"/>
          </w:tcPr>
          <w:p>
            <w:pPr>
              <w:ind w:left="1740"/>
              <w:spacing w:after="0" w:line="198" w:lineRule="exact"/>
              <w:rPr>
                <w:sz w:val="20"/>
                <w:szCs w:val="20"/>
                <w:color w:val="auto"/>
              </w:rPr>
            </w:pPr>
            <w:r>
              <w:rPr>
                <w:rFonts w:ascii="Times New Roman" w:cs="Times New Roman" w:eastAsia="Times New Roman" w:hAnsi="Times New Roman"/>
                <w:sz w:val="18"/>
                <w:szCs w:val="18"/>
                <w:color w:val="auto"/>
              </w:rPr>
              <w:t>Director, Quality Control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vMerge w:val="continue"/>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w:t>
            </w:r>
          </w:p>
        </w:tc>
        <w:tc>
          <w:tcPr>
            <w:tcW w:w="6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phone: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Quality Assurance</w:t>
            </w:r>
          </w:p>
        </w:tc>
        <w:tc>
          <w:tcPr>
            <w:tcW w:w="3240" w:type="dxa"/>
            <w:vAlign w:val="bottom"/>
            <w:shd w:val="clear" w:color="auto" w:fill="CCEEFF"/>
          </w:tcPr>
          <w:p>
            <w:pPr>
              <w:spacing w:after="0"/>
              <w:rPr>
                <w:sz w:val="17"/>
                <w:szCs w:val="17"/>
                <w:color w:val="auto"/>
              </w:rPr>
            </w:pPr>
          </w:p>
        </w:tc>
        <w:tc>
          <w:tcPr>
            <w:tcW w:w="6300" w:type="dxa"/>
            <w:vAlign w:val="bottom"/>
            <w:shd w:val="clear" w:color="auto" w:fill="CCEEFF"/>
          </w:tcPr>
          <w:p>
            <w:pPr>
              <w:ind w:left="1740"/>
              <w:spacing w:after="0" w:line="198" w:lineRule="exact"/>
              <w:rPr>
                <w:sz w:val="20"/>
                <w:szCs w:val="20"/>
                <w:color w:val="auto"/>
              </w:rPr>
            </w:pPr>
            <w:r>
              <w:rPr>
                <w:rFonts w:ascii="Times New Roman" w:cs="Times New Roman" w:eastAsia="Times New Roman" w:hAnsi="Times New Roman"/>
                <w:sz w:val="18"/>
                <w:szCs w:val="18"/>
                <w:color w:val="auto"/>
              </w:rPr>
              <w:t>Executive Director, Quality Assurance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vMerge w:val="continue"/>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w:t>
            </w:r>
          </w:p>
        </w:tc>
        <w:tc>
          <w:tcPr>
            <w:tcW w:w="6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phone: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Regulatory Affairs</w:t>
            </w:r>
          </w:p>
        </w:tc>
        <w:tc>
          <w:tcPr>
            <w:tcW w:w="3240" w:type="dxa"/>
            <w:vAlign w:val="bottom"/>
            <w:shd w:val="clear" w:color="auto" w:fill="CCEEFF"/>
          </w:tcPr>
          <w:p>
            <w:pPr>
              <w:spacing w:after="0"/>
              <w:rPr>
                <w:sz w:val="17"/>
                <w:szCs w:val="17"/>
                <w:color w:val="auto"/>
              </w:rPr>
            </w:pPr>
          </w:p>
        </w:tc>
        <w:tc>
          <w:tcPr>
            <w:tcW w:w="6300" w:type="dxa"/>
            <w:vAlign w:val="bottom"/>
            <w:shd w:val="clear" w:color="auto" w:fill="CCEEFF"/>
          </w:tcPr>
          <w:p>
            <w:pPr>
              <w:ind w:left="1740"/>
              <w:spacing w:after="0" w:line="198" w:lineRule="exact"/>
              <w:rPr>
                <w:sz w:val="20"/>
                <w:szCs w:val="20"/>
                <w:color w:val="auto"/>
              </w:rPr>
            </w:pPr>
            <w:r>
              <w:rPr>
                <w:rFonts w:ascii="Times New Roman" w:cs="Times New Roman" w:eastAsia="Times New Roman" w:hAnsi="Times New Roman"/>
                <w:sz w:val="18"/>
                <w:szCs w:val="18"/>
                <w:color w:val="auto"/>
              </w:rPr>
              <w:t>Associate Director, Regulatory Affairs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vMerge w:val="continue"/>
            <w:shd w:val="clear" w:color="auto" w:fill="CCEEFF"/>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w:t>
            </w:r>
          </w:p>
        </w:tc>
        <w:tc>
          <w:tcPr>
            <w:tcW w:w="63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phone: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6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that this constitutes the entire agreement and there are no further items or provisions, either oral or otherwise.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have executed this Agreement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-130810</wp:posOffset>
            </wp:positionV>
            <wp:extent cx="28555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-130810</wp:posOffset>
            </wp:positionV>
            <wp:extent cx="28555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BIOSYN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Torsten Bauer</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Quality Person (QP)</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biosyn Arzneimittel GmbH</w:t>
            </w:r>
          </w:p>
        </w:tc>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60" w:type="dxa"/>
            <w:vAlign w:val="bottom"/>
            <w:vMerge w:val="restart"/>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Donna M. Jordan</w:t>
            </w:r>
          </w:p>
        </w:tc>
        <w:tc>
          <w:tcPr>
            <w:tcW w:w="22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 Quality Assurance</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9"/>
              </w:rPr>
              <w:t>28</w:t>
            </w: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4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Exhibit 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4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Subscription and Restricted Stock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9"/>
              </w:rPr>
              <w:t>29</w:t>
            </w: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4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CELLDEX THERAPEUTICS,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4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SUBSCRIPTION AGREEMENT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-1802130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-1802130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30" w:gutter="0" w:footer="0" w:header="0"/>
        </w:sectPr>
      </w:pPr>
    </w:p>
    <w:bookmarkStart w:id="34" w:name="page35"/>
    <w:bookmarkEnd w:id="34"/>
    <w:p>
      <w:pPr>
        <w:spacing w:after="0" w:line="73"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This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is made as of October 15, 2014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BIOSYN Corporation (“</w:t>
      </w:r>
      <w:r>
        <w:rPr>
          <w:rFonts w:ascii="Times New Roman" w:cs="Times New Roman" w:eastAsia="Times New Roman" w:hAnsi="Times New Roman"/>
          <w:sz w:val="18"/>
          <w:szCs w:val="18"/>
          <w:b w:val="1"/>
          <w:bCs w:val="1"/>
          <w:color w:val="auto"/>
        </w:rPr>
        <w:t>BIOSYN</w:t>
      </w:r>
      <w:r>
        <w:rPr>
          <w:rFonts w:ascii="Times New Roman" w:cs="Times New Roman" w:eastAsia="Times New Roman" w:hAnsi="Times New Roman"/>
          <w:sz w:val="18"/>
          <w:szCs w:val="18"/>
          <w:color w:val="auto"/>
        </w:rPr>
        <w:t>”) and Celldex Therapeutics, Inc. (“</w:t>
      </w:r>
      <w:r>
        <w:rPr>
          <w:rFonts w:ascii="Times New Roman" w:cs="Times New Roman" w:eastAsia="Times New Roman" w:hAnsi="Times New Roman"/>
          <w:sz w:val="18"/>
          <w:szCs w:val="18"/>
          <w:b w:val="1"/>
          <w:bCs w:val="1"/>
          <w:color w:val="auto"/>
        </w:rPr>
        <w:t>Celldex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 xml:space="preserve">Subscription. </w:t>
      </w:r>
      <w:r>
        <w:rPr>
          <w:rFonts w:ascii="Times New Roman" w:cs="Times New Roman" w:eastAsia="Times New Roman" w:hAnsi="Times New Roman"/>
          <w:sz w:val="17"/>
          <w:szCs w:val="17"/>
          <w:color w:val="auto"/>
        </w:rPr>
        <w:t>Reference is made to the THIRD AMENDED AND RESTATED SUPPLY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-5080</wp:posOffset>
            </wp:positionV>
            <wp:extent cx="15208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spacing w:after="0" w:line="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October 15, 2014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between BIOSYN and Celldex. Pursuant to Section 5.9 of the Supply Agreement as additional compensation to BIOSYN, on the Effective Date, Celldex shall issue to BIOSYN a number of shares of common stock of Celldex determined by dividing (x) $2,000,000.00 by (y) the ten (10) day average closing price of the common stock of Celldex (ticker symbol CLDX) ending one (1) day prior to the Effective Date. BIOSYN, intending to be legally bound, hereby irrevocably enters into this Subscription Agreement for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Celldex. BIOSYN acknowledges and agrees that upon BIOSYN’s receipt of the Shares, Celldex shall have no further obligations to make any payments to BIOSYN pursuant to Section 5.9 of the Supply Agreement.</w:t>
      </w:r>
    </w:p>
    <w:p>
      <w:pPr>
        <w:spacing w:after="0" w:line="1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Representations and Warranties of BIOSYN. </w:t>
      </w:r>
      <w:r>
        <w:rPr>
          <w:rFonts w:ascii="Times New Roman" w:cs="Times New Roman" w:eastAsia="Times New Roman" w:hAnsi="Times New Roman"/>
          <w:sz w:val="18"/>
          <w:szCs w:val="18"/>
          <w:color w:val="auto"/>
        </w:rPr>
        <w:t>BIOSYN hereby represents, warrants, acknowledges and agrees as follows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as of each date on which Shares are issued to BIOSYN: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068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8320" cy="8890"/>
                    </a:xfrm>
                    <a:prstGeom prst="rect">
                      <a:avLst/>
                    </a:prstGeom>
                    <a:noFill/>
                  </pic:spPr>
                </pic:pic>
              </a:graphicData>
            </a:graphic>
          </wp:anchor>
        </w:drawing>
      </w:r>
    </w:p>
    <w:p>
      <w:pPr>
        <w:spacing w:after="0" w:line="139" w:lineRule="exact"/>
        <w:rPr>
          <w:sz w:val="20"/>
          <w:szCs w:val="20"/>
          <w:color w:val="auto"/>
        </w:rPr>
      </w:pPr>
    </w:p>
    <w:p>
      <w:pPr>
        <w:ind w:left="660" w:right="100" w:hanging="328"/>
        <w:spacing w:after="0" w:line="261" w:lineRule="auto"/>
        <w:tabs>
          <w:tab w:leader="none" w:pos="6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is a corporation duly organized, validly existing and in good standing under the laws of the State of California. BIOSYN has all requisite corporate power and authority to execute, deliver and perform its obligations under this Subscription Agreement, and this Subscription Agreement has been duly authorized and validly executed and delivered by BIOSYN. All corporate actions on the part of BIOSYN necessary for the authorization, execution, delivery of and the performance of all obligations of BIOSYN under this Subscription Agreement have been taken.</w:t>
      </w:r>
    </w:p>
    <w:p>
      <w:pPr>
        <w:spacing w:after="0" w:line="176" w:lineRule="exact"/>
        <w:rPr>
          <w:rFonts w:ascii="Times New Roman" w:cs="Times New Roman" w:eastAsia="Times New Roman" w:hAnsi="Times New Roman"/>
          <w:sz w:val="18"/>
          <w:szCs w:val="18"/>
          <w:color w:val="auto"/>
        </w:rPr>
      </w:pPr>
    </w:p>
    <w:p>
      <w:pPr>
        <w:ind w:left="660" w:right="160" w:hanging="328"/>
        <w:spacing w:after="0" w:line="263" w:lineRule="auto"/>
        <w:tabs>
          <w:tab w:leader="none" w:pos="6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BIOSYN understands that the offering and sale of the Securities is intended to be exempt from registration under the Securities Act by virtue of Section 4(a)</w:t>
      </w:r>
    </w:p>
    <w:p>
      <w:pPr>
        <w:ind w:left="660" w:righ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thereof and the provisions of Regulation D promulgated thereunder and Section 18(b)(3) thereof, based, in part, upon the representations, warranties and agreements of BIOSYN contained in this Subscription Agreement.</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may not be sold, hypothecated or otherwise disposed of unless subsequently registered under the Securities Act and applicable state securities laws or an exemption from such registration is available. Legends shall be placed on the Shares to the effect that they have not been registered under the Securities Act or applicable state securities laws and appropriate notations thereof will be made in Celldex’s books and records. Stop transfer instructions will be placed with the transfer agent of the securities constituting the Shares.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hanging="328"/>
        <w:spacing w:after="0" w:line="261" w:lineRule="auto"/>
        <w:tabs>
          <w:tab w:leader="none" w:pos="6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is acquiring the Shares for investment for its own account, not as a nominee or agent, and not with the view to, or for resale in connection with, any distribution thereof, and BIOSYN has no present intention of selling, granting any participation in, or otherwise distributing the same. BIOSYN further represents that it does not have any contract, undertaking, agreement or arrangement with any person or entity to sell, transfer or grant participation to such person or entity or to any third person or entity with respect to any of the Shares.</w:t>
      </w:r>
    </w:p>
    <w:p>
      <w:pPr>
        <w:spacing w:after="0" w:line="180" w:lineRule="exact"/>
        <w:rPr>
          <w:rFonts w:ascii="Times New Roman" w:cs="Times New Roman" w:eastAsia="Times New Roman" w:hAnsi="Times New Roman"/>
          <w:sz w:val="18"/>
          <w:szCs w:val="18"/>
          <w:color w:val="auto"/>
        </w:rPr>
      </w:pPr>
    </w:p>
    <w:p>
      <w:pPr>
        <w:jc w:val="both"/>
        <w:ind w:left="660" w:right="280" w:hanging="328"/>
        <w:spacing w:after="0" w:line="261"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has had a reasonable opportunity to ask questions of and receive answers from [a] person[s] acting on behalf of Celldex concerning the business, financial condition, results of operations and prospects of Celldex, and all such questions have been answered to the full satisfaction of BIOSYN. BIOSYN is satisfied that it has received adequate information with respect to all matters which it considers material to its decision to make this investment</w:t>
      </w:r>
    </w:p>
    <w:p>
      <w:pPr>
        <w:spacing w:after="0" w:line="18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can protect its own interests. BIOSYN has such knowledge and experience in financial and business matters so that BIOSYN is capable of evaluating the merits and risks of its investment in Celldex. BISOYN understands and acknowledges that an investment in Celldex is highly speculative and involves substantial risks, including, but not limited to, the risk factors set forth in Celldex’s SEC filings. BIOSYN’s financial condition is such that it is able to bear the risk of holding the Shares for an indefinite period of time.</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BIOSYN is an “accredited investor” as defined in Rule 501(a)(3) of Regulation D promulgated under the Securities Act.</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 Lock-up Agreement. </w:t>
      </w:r>
      <w:r>
        <w:rPr>
          <w:rFonts w:ascii="Times New Roman" w:cs="Times New Roman" w:eastAsia="Times New Roman" w:hAnsi="Times New Roman"/>
          <w:sz w:val="18"/>
          <w:szCs w:val="18"/>
          <w:color w:val="auto"/>
        </w:rPr>
        <w:t>BIOSYN hereby agrees that, during the twelve (12) month period commencing on the Effective Date of the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Stockholder Lock-Up Period</w:t>
      </w:r>
      <w:r>
        <w:rPr>
          <w:rFonts w:ascii="Times New Roman" w:cs="Times New Roman" w:eastAsia="Times New Roman" w:hAnsi="Times New Roman"/>
          <w:sz w:val="18"/>
          <w:szCs w:val="18"/>
          <w:color w:val="auto"/>
        </w:rPr>
        <w:t>”), BIOSYN will not offer, sell, contract to sell, pledge, grant any option to purchase, make any short sale or otherwise dispose of any of the Covered Shares, or any options or warrants to purchase any of the Covered Shares, or any securities convertible into, exchangeable for or that represent the right to receive any of the Covered Shares. The foregoing restriction is expressly agreed to preclude the undersigned from engaging in any hedging or other transaction which is designed to or which reasonably could be expected to lead to or result in a sale or disposition of the Covered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Covered Shares or with respect to any security that includes, relates to, or derives any significant part of its value from such Covered Shares.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[insert number that is 50% of the shares] of the Shares. Celldex may impose stop-transfer instructions with respect to any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restriction until the end of the Stockholder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-1264920</wp:posOffset>
            </wp:positionV>
            <wp:extent cx="1877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and Warranties of Celldex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692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69260" cy="8890"/>
                    </a:xfrm>
                    <a:prstGeom prst="rect">
                      <a:avLst/>
                    </a:prstGeom>
                    <a:noFill/>
                  </pic:spPr>
                </pic:pic>
              </a:graphicData>
            </a:graphic>
          </wp:anchor>
        </w:drawing>
      </w:r>
    </w:p>
    <w:p>
      <w:pPr>
        <w:spacing w:after="0" w:line="209" w:lineRule="exact"/>
        <w:rPr>
          <w:sz w:val="20"/>
          <w:szCs w:val="20"/>
          <w:color w:val="auto"/>
        </w:rPr>
      </w:pPr>
    </w:p>
    <w:p>
      <w:pPr>
        <w:ind w:right="60" w:firstLine="8"/>
        <w:spacing w:after="0" w:line="266" w:lineRule="auto"/>
        <w:tabs>
          <w:tab w:leader="none" w:pos="1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is duly organized, validly existing and in good standing under the laws of the state of Delaware, and has full power and authority pursuant to the applicable corporate laws of the state of Delaware to conduct its business as and to the extent now conducted and to own, use and lease its assets and properties.</w:t>
      </w:r>
    </w:p>
    <w:p>
      <w:pPr>
        <w:spacing w:after="0" w:line="176" w:lineRule="exact"/>
        <w:rPr>
          <w:rFonts w:ascii="Times New Roman" w:cs="Times New Roman" w:eastAsia="Times New Roman" w:hAnsi="Times New Roman"/>
          <w:sz w:val="18"/>
          <w:szCs w:val="18"/>
          <w:color w:val="auto"/>
        </w:rPr>
      </w:pPr>
    </w:p>
    <w:p>
      <w:pPr>
        <w:ind w:right="160" w:firstLine="8"/>
        <w:spacing w:after="0" w:line="258" w:lineRule="auto"/>
        <w:tabs>
          <w:tab w:leader="none" w:pos="14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has the requisite corporate power and authority to execute, deliver and perform its obligations under this Subscription Agreement. All corporate action on the part of Celldex and its officers, directors and stockholders necessary has been taken for: (i) the authorization of the Subscription Agreement and the performance of all obligations of Celldex hereunder; and (ii) the authorization, sale, issuance and delivery of the Securities pursuant to the Subscription Agreement. The Shares, when issued pursuant to and in accordance with the terms of this Subscription Agreement and, upon delivery, shall be validly issued and outstanding, fully paid and non assessable.</w:t>
      </w:r>
    </w:p>
    <w:p>
      <w:pPr>
        <w:sectPr>
          <w:pgSz w:w="11900" w:h="16911" w:orient="portrait"/>
          <w:cols w:equalWidth="0" w:num="1">
            <w:col w:w="11380"/>
          </w:cols>
          <w:pgMar w:left="240" w:top="117" w:right="279" w:bottom="0" w:gutter="0" w:footer="0" w:header="0"/>
        </w:sectPr>
      </w:pPr>
    </w:p>
    <w:bookmarkStart w:id="35" w:name="page36"/>
    <w:bookmarkEnd w:id="35"/>
    <w:p>
      <w:pPr>
        <w:spacing w:after="0" w:line="98" w:lineRule="exact"/>
        <w:rPr>
          <w:sz w:val="20"/>
          <w:szCs w:val="20"/>
          <w:color w:val="auto"/>
        </w:rPr>
      </w:pPr>
    </w:p>
    <w:p>
      <w:pPr>
        <w:ind w:right="480" w:firstLine="8"/>
        <w:spacing w:after="0" w:line="266" w:lineRule="auto"/>
        <w:tabs>
          <w:tab w:leader="none" w:pos="14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Agreement will constitute, valid and legally binding obligations of Celldex and is enforceable against Celldex in accordance with its terms, except : (a) as limited by applicable bankruptcy, insolvency, reorganization, moratorium or other laws of general application affecting enforcement of creditors’ rights; and (b) general principles of equity that restrict the availability of equitable or legal remedies</w:t>
      </w:r>
    </w:p>
    <w:p>
      <w:pPr>
        <w:spacing w:after="0" w:line="172" w:lineRule="exact"/>
        <w:rPr>
          <w:rFonts w:ascii="Times New Roman" w:cs="Times New Roman" w:eastAsia="Times New Roman" w:hAnsi="Times New Roman"/>
          <w:sz w:val="18"/>
          <w:szCs w:val="18"/>
          <w:color w:val="auto"/>
        </w:rPr>
      </w:pPr>
    </w:p>
    <w:p>
      <w:pPr>
        <w:ind w:right="140" w:firstLine="8"/>
        <w:spacing w:after="0" w:line="262" w:lineRule="auto"/>
        <w:tabs>
          <w:tab w:leader="none" w:pos="14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is subject to the reporting requirements under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Celldex has filed all reports required to be filed by it under the Exchange Act, including pursuant to Section 13(a) or 15(d) thereof, for the twelve (12) months preceding the date hereof, or such shorter period of time that Celldex was subject to such filing requirements. As of their respective dates, the reports filed by Celdlex with the SEC complied in all material respects with the requirements of the Exchange Act and the rules and regulations of the SEC promulgated thereunder.</w:t>
      </w:r>
    </w:p>
    <w:p>
      <w:pPr>
        <w:spacing w:after="0" w:line="180" w:lineRule="exact"/>
        <w:rPr>
          <w:rFonts w:ascii="Times New Roman" w:cs="Times New Roman" w:eastAsia="Times New Roman" w:hAnsi="Times New Roman"/>
          <w:sz w:val="18"/>
          <w:szCs w:val="18"/>
          <w:color w:val="auto"/>
        </w:rPr>
      </w:pPr>
    </w:p>
    <w:p>
      <w:pPr>
        <w:ind w:firstLine="8"/>
        <w:spacing w:after="0" w:line="261" w:lineRule="auto"/>
        <w:tabs>
          <w:tab w:leader="none" w:pos="14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agrees to cooperate with BIOSYN in connection with all resales of Shares pursuant to Rule 144. In connection with any transfer of Shares other than pursuant to an effective registration statement or Rule 144, Celldex may require the transferor to provide to Celldex an opinion of counsel selected by the transferor, the form and substance of which opinion shall be reasonably satisfactory to Celldex, to the effect that such transfer does not require registration under the Shares.</w:t>
      </w:r>
    </w:p>
    <w:p>
      <w:pPr>
        <w:spacing w:after="0" w:line="17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 Indemnification. </w:t>
      </w:r>
      <w:r>
        <w:rPr>
          <w:rFonts w:ascii="Times New Roman" w:cs="Times New Roman" w:eastAsia="Times New Roman" w:hAnsi="Times New Roman"/>
          <w:sz w:val="18"/>
          <w:szCs w:val="18"/>
          <w:color w:val="auto"/>
        </w:rPr>
        <w:t>Each of BIOSYN and Celldex agrees to indemnify and hold harmless the other and its officers, directors,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affiliates against all losses, liabilities, claims, damages and expenses whatsoever (including, but not limited to, any and all expenses incurred in investigating, preparing or defending against any litigation commenced or threatened) based upon or arising out of any actual or alleged false acknowledgment, representation or warranty or breach by BIOSYN or Celldex, as the case may be, of any representation, warranty, covenant or agreement made by BIOSYN or Celldex herein or in any other document delivered in connection with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6795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7957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05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5000" cy="8890"/>
                    </a:xfrm>
                    <a:prstGeom prst="rect">
                      <a:avLst/>
                    </a:prstGeom>
                    <a:noFill/>
                  </pic:spPr>
                </pic:pic>
              </a:graphicData>
            </a:graphic>
          </wp:anchor>
        </w:drawing>
      </w:r>
    </w:p>
    <w:p>
      <w:pPr>
        <w:spacing w:after="0" w:line="209" w:lineRule="exact"/>
        <w:rPr>
          <w:sz w:val="20"/>
          <w:szCs w:val="20"/>
          <w:color w:val="auto"/>
        </w:rPr>
      </w:pPr>
    </w:p>
    <w:p>
      <w:pPr>
        <w:ind w:right="160" w:firstLine="8"/>
        <w:spacing w:after="0" w:line="255"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As promptly as practicable, Celldex shall use commercially reasonable efforts prepare and file with the SEC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 its Registration Statement on Form S-3 (File No. 333-192640) or such other registration statement on Form S-3 that may be effective at the time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covering the resale of the Registrable Shares for an offering to be made on a continuous basis pursuant to Rule 415. “</w:t>
      </w:r>
      <w:r>
        <w:rPr>
          <w:rFonts w:ascii="Times New Roman" w:cs="Times New Roman" w:eastAsia="Times New Roman" w:hAnsi="Times New Roman"/>
          <w:sz w:val="18"/>
          <w:szCs w:val="18"/>
          <w:b w:val="1"/>
          <w:bCs w:val="1"/>
          <w:color w:val="auto"/>
        </w:rPr>
        <w:t>Registrable Shares</w:t>
      </w:r>
      <w:r>
        <w:rPr>
          <w:rFonts w:ascii="Times New Roman" w:cs="Times New Roman" w:eastAsia="Times New Roman" w:hAnsi="Times New Roman"/>
          <w:sz w:val="18"/>
          <w:szCs w:val="18"/>
          <w:color w:val="auto"/>
        </w:rPr>
        <w:t xml:space="preserve">” means the Shares less the Covered Shares. Celldex’s obligation to register the Registrable Shares shall cease upon the earlier of (i) the date that all Registrable Shares covered by such Prospectus Supplement have been sold, (ii) the date that all Registrable Shares covered by such Prospectus Supplement can be sold publicly without restriction or limitation under Rule 144 (including, without limitation, the requirement to be in compliance with Rule 144(c)(1)) or (iii) the date that is two (2) years following the date hereof (the period ending on the earliest of such dates, the </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Celldex’s registration obligations hereunder, Celldex shall:</w:t>
      </w:r>
    </w:p>
    <w:p>
      <w:pPr>
        <w:spacing w:after="0" w:line="225" w:lineRule="exact"/>
        <w:rPr>
          <w:sz w:val="20"/>
          <w:szCs w:val="20"/>
          <w:color w:val="auto"/>
        </w:rPr>
      </w:pPr>
    </w:p>
    <w:p>
      <w:pPr>
        <w:ind w:right="60" w:firstLine="8"/>
        <w:spacing w:after="0" w:line="266"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(5) Trading Days prior to the filing of the Prospectus Supplement or any amendment or supplement thereto, furnish via email to BIOSYN copies of all such documents proposed to be filed, which documents (other than any document that is incorporated or deemed to be incorporated by reference therein) will be subject to the review of BIOSYN.</w:t>
      </w:r>
    </w:p>
    <w:p>
      <w:pPr>
        <w:spacing w:after="0" w:line="176" w:lineRule="exact"/>
        <w:rPr>
          <w:rFonts w:ascii="Times New Roman" w:cs="Times New Roman" w:eastAsia="Times New Roman" w:hAnsi="Times New Roman"/>
          <w:sz w:val="18"/>
          <w:szCs w:val="18"/>
          <w:color w:val="auto"/>
        </w:rPr>
      </w:pPr>
    </w:p>
    <w:p>
      <w:pPr>
        <w:ind w:right="160" w:firstLine="62"/>
        <w:spacing w:after="0" w:line="256" w:lineRule="auto"/>
        <w:tabs>
          <w:tab w:leader="none" w:pos="7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BIOSYN as promptly as reasonably possible of any of the following events: (i) the SEC issues any stop order suspending the effectiveness of any Registration Statement or initiates any proceedings for that purpose; (ii) Celldex receives notice of any suspension of the qualification or exemption from qualification of any Registrable Shares for sale in any jurisdiction, or the initiation or threat of any proceeding for such purpose; (iii) the financial statements included in any Registration Statement become ineligible for inclusion therein or (v) Celldex becomes aware that any Registration Statement or Prospectus Supplement or other document contains any untrue statement of a material fact or omits to state any material fact required to be stated therein or necessary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right="20" w:firstLine="8"/>
        <w:spacing w:after="0" w:line="258" w:lineRule="auto"/>
        <w:tabs>
          <w:tab w:leader="none" w:pos="7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 condition precedent to the obligations of Celldex to complete the registration of the Registrable Shares pursuant to this Agreement that BIOSYN furnish to Celldex the information that Celldex reasonably requests with respect to BIOSYN, the Registrable Shares, and other securities held by BIOSYN and the intended method of disposition of the Registrable Shares held by BIOSYN (if different from the Plan of Distribution set forth in the Registration Statement) as shall be reasonably required to effect the registration of such Registrable Shares and shall complete and execute such documents in connection with such registration as Celldex may reasonably request.</w:t>
      </w:r>
    </w:p>
    <w:p>
      <w:pPr>
        <w:spacing w:after="0" w:line="184" w:lineRule="exact"/>
        <w:rPr>
          <w:sz w:val="20"/>
          <w:szCs w:val="20"/>
          <w:color w:val="auto"/>
        </w:rPr>
      </w:pPr>
    </w:p>
    <w:p>
      <w:pPr>
        <w:ind w:right="120" w:firstLine="8"/>
        <w:spacing w:after="0" w:line="261" w:lineRule="auto"/>
        <w:tabs>
          <w:tab w:leader="none" w:pos="7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BIOSYN</w:t>
      </w:r>
      <w:r>
        <w:rPr>
          <w:rFonts w:ascii="Times New Roman" w:cs="Times New Roman" w:eastAsia="Times New Roman" w:hAnsi="Times New Roman"/>
          <w:sz w:val="18"/>
          <w:szCs w:val="18"/>
          <w:color w:val="auto"/>
        </w:rPr>
        <w:t>. BIOSYN shall indemnify and hold harmless Celldex, its directors, officers, agents and employees, each person who controls Celldex (within the meaning of Section 15 of the Securities Act and Section 20 of the Exchange Act), and the directors, officers, agents or employees of such controlling persons, to the fullest extent permitted by applicable law, from and against all losses (as determined by a court of competent jurisdiction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 final judgment not subject to appeal or review) arising solely out of any untrue statement of a material fact contained in the Registration Statement, any Prospectus or Prospectus Supplement, or any form of prospectus, or in any amendment or supplement thereto, or arising out of or relating to any omission of a material fact required to be stated therein or necessary to make the statements therein (in the case of any Prospectus or form of prospectus or supplement thereto, in the light of the circumstances under which they were made) not misleading, but only to the extent that such untrue statement or omission is contained in any information so furnished by BIOSYN in writing to Celldex for inclusion in such Registration Statement or such Prospectus or such Prospectus Supplement or to the extent that such information relates to BIOSYN or BIOSYN’s proposed method of distribution of Registrable Shares and was reviewed and expressly approved by BIOSYN for use in the Registration Statement or Prospectus or Prospectus Supplement. In no event shall the liability of BIOSYN hereunder be greater in amount than the dollar amount of the net proceeds received by BIOSYN upon the sale of the Registrable Shares giving rise to such indemnification obligation.</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Notices. </w:t>
      </w:r>
      <w:r>
        <w:rPr>
          <w:rFonts w:ascii="Times New Roman" w:cs="Times New Roman" w:eastAsia="Times New Roman" w:hAnsi="Times New Roman"/>
          <w:sz w:val="18"/>
          <w:szCs w:val="18"/>
          <w:color w:val="auto"/>
        </w:rPr>
        <w:t>Any notice or other communication required or permitted to be given hereunder shall be in writing and shall be mailed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return receipt requested, or delivered against receipt to the party to whom it is to be given: (a) if to Celldex, at the address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254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ectPr>
          <w:pgSz w:w="11900" w:h="16936" w:orient="portrait"/>
          <w:cols w:equalWidth="0" w:num="1">
            <w:col w:w="11400"/>
          </w:cols>
          <w:pgMar w:left="240" w:top="337" w:right="259" w:bottom="0" w:gutter="0" w:footer="0" w:header="0"/>
        </w:sectPr>
      </w:pPr>
    </w:p>
    <w:bookmarkStart w:id="36" w:name="page37"/>
    <w:bookmarkEnd w:id="36"/>
    <w:p>
      <w:pPr>
        <w:ind w:right="140"/>
        <w:spacing w:after="0" w:line="266" w:lineRule="auto"/>
        <w:rPr>
          <w:sz w:val="20"/>
          <w:szCs w:val="20"/>
          <w:color w:val="auto"/>
        </w:rPr>
      </w:pPr>
      <w:r>
        <w:rPr>
          <w:rFonts w:ascii="Times New Roman" w:cs="Times New Roman" w:eastAsia="Times New Roman" w:hAnsi="Times New Roman"/>
          <w:sz w:val="18"/>
          <w:szCs w:val="18"/>
          <w:color w:val="auto"/>
        </w:rPr>
        <w:t>Supply Agreement, or (b) if to BIOSYN, at the address set forth in the Supply Agreement (or, in either case, to such other address as the party shall have furnished in writing in accordance with the provisions of this Section). Any notice or other communication given by certified mail shall be deemed given at the time of certification thereof, except for a notice changing a party’s address which shall be deemed given at the time of receipt thereof.</w:t>
      </w:r>
    </w:p>
    <w:p>
      <w:pPr>
        <w:spacing w:after="0" w:line="172"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Assignability. </w:t>
      </w:r>
      <w:r>
        <w:rPr>
          <w:rFonts w:ascii="Times New Roman" w:cs="Times New Roman" w:eastAsia="Times New Roman" w:hAnsi="Times New Roman"/>
          <w:sz w:val="18"/>
          <w:szCs w:val="18"/>
          <w:color w:val="auto"/>
        </w:rPr>
        <w:t>This Subscription Agreement and the rights, interests and obligations hereunder are not transferable or assignable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BIOSYN and the transfer or assignment of the Shares shall be made only in accordance with all applicable laws and the terms of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533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33525" cy="8890"/>
                    </a:xfrm>
                    <a:prstGeom prst="rect">
                      <a:avLst/>
                    </a:prstGeom>
                    <a:noFill/>
                  </pic:spPr>
                </pic:pic>
              </a:graphicData>
            </a:graphic>
          </wp:anchor>
        </w:drawing>
      </w:r>
    </w:p>
    <w:p>
      <w:pPr>
        <w:spacing w:after="0" w:line="15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Section 9. Governing Law</w:t>
      </w:r>
      <w:r>
        <w:rPr>
          <w:rFonts w:ascii="Times New Roman" w:cs="Times New Roman" w:eastAsia="Times New Roman" w:hAnsi="Times New Roman"/>
          <w:sz w:val="18"/>
          <w:szCs w:val="18"/>
          <w:color w:val="auto"/>
        </w:rPr>
        <w:t>. This Subscription Agreement and all matters arising, directly or indirectly, herefrom are governed by,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Delaware law. Each party irrevocably waives any objection which it might at any time have to the courts of Delaware being nominated as the forum to hear and determine any proceedings and to settle any disputes and agrees not to claim that the courts of Delaware are not a convenient or appropriate forum. Each party agrees that the process by which any proceedings are begun in Delaware may be served on BIOSYN by being delivered in accordance with Section 5 above. Nothing contained in this paragraph shall affect the right to serve process in any other manner permitted by law. This Subscription Agreement is drawn up in the English language and if this Subscription Agreement is translated into any language other than the English language this version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1663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 Confidentiality. </w:t>
      </w:r>
      <w:r>
        <w:rPr>
          <w:rFonts w:ascii="Times New Roman" w:cs="Times New Roman" w:eastAsia="Times New Roman" w:hAnsi="Times New Roman"/>
          <w:sz w:val="18"/>
          <w:szCs w:val="18"/>
          <w:color w:val="auto"/>
        </w:rPr>
        <w:t>BIOSYN acknowledges and agrees that any information or data it has acquired from or about Celldex, not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in the public domain, was received in confidence. BIOSYN agrees not to divulge, communicate or disclose, except as may be required by law or for the performance of this Subscription Agreement, or use to the detriment of Celldex or for the benefit of any other person or persons, or misuse in any way, any confidential information of Celldex, including any scientific, technical, trade or business secrets of Celldex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1635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5125"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and any scientific, technical, trade or business materials that are treated by Celldex as confidential or proprietary, including, but not limited to, ideas, discoveries, inventions, developments and improvements belonging to Celldex and confidential information obtained by or given to Celldex about or belonging to third parties.</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 Miscellaneous. </w:t>
      </w:r>
      <w:r>
        <w:rPr>
          <w:rFonts w:ascii="Times New Roman" w:cs="Times New Roman" w:eastAsia="Times New Roman" w:hAnsi="Times New Roman"/>
          <w:sz w:val="18"/>
          <w:szCs w:val="18"/>
          <w:color w:val="auto"/>
        </w:rPr>
        <w:t>This Subscription Agreement constitutes the entire agreement between BIOSYN and Celldex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all prior oral, electronic or written agreements and understandings, if any, relating to the subject matter hereof. The terms and provisions of this Subscription Agreement may be waived, or consent for the departure therefrom granted, only by a written document executed by the party entitled to the benefits of such terms or provisions. Each party’s covenants, agreements, representations and warranties made in this Subscription Agreement shall survive the execution and delivery hereof and delivery of the Shares. Each of the parties hereto shall pay its own fees and expenses (including the fees of any attorneys, accountants, appraisers or others engaged by such party) in connection with this Subscription Agreement and the transactions contemplated hereby whether or not the transactions contemplated hereby are consummated. This Subscription Agreement may be executed in two or more counterparts, each of which shall be deemed an original, but all of which together shall constitute one and the same instrument. This Subscription Agreement may also be executed via facsimile or pdf, which shall be deemed an original. Any provision of this Subscription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 Paragraph titles are for descriptive purposes only and shall not control or alter the meaning of this Subscription Agreement as set forth in the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-1813560</wp:posOffset>
            </wp:positionV>
            <wp:extent cx="15779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Signature Page to Follow]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WITNESS the hands of the Parties or their duly authorized representatives the day and year first above written.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Signed by: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and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-130810</wp:posOffset>
            </wp:positionV>
            <wp:extent cx="24352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Signed by: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and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-130810</wp:posOffset>
            </wp:positionV>
            <wp:extent cx="24352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BIOSYN CORPORATION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PRODUCT DATA SHEET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DATA SHEET</w:t>
      </w:r>
    </w:p>
    <w:p>
      <w:pPr>
        <w:sectPr>
          <w:pgSz w:w="11900" w:h="16838" w:orient="portrait"/>
          <w:cols w:equalWidth="0" w:num="1">
            <w:col w:w="11400"/>
          </w:cols>
          <w:pgMar w:left="240" w:top="121" w:right="259" w:bottom="0" w:gutter="0" w:footer="0" w:header="0"/>
        </w:sect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15240</wp:posOffset>
            </wp:positionV>
            <wp:extent cx="32499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37" w:name="page38"/>
    <w:bookmarkEnd w:id="37"/>
    <w:tbl>
      <w:tblPr>
        <w:tblLayout w:type="fixed"/>
        <w:tblInd w:w="500" w:type="dxa"/>
        <w:tblCellMar>
          <w:top w:w="0" w:type="dxa"/>
          <w:left w:w="0" w:type="dxa"/>
          <w:bottom w:w="0" w:type="dxa"/>
          <w:right w:w="0" w:type="dxa"/>
        </w:tblCellMar>
      </w:tblP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w w:val="95"/>
              </w:rPr>
              <w:t>[*]</w:t>
            </w:r>
          </w:p>
        </w:tc>
        <w:tc>
          <w:tcPr>
            <w:tcW w:w="788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TEST PARAMETER and SPECIFICATION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-119380</wp:posOffset>
            </wp:positionV>
            <wp:extent cx="68694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69430" cy="13716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010101"/>
            </w:tcBorders>
            <w:gridSpan w:val="2"/>
          </w:tcPr>
          <w:p>
            <w:pPr>
              <w:spacing w:after="0"/>
              <w:rPr>
                <w:sz w:val="11"/>
                <w:szCs w:val="11"/>
                <w:color w:val="auto"/>
              </w:rPr>
            </w:pPr>
          </w:p>
        </w:tc>
        <w:tc>
          <w:tcPr>
            <w:tcW w:w="10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5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0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w:t>
            </w: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t>
            </w: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0" w:type="dxa"/>
            <w:vAlign w:val="bottom"/>
            <w:vMerge w:val="restart"/>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40" w:type="dxa"/>
            <w:vAlign w:val="bottom"/>
            <w:shd w:val="clear" w:color="auto" w:fill="CCEEFF"/>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tcPr>
          <w:p>
            <w:pPr>
              <w:jc w:val="right"/>
              <w:ind w:right="7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39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Purchase order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10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BIOSYN Corporation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5939 Darwin Courts, Suite 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Carlsbad, CA 92008, USA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w:t>
            </w:r>
          </w:p>
        </w:tc>
        <w:tc>
          <w:tcPr>
            <w:tcW w:w="10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Celldex Therapeutics Inc</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 Frontage Road, Suite 220, Hampton New Jersey, 08827 USA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-4855210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-4855210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0" w:gutter="0" w:footer="0" w:header="0"/>
        </w:sectPr>
      </w:pPr>
    </w:p>
    <w:bookmarkStart w:id="38" w:name="page39"/>
    <w:bookmarkEnd w:id="3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find below an order for BIOSYN KLH made in accordance with the terms of the Supply Agreement entered into between us on July 21,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Quantity of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Date: within 90 days from date of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for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Enclosed (50% of Total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 30 days from end of month in which order actually received at USA address for delivery.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confirm your acceptance of this order within 7 days of the date hereof by completing the acceptance form below and returning it to us, for the attention of by fax (fax number).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Celldex Therapeutics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acceptance by BIOSYN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BIOSYN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Free Carrier</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“Free Carrier” means that the seller fulfils his obligation to deliver when he has handed over the goods, cleared for export, into the charge of the carrier named by the buyer or another person nominated by the buyer at the seller’s premises or another named place. When, according to commercial practice, the seller’s assistance is required in making the contract with the carrier (such as in rail or air transport) the seller may act at the buyer’s risk and expense.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term may be used for any mode or modes of transport. “Carrier means the party with whom carriage is contracted.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 The seller must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A.l Provision of goods In conformity with the contract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Provide the goods and the commercial invoice, or its equivalent electronic message, in conformity with the contract of sale and any other evidence of conformity which may be required by the contract.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A.2 Licenses, authorizations and formalities</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Obtain at his own risk and expense any export license or other official authorization and carry out all customs formalities necessary for the exportation of the goods.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A.3 Contract of carriage and insurance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Contract of carriage</w:t>
      </w:r>
    </w:p>
    <w:p>
      <w:pPr>
        <w:spacing w:after="0" w:line="225" w:lineRule="exact"/>
        <w:rPr>
          <w:sz w:val="20"/>
          <w:szCs w:val="20"/>
          <w:color w:val="auto"/>
        </w:rPr>
      </w:pPr>
    </w:p>
    <w:p>
      <w:pPr>
        <w:jc w:val="both"/>
        <w:ind w:left="1300" w:right="60" w:firstLine="648"/>
        <w:spacing w:after="0" w:line="266" w:lineRule="auto"/>
        <w:rPr>
          <w:sz w:val="20"/>
          <w:szCs w:val="20"/>
          <w:color w:val="auto"/>
        </w:rPr>
      </w:pPr>
      <w:r>
        <w:rPr>
          <w:rFonts w:ascii="Times New Roman" w:cs="Times New Roman" w:eastAsia="Times New Roman" w:hAnsi="Times New Roman"/>
          <w:sz w:val="18"/>
          <w:szCs w:val="18"/>
          <w:color w:val="auto"/>
        </w:rPr>
        <w:t>No obligation. However, if requested by the buyer or if it is commercial practice and the buyer does not give an instruction to the contrary in due time, the seller may contract for carriage on usual terms at the buyer’s risk and expense. The seller may decline to make the contract and, if he does, shall promptly notify the buyer accordingly.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Contract of insurance</w:t>
      </w:r>
    </w:p>
    <w:p>
      <w:pPr>
        <w:sectPr>
          <w:pgSz w:w="11900" w:h="16856" w:orient="portrait"/>
          <w:cols w:equalWidth="0" w:num="1">
            <w:col w:w="11400"/>
          </w:cols>
          <w:pgMar w:left="240" w:top="337" w:right="259" w:bottom="0" w:gutter="0" w:footer="0" w:header="0"/>
        </w:sectPr>
      </w:pPr>
    </w:p>
    <w:bookmarkStart w:id="39" w:name="page40"/>
    <w:bookmarkEnd w:id="39"/>
    <w:p>
      <w:pPr>
        <w:spacing w:after="0" w:line="28" w:lineRule="exact"/>
        <w:rPr>
          <w:sz w:val="20"/>
          <w:szCs w:val="20"/>
          <w:color w:val="auto"/>
        </w:rPr>
      </w:pPr>
    </w:p>
    <w:p>
      <w:pPr>
        <w:ind w:left="1300" w:right="120" w:firstLine="648"/>
        <w:spacing w:after="0" w:line="282" w:lineRule="auto"/>
        <w:rPr>
          <w:sz w:val="20"/>
          <w:szCs w:val="20"/>
          <w:color w:val="auto"/>
        </w:rPr>
      </w:pPr>
      <w:r>
        <w:rPr>
          <w:rFonts w:ascii="Times New Roman" w:cs="Times New Roman" w:eastAsia="Times New Roman" w:hAnsi="Times New Roman"/>
          <w:sz w:val="18"/>
          <w:szCs w:val="18"/>
          <w:color w:val="auto"/>
        </w:rPr>
        <w:t>No obligation. However, the seller must provide to buyer, at the buyer’s request, risk and expense (if any), with information that the buyer needs for obtaining insurance.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A.4 Delivery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Deliver the goods into the custody of the carrier or another person (e.g. a freight forwarder) named by the buyer, or chosen by the seller in accordance with A.3.a), at the named place or point (e.g. transport terminal or other receiving point) on the date or within the period for delivery and in the manner agreed or customary at such point. Delivery is completed: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hanging="18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named place is the seller’s premises, when the goods have been loaded on the means of transport provided by the buyer.</w:t>
      </w:r>
    </w:p>
    <w:p>
      <w:pPr>
        <w:spacing w:after="0" w:line="225" w:lineRule="exact"/>
        <w:rPr>
          <w:rFonts w:ascii="Times New Roman" w:cs="Times New Roman" w:eastAsia="Times New Roman" w:hAnsi="Times New Roman"/>
          <w:sz w:val="18"/>
          <w:szCs w:val="18"/>
          <w:color w:val="auto"/>
        </w:rPr>
      </w:pPr>
    </w:p>
    <w:p>
      <w:pPr>
        <w:ind w:right="580" w:firstLine="656"/>
        <w:spacing w:after="0" w:line="282" w:lineRule="auto"/>
        <w:tabs>
          <w:tab w:leader="none" w:pos="8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when the goods are placed at the disposal of the carrier or other person nominated by the buyer on the seller’s means of transport ready for unloading.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A.5 Transfer of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Subject to the provisions of B.5., bear all risks of loss of or damage to the goods until such time as they have been delivered in accordance with A.4.</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A.6 Division of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provisions of B.6</w:t>
      </w:r>
    </w:p>
    <w:p>
      <w:pPr>
        <w:spacing w:after="0" w:line="225" w:lineRule="exact"/>
        <w:rPr>
          <w:sz w:val="20"/>
          <w:szCs w:val="20"/>
          <w:color w:val="auto"/>
        </w:rPr>
      </w:pPr>
    </w:p>
    <w:p>
      <w:pPr>
        <w:ind w:left="1100" w:hanging="444"/>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costs relating to the goods until such time as they have been delivered to the carrier in accordance with A.4.;</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costs of customs formalities as well as all duties, taxes, and other official charges payable upon exportation.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A.7 Notice to the buyer</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Give the buyer sufficient notice that the goods have been delivered in accordance with A.4. Should the carrier or another person nominated by the buyer fails to take the goods into his charge at the time agreed, the seller must notify the buyer accordingly.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A.8 Proof of delivery, transport document or equivalent electronic message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buyer at the seller’s expense with the usual proof of delivery of the goods in accordance with A.4.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assistance to the buyer, at the buyer’s request, risk and expense, in obtaining a transport document.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A.9 Checking packaging — marking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Pay the costs of those checking operations (such as checking quality, measuring, weighing, counting) which are necessary for the purpose of delivering the goods in accordance with A.4, as well as the costs of any pre-shipment inspection mandated by the authority of the country of export. Provide at his own expense packaging (unless it is usual for the particular trade to send the goods of the contract description unpacked). The seller may package the goods in the manner appropriate for their transport, unless the buyer has notified the seller of specific packaging requirements before the contract of sale is concluded. Packaging is to be marked appropriately.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A.1O Assistance with Information and Related Costs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 applicable, in a timely manner, provide to or render assistance in obtaining for the buyer, at the buyer’s request, risk and expense, any documents and information, including security-related information, that the buyer needs for import of the goods and/or their transport to the final destination.</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Reimburse the buyer for all costs and charges incurred by the buyer in providing or rendering assistance in obtaining documents and information as envisaged in B10.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B. The Buyer Must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B.1 General obligations of the buyer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 the price as provided in the contract of sale.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document referred to in B1-B10 may be an equivalent electronic record or procedure if agreed between the parties or customary.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B.2 Licenses, authorizations, security clearances and other formalities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Obtain at his own risk and expense any import license or other official authorization and carry out all customs formalities for the importation of the goods and, where necessary, for their transit through another country.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B.3 Contract of carriage</w:t>
      </w:r>
    </w:p>
    <w:p>
      <w:pPr>
        <w:sectPr>
          <w:pgSz w:w="11900" w:h="16866" w:orient="portrait"/>
          <w:cols w:equalWidth="0" w:num="1">
            <w:col w:w="11340"/>
          </w:cols>
          <w:pgMar w:left="240" w:top="337" w:right="319" w:bottom="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Contract at his own expense for the carriage of the goods from the named place, except as provided for in A.3.a).</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B.4 Taking delivery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Take delivery of the goods in accordance with A.4.</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no specific point has been notified by the buyer under B7 within the named place of delivery, and if there are several points available, the seller may select the point that best suits its purpose.</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Unless the buyer notifies the seller otherwise, the seller may deliver the goods for carriage in such a manner as the quantity and/or nature of the goods may require.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B.5 Transfer of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Bear all risks of loss of or damage to the goods from the time they have been delivered in accordance with A.4.</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Should he fail to give notice in accordance with B.7., or should the carrier named by him fail to take the goods into his charge, then the buyer shall bear all risks of loss of or damage to the goods from the agreed date or the expiry date of any period stipulated for delivery, provided, however, that the goods have been duly appropriated to the contract, that is to say, clearly set aside or otherwise identified as the contract goods.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B.6 Division of costs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Pay all costs relating to the goods from the time when they have been delivered in accordance with A,4, except, where applicable, the costs of customs formalities necessary for export, as well as duties, taxes and other charges payable upon export referred to in A.6.</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Pay any additional costs incurred, either because he fails to name the carrier or other person as envisaged in A.4, or the carrier named by him or other person nominated by the buyer fails to take the goods into his charge at the agreed time, or because he has failed to give appropriate notice in accordance with B.7., provided, however, that the goods have been duly appropriated to the contract, that is to say, clearly set aside or otherwise identified as the contract goods.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B.7 Notice to the seller</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Give the seller sufficient notice of the name of the carrier or another person nominated as envisaged in A.4. and, where necessary, specify the mode of transport, as well as the date or period for deliver the goods to him, as the case may be, of the point within the place where the goods should be delivered to the carrier.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B.8 Proof of delivery, transport document or equivalent electronic message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Accept the proof of delivery in accordance with A.8,</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B.9 Inspection of goods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 unless otherwise agreed, the costs of pre-shipment inspection except when mandated by the authorities of the country of exportation.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B.10 Assistance with Information and Related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 timely manner, advise the seller of any security information requirements so that the seller may comply with A.10.</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Reimburse the seller for all costs and charges incurred by the seller in providing or rendering assistance in obtaining documents and information as envisaged in A.10.</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Where applicable, in a timely manner provide to or render assistance in obtaining for the seller, at the seller’s request, risk and expense, 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and information, security-related information that the seller needs for transport and export of the goods and for their transport through any country.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c>
          <w:tcPr>
            <w:tcW w:w="4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7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c>
          <w:tcPr>
            <w:tcW w:w="4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2" w:name="page43"/>
    <w:bookmarkEnd w:id="4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c>
          <w:tcPr>
            <w:tcW w:w="4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7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c>
          <w:tcPr>
            <w:tcW w:w="40" w:type="dxa"/>
            <w:vAlign w:val="bottom"/>
          </w:tcPr>
          <w:p>
            <w:pPr>
              <w:spacing w:after="0"/>
              <w:rPr>
                <w:sz w:val="16"/>
                <w:szCs w:val="16"/>
                <w:color w:val="auto"/>
              </w:rPr>
            </w:pPr>
          </w:p>
        </w:tc>
      </w:tr>
      <w:tr>
        <w:trPr>
          <w:trHeight w:val="234"/>
        </w:trPr>
        <w:tc>
          <w:tcPr>
            <w:tcW w:w="376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2014</w:t>
            </w: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740" w:type="dxa"/>
            <w:vAlign w:val="bottom"/>
          </w:tcPr>
          <w:p>
            <w:pPr>
              <w:spacing w:after="0"/>
              <w:rPr>
                <w:sz w:val="16"/>
                <w:szCs w:val="16"/>
                <w:color w:val="auto"/>
              </w:rPr>
            </w:pPr>
          </w:p>
        </w:tc>
        <w:tc>
          <w:tcPr>
            <w:tcW w:w="274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r>
      <w:tr>
        <w:trPr>
          <w:trHeight w:val="234"/>
        </w:trPr>
        <w:tc>
          <w:tcPr>
            <w:tcW w:w="374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2014</w:t>
            </w: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r>
      <w:tr>
        <w:trPr>
          <w:trHeight w:val="191"/>
        </w:trPr>
        <w:tc>
          <w:tcPr>
            <w:tcW w:w="3740" w:type="dxa"/>
            <w:vAlign w:val="bottom"/>
          </w:tcPr>
          <w:p>
            <w:pPr>
              <w:spacing w:after="0"/>
              <w:rPr>
                <w:sz w:val="16"/>
                <w:szCs w:val="16"/>
                <w:color w:val="auto"/>
              </w:rPr>
            </w:pPr>
          </w:p>
        </w:tc>
        <w:tc>
          <w:tcPr>
            <w:tcW w:w="274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r>
      <w:tr>
        <w:trPr>
          <w:trHeight w:val="234"/>
        </w:trPr>
        <w:tc>
          <w:tcPr>
            <w:tcW w:w="374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2"/>
    </w:lvl>
  </w:abstractNum>
  <w:abstractNum w:abstractNumId="17">
    <w:nsid w:val="22221A70"/>
    <w:multiLevelType w:val="hybridMultilevel"/>
    <w:lvl w:ilvl="0">
      <w:lvlJc w:val="left"/>
      <w:lvlText w:val="%1."/>
      <w:numFmt w:val="decimal"/>
      <w:start w:val="3"/>
    </w:lvl>
  </w:abstractNum>
  <w:abstractNum w:abstractNumId="18">
    <w:nsid w:val="4516DDE9"/>
    <w:multiLevelType w:val="hybridMultilevel"/>
    <w:lvl w:ilvl="0">
      <w:lvlJc w:val="left"/>
      <w:lvlText w:val="%1."/>
      <w:numFmt w:val="decimal"/>
      <w:start w:val="4"/>
    </w:lvl>
  </w:abstractNum>
  <w:abstractNum w:abstractNumId="19">
    <w:nsid w:val="3006C83E"/>
    <w:multiLevelType w:val="hybridMultilevel"/>
    <w:lvl w:ilvl="0">
      <w:lvlJc w:val="left"/>
      <w:lvlText w:val="%1."/>
      <w:numFmt w:val="decimal"/>
      <w:start w:val="5"/>
    </w:lvl>
  </w:abstractNum>
  <w:abstractNum w:abstractNumId="20">
    <w:nsid w:val="614FD4A1"/>
    <w:multiLevelType w:val="hybridMultilevel"/>
    <w:lvl w:ilvl="0">
      <w:lvlJc w:val="left"/>
      <w:lvlText w:val="%1."/>
      <w:numFmt w:val="decimal"/>
      <w:start w:val="6"/>
    </w:lvl>
  </w:abstractNum>
  <w:abstractNum w:abstractNumId="21">
    <w:nsid w:val="419AC241"/>
    <w:multiLevelType w:val="hybridMultilevel"/>
    <w:lvl w:ilvl="0">
      <w:lvlJc w:val="left"/>
      <w:lvlText w:val="%1."/>
      <w:numFmt w:val="decimal"/>
      <w:start w:val="7"/>
    </w:lvl>
  </w:abstractNum>
  <w:abstractNum w:abstractNumId="22">
    <w:nsid w:val="5577F8E1"/>
    <w:multiLevelType w:val="hybridMultilevel"/>
    <w:lvl w:ilvl="0">
      <w:lvlJc w:val="left"/>
      <w:lvlText w:val="%1."/>
      <w:numFmt w:val="decimal"/>
      <w:start w:val="8"/>
    </w:lvl>
  </w:abstractNum>
  <w:abstractNum w:abstractNumId="23">
    <w:nsid w:val="440BADFC"/>
    <w:multiLevelType w:val="hybridMultilevel"/>
    <w:lvl w:ilvl="0">
      <w:lvlJc w:val="left"/>
      <w:lvlText w:val="%1."/>
      <w:numFmt w:val="decimal"/>
      <w:start w:val="9"/>
    </w:lvl>
  </w:abstractNum>
  <w:abstractNum w:abstractNumId="24">
    <w:nsid w:val="5072367"/>
    <w:multiLevelType w:val="hybridMultilevel"/>
    <w:lvl w:ilvl="0">
      <w:lvlJc w:val="left"/>
      <w:lvlText w:val="%1."/>
      <w:numFmt w:val="decimal"/>
      <w:start w:val="10"/>
    </w:lvl>
  </w:abstractNum>
  <w:abstractNum w:abstractNumId="25">
    <w:nsid w:val="3804823E"/>
    <w:multiLevelType w:val="hybridMultilevel"/>
    <w:lvl w:ilvl="0">
      <w:lvlJc w:val="left"/>
      <w:lvlText w:val="%1."/>
      <w:numFmt w:val="decimal"/>
      <w:start w:val="11"/>
    </w:lvl>
  </w:abstractNum>
  <w:abstractNum w:abstractNumId="26">
    <w:nsid w:val="77465F01"/>
    <w:multiLevelType w:val="hybridMultilevel"/>
    <w:lvl w:ilvl="0">
      <w:lvlJc w:val="left"/>
      <w:lvlText w:val="(%1)"/>
      <w:numFmt w:val="lowerRoman"/>
      <w:start w:val="2"/>
    </w:lvl>
  </w:abstractNum>
  <w:abstractNum w:abstractNumId="27">
    <w:nsid w:val="7724C67E"/>
    <w:multiLevelType w:val="hybridMultilevel"/>
    <w:lvl w:ilvl="0">
      <w:lvlJc w:val="left"/>
      <w:lvlText w:val="%1."/>
      <w:numFmt w:val="decimal"/>
      <w:start w:val="12"/>
    </w:lvl>
  </w:abstractNum>
  <w:abstractNum w:abstractNumId="28">
    <w:nsid w:val="5C482A97"/>
    <w:multiLevelType w:val="hybridMultilevel"/>
    <w:lvl w:ilvl="0">
      <w:lvlJc w:val="left"/>
      <w:lvlText w:val="%1."/>
      <w:numFmt w:val="decimal"/>
      <w:start w:val="13"/>
    </w:lvl>
  </w:abstractNum>
  <w:abstractNum w:abstractNumId="29">
    <w:nsid w:val="2463B9EA"/>
    <w:multiLevelType w:val="hybridMultilevel"/>
    <w:lvl w:ilvl="0">
      <w:lvlJc w:val="left"/>
      <w:lvlText w:val="%1."/>
      <w:numFmt w:val="decimal"/>
      <w:start w:val="14"/>
    </w:lvl>
  </w:abstractNum>
  <w:abstractNum w:abstractNumId="30">
    <w:nsid w:val="5E884ADC"/>
    <w:multiLevelType w:val="hybridMultilevel"/>
    <w:lvl w:ilvl="0">
      <w:lvlJc w:val="left"/>
      <w:lvlText w:val="%1."/>
      <w:numFmt w:val="decimal"/>
      <w:start w:val="15"/>
    </w:lvl>
  </w:abstractNum>
  <w:abstractNum w:abstractNumId="31">
    <w:nsid w:val="51EAD36B"/>
    <w:multiLevelType w:val="hybridMultilevel"/>
    <w:lvl w:ilvl="0">
      <w:lvlJc w:val="left"/>
      <w:lvlText w:val="%1."/>
      <w:numFmt w:val="decimal"/>
      <w:start w:val="16"/>
    </w:lvl>
  </w:abstractNum>
  <w:abstractNum w:abstractNumId="32">
    <w:nsid w:val="2D517796"/>
    <w:multiLevelType w:val="hybridMultilevel"/>
    <w:lvl w:ilvl="0">
      <w:lvlJc w:val="left"/>
      <w:lvlText w:val="%1."/>
      <w:numFmt w:val="decimal"/>
      <w:start w:val="17"/>
    </w:lvl>
  </w:abstractNum>
  <w:abstractNum w:abstractNumId="33">
    <w:nsid w:val="580BD78F"/>
    <w:multiLevelType w:val="hybridMultilevel"/>
    <w:lvl w:ilvl="0">
      <w:lvlJc w:val="left"/>
      <w:lvlText w:val="%1."/>
      <w:numFmt w:val="decimal"/>
      <w:start w:val="18"/>
    </w:lvl>
  </w:abstractNum>
  <w:abstractNum w:abstractNumId="34">
    <w:nsid w:val="153EA438"/>
    <w:multiLevelType w:val="hybridMultilevel"/>
    <w:lvl w:ilvl="0">
      <w:lvlJc w:val="left"/>
      <w:lvlText w:val="%1."/>
      <w:numFmt w:val="decimal"/>
      <w:start w:val="19"/>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upperLetter"/>
      <w:start w:val="1"/>
    </w:lvl>
  </w:abstractNum>
  <w:abstractNum w:abstractNumId="37">
    <w:nsid w:val="6A2342EC"/>
    <w:multiLevelType w:val="hybridMultilevel"/>
    <w:lvl w:ilvl="0">
      <w:lvlJc w:val="left"/>
      <w:lvlText w:val="%1."/>
      <w:numFmt w:val="upperLetter"/>
      <w:start w:val="4"/>
    </w:lvl>
  </w:abstractNum>
  <w:abstractNum w:abstractNumId="38">
    <w:nsid w:val="2A487CB0"/>
    <w:multiLevelType w:val="hybridMultilevel"/>
    <w:lvl w:ilvl="0">
      <w:lvlJc w:val="left"/>
      <w:lvlText w:val="%1."/>
      <w:numFmt w:val="upperLetter"/>
      <w:start w:val="1"/>
    </w:lvl>
  </w:abstractNum>
  <w:abstractNum w:abstractNumId="39">
    <w:nsid w:val="1D4ED43B"/>
    <w:multiLevelType w:val="hybridMultilevel"/>
    <w:lvl w:ilvl="0">
      <w:lvlJc w:val="left"/>
      <w:lvlText w:val="%1."/>
      <w:numFmt w:val="upperLetter"/>
      <w:start w:val="3"/>
    </w:lvl>
  </w:abstractNum>
  <w:abstractNum w:abstractNumId="40">
    <w:nsid w:val="725A06FB"/>
    <w:multiLevelType w:val="hybridMultilevel"/>
    <w:lvl w:ilvl="0">
      <w:lvlJc w:val="left"/>
      <w:lvlText w:val="%1."/>
      <w:numFmt w:val="upperLetter"/>
      <w:start w:val="1"/>
    </w:lvl>
  </w:abstractNum>
  <w:abstractNum w:abstractNumId="41">
    <w:nsid w:val="2CD89A32"/>
    <w:multiLevelType w:val="hybridMultilevel"/>
    <w:lvl w:ilvl="0">
      <w:lvlJc w:val="left"/>
      <w:lvlText w:val="(%1)"/>
      <w:numFmt w:val="lowerRoman"/>
      <w:start w:val="1"/>
    </w:lvl>
    <w:lvl w:ilvl="1">
      <w:lvlJc w:val="left"/>
      <w:lvlText w:val="(%2)"/>
      <w:numFmt w:val="lowerRoman"/>
      <w:start w:val="2"/>
    </w:lvl>
  </w:abstractNum>
  <w:abstractNum w:abstractNumId="42">
    <w:nsid w:val="57E4CCAF"/>
    <w:multiLevelType w:val="hybridMultilevel"/>
    <w:lvl w:ilvl="0">
      <w:lvlJc w:val="left"/>
      <w:lvlText w:val="%1."/>
      <w:numFmt w:val="upperLetter"/>
      <w:start w:val="3"/>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2019-12-05T20:51:32Z</dcterms:created>
  <dcterms:modified xsi:type="dcterms:W3CDTF">2019-12-05T20:51:32Z</dcterms:modified>
</cp:coreProperties>
</file>