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00" w:hanging="328"/>
        <w:spacing w:after="0" w:line="256" w:lineRule="auto"/>
        <w:tabs>
          <w:tab w:leader="none" w:pos="547" w:val="left"/>
        </w:tabs>
        <w:numPr>
          <w:ilvl w:val="0"/>
          <w:numId w:val="1"/>
        </w:numPr>
        <w:rPr>
          <w:rFonts w:ascii="Arial" w:cs="Arial" w:eastAsia="Arial" w:hAnsi="Arial"/>
          <w:sz w:val="18"/>
          <w:szCs w:val="18"/>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60" w:hanging="328"/>
        <w:spacing w:after="0" w:line="256" w:lineRule="auto"/>
        <w:tabs>
          <w:tab w:leader="none" w:pos="574"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31, 2012, 59,292,071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June 30, 2012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4"/>
          <w:szCs w:val="24"/>
          <w:color w:val="auto"/>
        </w:rPr>
      </w:pPr>
    </w:p>
    <w:p>
      <w:pPr>
        <w:ind w:left="1072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6548755</wp:posOffset>
            </wp:positionH>
            <wp:positionV relativeFrom="paragraph">
              <wp:posOffset>20955</wp:posOffset>
            </wp:positionV>
            <wp:extent cx="702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I—Financial Information</w:t>
              </w:r>
            </w:hyperlink>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at June 30, 2012 and December 31, 2011</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23"/>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Operations and Comprehensive Loss for the Three and Six Months Ended June 30, 2012 and</w:t>
              </w:r>
            </w:hyperlink>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2011</w:t>
              </w:r>
            </w:hyperlink>
          </w:p>
        </w:tc>
        <w:tc>
          <w:tcPr>
            <w:tcW w:w="2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Cash Flows for the Six Months Ended June 30, 2012 and 2011</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580" w:type="dxa"/>
            <w:vAlign w:val="bottom"/>
            <w:tcBorders>
              <w:top w:val="single" w:sz="8" w:color="0000EE"/>
            </w:tcBorders>
            <w:gridSpan w:val="4"/>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Item 2. Management’s Discussion and Analysis of Financial Condition and Results of Operations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 Quantitative and Qualitative Disclosures About Market Risk</w:t>
              </w:r>
            </w:hyperlink>
          </w:p>
        </w:tc>
        <w:tc>
          <w:tcPr>
            <w:tcW w:w="8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3"/>
          </w:tcPr>
          <w:p>
            <w:pPr>
              <w:spacing w:after="0"/>
              <w:rPr>
                <w:sz w:val="24"/>
                <w:szCs w:val="24"/>
                <w:color w:val="auto"/>
              </w:rPr>
            </w:pPr>
          </w:p>
        </w:tc>
        <w:tc>
          <w:tcPr>
            <w:tcW w:w="29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8080" w:type="dxa"/>
            <w:vAlign w:val="bottom"/>
            <w:gridSpan w:val="20"/>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 Other Information</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1. Legal Proceedings</w:t>
              </w:r>
            </w:hyperlink>
          </w:p>
        </w:tc>
        <w:tc>
          <w:tcPr>
            <w:tcW w:w="160" w:type="dxa"/>
            <w:vAlign w:val="bottom"/>
            <w:tcBorders>
              <w:top w:val="single" w:sz="8" w:color="0000EE"/>
            </w:tcBorders>
          </w:tcPr>
          <w:p>
            <w:pPr>
              <w:spacing w:after="0"/>
              <w:rPr>
                <w:sz w:val="24"/>
                <w:szCs w:val="24"/>
                <w:color w:val="auto"/>
              </w:rPr>
            </w:pPr>
          </w:p>
        </w:tc>
        <w:tc>
          <w:tcPr>
            <w:tcW w:w="584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1A. Risk Factors</w:t>
              </w:r>
            </w:hyperlink>
          </w:p>
        </w:tc>
        <w:tc>
          <w:tcPr>
            <w:tcW w:w="630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6. Exhibits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674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8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 Index</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4"/>
          </w:tcPr>
          <w:p>
            <w:pPr>
              <w:spacing w:after="0"/>
              <w:rPr>
                <w:sz w:val="24"/>
                <w:szCs w:val="24"/>
                <w:color w:val="auto"/>
              </w:rPr>
            </w:pPr>
          </w:p>
        </w:tc>
        <w:tc>
          <w:tcPr>
            <w:tcW w:w="4920" w:type="dxa"/>
            <w:vAlign w:val="bottom"/>
            <w:gridSpan w:val="11"/>
          </w:tcPr>
          <w:p>
            <w:pPr>
              <w:jc w:val="center"/>
              <w:ind w:left="4050"/>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7"/>
            <w:shd w:val="clear" w:color="auto" w:fill="0000EE"/>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080" w:type="dxa"/>
            <w:vAlign w:val="bottom"/>
            <w:gridSpan w:val="20"/>
          </w:tcPr>
          <w:p>
            <w:pPr>
              <w:spacing w:after="0"/>
              <w:rPr>
                <w:sz w:val="20"/>
                <w:szCs w:val="20"/>
                <w:color w:val="auto"/>
              </w:rPr>
            </w:pPr>
            <w:r>
              <w:rPr>
                <w:rFonts w:ascii="Arial" w:cs="Arial" w:eastAsia="Arial" w:hAnsi="Arial"/>
                <w:sz w:val="18"/>
                <w:szCs w:val="18"/>
                <w:b w:val="1"/>
                <w:bCs w:val="1"/>
                <w:color w:val="auto"/>
              </w:rPr>
              <w:t>PART I—FINANCIAL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80" w:type="dxa"/>
            <w:vAlign w:val="bottom"/>
            <w:gridSpan w:val="20"/>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4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rPr>
              <w:t>CELLDEX THERAPEUTICS,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4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40" w:type="dxa"/>
            <w:vAlign w:val="bottom"/>
            <w:gridSpan w:val="6"/>
          </w:tcPr>
          <w:p>
            <w:pPr>
              <w:jc w:val="center"/>
              <w:ind w:left="2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gridSpan w:val="19"/>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9"/>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8"/>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60,109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8"/>
          </w:tcPr>
          <w:p>
            <w:pPr>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19"/>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9"/>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720" w:type="dxa"/>
            <w:vAlign w:val="bottom"/>
            <w:tcBorders>
              <w:bottom w:val="single" w:sz="8" w:color="CCEEFF"/>
            </w:tcBorders>
            <w:gridSpan w:val="17"/>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122,129</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19"/>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8"/>
          </w:tcPr>
          <w:p>
            <w:pPr>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8"/>
          </w:tcPr>
          <w:p>
            <w:pPr>
              <w:spacing w:after="0"/>
              <w:rPr>
                <w:sz w:val="20"/>
                <w:szCs w:val="20"/>
                <w:color w:val="auto"/>
              </w:rPr>
            </w:pPr>
            <w:r>
              <w:rPr>
                <w:rFonts w:ascii="Arial" w:cs="Arial" w:eastAsia="Arial" w:hAnsi="Arial"/>
                <w:sz w:val="18"/>
                <w:szCs w:val="18"/>
                <w:color w:val="auto"/>
              </w:rPr>
              <w:t>Current Portion of Long-Term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Current Portion of Term Loan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720" w:type="dxa"/>
            <w:vAlign w:val="bottom"/>
            <w:tcBorders>
              <w:bottom w:val="single" w:sz="8" w:color="CCEEFF"/>
            </w:tcBorders>
            <w:gridSpan w:val="17"/>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12,579</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Term Loan, less Current Portion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19"/>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6,394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27,581</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8"/>
          </w:tcPr>
          <w:p>
            <w:pPr>
              <w:spacing w:after="0" w:line="201" w:lineRule="exact"/>
              <w:rPr>
                <w:sz w:val="20"/>
                <w:szCs w:val="20"/>
                <w:color w:val="auto"/>
              </w:rPr>
            </w:pPr>
            <w:r>
              <w:rPr>
                <w:rFonts w:ascii="Arial" w:cs="Arial" w:eastAsia="Arial" w:hAnsi="Arial"/>
                <w:sz w:val="18"/>
                <w:szCs w:val="18"/>
                <w:color w:val="auto"/>
              </w:rPr>
              <w:t>Convertible Preferred Stock, $.01 Par Value; 3,000,000 Shares Authorized; No Shares Issued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20" w:type="dxa"/>
            <w:vAlign w:val="bottom"/>
            <w:gridSpan w:val="17"/>
          </w:tcPr>
          <w:p>
            <w:pPr>
              <w:spacing w:after="0"/>
              <w:rPr>
                <w:sz w:val="20"/>
                <w:szCs w:val="20"/>
                <w:color w:val="auto"/>
              </w:rPr>
            </w:pPr>
            <w:r>
              <w:rPr>
                <w:rFonts w:ascii="Arial" w:cs="Arial" w:eastAsia="Arial" w:hAnsi="Arial"/>
                <w:sz w:val="18"/>
                <w:szCs w:val="18"/>
                <w:color w:val="auto"/>
              </w:rPr>
              <w:t>Outstanding at June 30, 2012 and December 31, 2011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880" w:type="dxa"/>
            <w:vAlign w:val="bottom"/>
            <w:gridSpan w:val="18"/>
            <w:shd w:val="clear" w:color="auto" w:fill="CCEEFF"/>
          </w:tcPr>
          <w:p>
            <w:pPr>
              <w:spacing w:after="0"/>
              <w:rPr>
                <w:sz w:val="20"/>
                <w:szCs w:val="20"/>
                <w:color w:val="auto"/>
              </w:rPr>
            </w:pPr>
            <w:r>
              <w:rPr>
                <w:rFonts w:ascii="Arial" w:cs="Arial" w:eastAsia="Arial" w:hAnsi="Arial"/>
                <w:sz w:val="18"/>
                <w:szCs w:val="18"/>
                <w:color w:val="auto"/>
                <w:w w:val="96"/>
              </w:rPr>
              <w:t>Common Stock, $.001 Par Value; 297,000,000 Shares Authorized; 58,753,571 and 44,210,636 Shares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-6057900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June 30, 2012 and December 31, 2011, respectively</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324,062</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271,032</w:t>
            </w:r>
          </w:p>
        </w:tc>
        <w:tc>
          <w:tcPr>
            <w:tcW w:w="80" w:type="dxa"/>
            <w:vAlign w:val="bottom"/>
          </w:tcPr>
          <w:p>
            <w:pPr>
              <w:spacing w:after="0"/>
              <w:rPr>
                <w:sz w:val="18"/>
                <w:szCs w:val="18"/>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2,722</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2,652</w:t>
            </w:r>
          </w:p>
        </w:tc>
        <w:tc>
          <w:tcPr>
            <w:tcW w:w="8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(232,295)</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(205,006)</w:t>
            </w:r>
          </w:p>
        </w:tc>
      </w:tr>
      <w:tr>
        <w:trPr>
          <w:trHeight w:val="210"/>
        </w:trPr>
        <w:tc>
          <w:tcPr>
            <w:tcW w:w="7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94,548</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1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14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122,129</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COMPRENHENSIVE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0"/>
              </w:rPr>
              <w:t>June 30, 2012</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7"/>
              </w:rPr>
              <w:t>June 30, 2011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0"/>
              </w:rPr>
              <w:t>June 30, 2012</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June 30, 2011</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Product Royalties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4,218</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7,169</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21,881</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4,536</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6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11,833</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31,218</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(13,488)</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(9,881)</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(26,776)</w:t>
            </w: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(20,295)</w:t>
            </w: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 (Note 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Basic and Diluted Net Loss per Share (Note 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37,463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54,439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(13,773)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(27,289)</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(20,295)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Gain on Marketable Securities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6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(20,272</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June 30, 2012</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June 30, 2011</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(27,289)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(20,295)</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(Gain) Loss on Sales and Maturities of Marketable Securities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Gain on Sale or Disposal of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r>
    </w:tbl>
    <w:p>
      <w:pPr>
        <w:sectPr>
          <w:pgSz w:w="11900" w:h="16838"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Accounts and Other Receivables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Other Liabilities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20,919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51,957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(Payments) Issuance of Term Loan</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Payments of Other Liabilities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11,899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2011, which are included in the Company’s Annual Report on Form 10-K filed with the Securities and Exchange Commission (“SEC”) on March 8, 2012.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2012.</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At June 30, 2012, the Company had cash, cash equivalents and marketable securities of $78.7 million; working capital of $67.8 million; and a Term Loan balance of $13.9 million. The Company incurred a loss of $27.3 million for the six months ended June 30, 2012. Net cash used in operations for the six months ended June 30, 2012 was $25.5 million. The Company believes that the cash, cash equivalents and marketable securities at June 30, 2012 will be sufficient to meet estimated working capital requirements and fund planned operations for at least the next twelve months.</w:t>
      </w:r>
    </w:p>
    <w:p>
      <w:pPr>
        <w:spacing w:after="0" w:line="154"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Company raised net proceeds of $51.9 million during the six months ended June 30, 2012 from the sale of its common stock. 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significant discount or on other unfavorable terms, if at all, or sell all or a part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ectPr>
          <w:pgSz w:w="11900" w:h="16838" w:orient="portrait"/>
          <w:cols w:equalWidth="0" w:num="1">
            <w:col w:w="11420"/>
          </w:cols>
          <w:pgMar w:left="240" w:top="125" w:right="239" w:bottom="0" w:gutter="0" w:footer="0" w:header="0"/>
        </w:sectPr>
      </w:pPr>
    </w:p>
    <w:bookmarkStart w:id="4" w:name="page5"/>
    <w:bookmarkEnd w:id="4"/>
    <w:p>
      <w:pPr>
        <w:ind w:right="10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six months ended June 30, 2012 are consistent with those discussed in Note 2 to the consolidated financial statements in our Annual Report on Form 10-K for the year ended December 31, 2011, except for the adoption of new accounting standards during the first six months of 2012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January 2012, the Company adopted a new U.S. GAAP accounting standard which amended the guidance on the annual testing of goodwill for impairment. The amended guidance allows companies to assess qualitative factors to determine if it is more likely than not that goodwill might be impaired and whether it is necessary to perform the two-step goodwill impairment test required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under U.S. GAAP. The Company’s adoption of this new standard did not have a material effect on its operating results or financial position.</w:t>
      </w:r>
    </w:p>
    <w:p>
      <w:pPr>
        <w:spacing w:after="0" w:line="225"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January 2012, the Company adopted a new U.S. GAAP accounting standard which clarifies the application of certain existing fair value measurement guidance and expands the disclosures for fair value measurements that are estimated using significant unobservable (Level 3) inputs. The Company’s adoption of this standard did not have a material impact on its operating results or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12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4,304,897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4,316,897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3,728,282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2012</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16,960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16,960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60,109</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60,109</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77,069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4"/>
                <w:szCs w:val="2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2011</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3"/>
              </w:rPr>
              <w:t>11,038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41,413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41,413</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52,451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Our Term Loan is valued based on level 2 inputs. Based on these calculations, the fair value approximates the carrying value of the Term Loan and note payable at June 30,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marketable securities is shown below:</w:t>
      </w:r>
    </w:p>
    <w:p>
      <w:pPr>
        <w:sectPr>
          <w:pgSz w:w="11900" w:h="16838" w:orient="portrait"/>
          <w:cols w:equalWidth="0" w:num="1">
            <w:col w:w="11420"/>
          </w:cols>
          <w:pgMar w:left="240" w:top="34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2012</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21,973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15,543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37,516</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19,156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4"/>
              </w:rPr>
              <w:t>3,303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22,459</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59,975</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19,993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10,808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30,801</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ind w:left="740"/>
              <w:spacing w:after="0"/>
              <w:rPr>
                <w:sz w:val="20"/>
                <w:szCs w:val="20"/>
                <w:color w:val="auto"/>
              </w:rPr>
            </w:pPr>
            <w:r>
              <w:rPr>
                <w:rFonts w:ascii="Arial" w:cs="Arial" w:eastAsia="Arial" w:hAnsi="Arial"/>
                <w:sz w:val="18"/>
                <w:szCs w:val="18"/>
                <w:color w:val="auto"/>
                <w:w w:val="84"/>
              </w:rPr>
              <w:t>5,817</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4"/>
              </w:rPr>
              <w:t>4,730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3"/>
              </w:rPr>
              <w:t>10,547</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41,348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June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5"/>
              </w:rPr>
              <w:t>Estimated</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6"/>
              </w:rPr>
              <w:t>June 30, 2012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5"/>
              </w:rPr>
              <w:t>December 31, 2011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14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5"/>
          </w:tcPr>
          <w:p>
            <w:pPr>
              <w:ind w:left="11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IPR&amp;D</w:t>
            </w:r>
          </w:p>
        </w:tc>
        <w:tc>
          <w:tcPr>
            <w:tcW w:w="1720" w:type="dxa"/>
            <w:vAlign w:val="bottom"/>
            <w:gridSpan w:val="2"/>
          </w:tcPr>
          <w:p>
            <w:pPr>
              <w:ind w:left="400"/>
              <w:spacing w:after="0"/>
              <w:rPr>
                <w:sz w:val="20"/>
                <w:szCs w:val="20"/>
                <w:color w:val="auto"/>
              </w:rPr>
            </w:pPr>
            <w:r>
              <w:rPr>
                <w:rFonts w:ascii="Arial" w:cs="Arial" w:eastAsia="Arial" w:hAnsi="Arial"/>
                <w:sz w:val="18"/>
                <w:szCs w:val="18"/>
                <w:color w:val="auto"/>
              </w:rPr>
              <w:t>Indefinite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11,800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11,800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16 years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14,500</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Arial" w:cs="Arial" w:eastAsia="Arial" w:hAnsi="Arial"/>
                <w:sz w:val="18"/>
                <w:szCs w:val="18"/>
                <w:color w:val="auto"/>
              </w:rPr>
              <w:t>Core Technology</w:t>
            </w:r>
          </w:p>
        </w:tc>
        <w:tc>
          <w:tcPr>
            <w:tcW w:w="1720" w:type="dxa"/>
            <w:vAlign w:val="bottom"/>
            <w:gridSpan w:val="2"/>
          </w:tcPr>
          <w:p>
            <w:pPr>
              <w:ind w:left="400"/>
              <w:spacing w:after="0"/>
              <w:rPr>
                <w:sz w:val="20"/>
                <w:szCs w:val="20"/>
                <w:color w:val="auto"/>
              </w:rPr>
            </w:pPr>
            <w:r>
              <w:rPr>
                <w:rFonts w:ascii="Arial" w:cs="Arial" w:eastAsia="Arial" w:hAnsi="Arial"/>
                <w:sz w:val="18"/>
                <w:szCs w:val="18"/>
                <w:color w:val="auto"/>
              </w:rPr>
              <w:t>11 years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720" w:type="dxa"/>
            <w:vAlign w:val="bottom"/>
            <w:gridSpan w:val="2"/>
            <w:vMerge w:val="restart"/>
          </w:tcPr>
          <w:p>
            <w:pPr>
              <w:ind w:left="400"/>
              <w:spacing w:after="0"/>
              <w:rPr>
                <w:sz w:val="20"/>
                <w:szCs w:val="20"/>
                <w:color w:val="auto"/>
              </w:rPr>
            </w:pPr>
            <w:r>
              <w:rPr>
                <w:rFonts w:ascii="Arial" w:cs="Arial" w:eastAsia="Arial" w:hAnsi="Arial"/>
                <w:sz w:val="18"/>
                <w:szCs w:val="18"/>
                <w:color w:val="auto"/>
              </w:rPr>
              <w:t>Indefinite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6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Term Loan</w:t>
      </w:r>
    </w:p>
    <w:p>
      <w:pPr>
        <w:spacing w:after="0" w:line="229" w:lineRule="exact"/>
        <w:rPr>
          <w:sz w:val="20"/>
          <w:szCs w:val="20"/>
          <w:color w:val="auto"/>
        </w:rPr>
      </w:pPr>
    </w:p>
    <w:p>
      <w:pPr>
        <w:jc w:val="both"/>
        <w:ind w:right="380" w:firstLine="648"/>
        <w:spacing w:after="0" w:line="285" w:lineRule="auto"/>
        <w:rPr>
          <w:sz w:val="20"/>
          <w:szCs w:val="20"/>
          <w:color w:val="auto"/>
        </w:rPr>
      </w:pPr>
      <w:r>
        <w:rPr>
          <w:rFonts w:ascii="Arial" w:cs="Arial" w:eastAsia="Arial" w:hAnsi="Arial"/>
          <w:sz w:val="16"/>
          <w:szCs w:val="16"/>
          <w:color w:val="auto"/>
        </w:rPr>
        <w:t>In December 2010, the Company entered into a Loan and Security Agreement (the “Loan Agreement”) with MidCap Financial, LLC (MidCap) pursuant to which the Company borrowed $10 million (the “Term Loan”) from MidCap. In March 2011, as the Company had anticipated, the Company amended the Loan Agreement and borrowed an additional $5 million from General Electric Capital Corporation (GECC) (collectively with MidCap, the “Lenders”) to increase the amount owed under the Term Loan to $15 million. No additional advances are available under the Loan Agreement. The Term Loan accrues interest at a fixed annual interest rate equal to the greater of (i) the sum of (A) the LIBOR Rate (as defined in the Loan Agreement) plus</w:t>
      </w:r>
    </w:p>
    <w:p>
      <w:pPr>
        <w:spacing w:after="0" w:line="2" w:lineRule="exact"/>
        <w:rPr>
          <w:sz w:val="20"/>
          <w:szCs w:val="20"/>
          <w:color w:val="auto"/>
        </w:rPr>
      </w:pPr>
    </w:p>
    <w:p>
      <w:pPr>
        <w:ind w:right="540" w:firstLine="8"/>
        <w:spacing w:after="0" w:line="290" w:lineRule="auto"/>
        <w:tabs>
          <w:tab w:leader="none" w:pos="285" w:val="left"/>
        </w:tabs>
        <w:numPr>
          <w:ilvl w:val="0"/>
          <w:numId w:val="3"/>
        </w:numPr>
        <w:rPr>
          <w:rFonts w:ascii="Arial" w:cs="Arial" w:eastAsia="Arial" w:hAnsi="Arial"/>
          <w:sz w:val="17"/>
          <w:szCs w:val="17"/>
          <w:color w:val="auto"/>
        </w:rPr>
      </w:pPr>
      <w:r>
        <w:rPr>
          <w:rFonts w:ascii="Arial" w:cs="Arial" w:eastAsia="Arial" w:hAnsi="Arial"/>
          <w:sz w:val="17"/>
          <w:szCs w:val="17"/>
          <w:color w:val="auto"/>
        </w:rPr>
        <w:t>6.25%; or (ii) a minimum rate of 9.50%. In September 2011, the Company exercised an option to extend the interest-only period by 6 months from October 1, 2011 to April 1, 2012. In March 2012, the Company amended the Loan Agreement to extend the maturity date from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December 2013 to December 2014 in return for an upfront fee of $25,000 and an additional fee of $37,500 (the “Final Payment Fee”) due upon repayment of the Term Loan in full. The Company is accreting the $37,500 ratably over the amended term of the Term Loan to interest expense.</w:t>
      </w:r>
    </w:p>
    <w:p>
      <w:pPr>
        <w:spacing w:after="0" w:line="14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The Company may prepay all, but not less than all, of the Term Loan subject to a prepayment premium of 1% in year three and 2% in year two of the original principal amount of the Term Loan. There is no prepayment premium if the loan is paid off early in year four. The Company is also obligated to make a payment fee of $0.5 million (the “Payment Fee”) upon the earlier of (A) December 30, 2013 or (B) upon repayment of the Term Loan in full prior to December 30, 2013. The Company is accreting the Payment Fee ratably over the original term of the Term Loan to interest expense.</w:t>
      </w:r>
    </w:p>
    <w:p>
      <w:pPr>
        <w:spacing w:after="0" w:line="17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obligations of the Company under the Loan Agreement are secured by a first priority lien upon and security interest in substantially all of the Company’s existing and after-acquired assets, excluding its intellectual property assets. Under the Loan Agreement, the Company is subject to specified affirmative and negative covenants customary for financings of this type. The Loan Agreement provides that, upon the occurrence of certain specified events of default customary for financings of this type, the Company’s obligations under the Loan Agreement may be automatically accelerated, whereupon the</w:t>
      </w:r>
    </w:p>
    <w:p>
      <w:pPr>
        <w:sectPr>
          <w:pgSz w:w="11900" w:h="16838" w:orient="portrait"/>
          <w:cols w:equalWidth="0" w:num="1">
            <w:col w:w="11420"/>
          </w:cols>
          <w:pgMar w:left="240" w:top="104" w:right="239" w:bottom="0" w:gutter="0" w:footer="0" w:header="0"/>
        </w:sectPr>
      </w:pPr>
    </w:p>
    <w:bookmarkStart w:id="6" w:name="page7"/>
    <w:bookmarkEnd w:id="6"/>
    <w:p>
      <w:pPr>
        <w:ind w:right="260"/>
        <w:spacing w:after="0" w:line="277" w:lineRule="auto"/>
        <w:rPr>
          <w:sz w:val="20"/>
          <w:szCs w:val="20"/>
          <w:color w:val="auto"/>
        </w:rPr>
      </w:pPr>
      <w:r>
        <w:rPr>
          <w:rFonts w:ascii="Arial" w:cs="Arial" w:eastAsia="Arial" w:hAnsi="Arial"/>
          <w:sz w:val="18"/>
          <w:szCs w:val="18"/>
          <w:color w:val="auto"/>
        </w:rPr>
        <w:t>Company’s obligations under the Loan Agreement shall be immediately due and payable. At June 30, 2012, the Company believes it is in compliance with the Loan Agreement.</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At June 30, 2012 and December 31, 2011, the Company had $0.1 million and $0.2 million, respectively, in capitalized deferred financing costs incurred in connection with the Term Loan and is amortizing these costs over the amended term of the Term Loan to interest expense. Interest expense on the Term Loan including the accretion of the Payment Fee and Final Payment Fee and amortization of the deferred financing costs was $0.4 million and $0.8 million for the three and six months ended June 30, 2012 and $0.4 million and $0.7 million for the three and six months ended June 30, 2011,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June 30, 2012</w:t>
            </w:r>
          </w:p>
        </w:tc>
        <w:tc>
          <w:tcPr>
            <w:tcW w:w="10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 2011</w:t>
            </w:r>
          </w:p>
        </w:tc>
      </w:tr>
      <w:tr>
        <w:trPr>
          <w:trHeight w:val="142"/>
        </w:trPr>
        <w:tc>
          <w:tcPr>
            <w:tcW w:w="5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
          </w:tcPr>
          <w:p>
            <w:pPr>
              <w:jc w:val="right"/>
              <w:ind w:right="9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4,661</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Loan Payable</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r>
      <w:tr>
        <w:trPr>
          <w:trHeight w:val="210"/>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2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Long-Term Portion</w:t>
            </w:r>
          </w:p>
        </w:tc>
        <w:tc>
          <w:tcPr>
            <w:tcW w:w="25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January 2012 and 2011, the Company received approval from the New Jersey Economic Development Authority and agreed to sell New Jersey tax benefits worth $0.8 million and $0.6 million to an independent third party for $0.7 million and $0.5 million, respectively. Under the agreement, the Company must maintain a base of operations in NJ for five years or the tax benefits must be paid back on a pro-rata basis based on the number of years completed. During the six months ended June 30, 2012, the Company recorded $0.1 million to other income related to the sale of these tax benefits.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January 2011, the Company entered into a controlled equity offering sales agreement (the “Cantor Agreement”) with Cantor Fitzgerald &amp; Co. (Cantor) pursuant to which the Company may issue and sell up to 5,000,000 shares of its common stock from time to time through Cantor, acting as agent. The Company agreed to pay Cantor a commission of up to 5% of the gross proceeds from each sale and to reimburse Cantor for certain expenses incurred in connection with entering into the Cantor Agreement. The Cantor Agreement terminates upon the sale of all 5,000,000 shares or upon ten day notice by either Cantor or the Company. During the year ended December 31, 2011, the Company sold 575,000 shares of common stock under the Cantor Agreement and raised $2.2 million in net proceeds, after deducting commission and offering expenses. In January 2012, the Company sold 2,450,000 shares of common stock under the Cantor Agreement and raised $8.5 million in net proceeds. At June 30, 2012, the Company had 1,975,000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shares available to be sold under the Cantor Agreement of which the Company sold 538,500 shares of stock during July 2012 and raised $2.8 million in net proceeds.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During February and March 2012, the Company issued a total of 12,075,000 shares of its common stock in an underwritten public offering, including the underwriter’s exercise of their full over-allotment option to purchase an additional 1,575,000 shares of common stock. The net proceeds to the Company were $43.4 million, after deducting underwriting fees and offering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At June 30, 2012, the 2008 Stock Option and Incentive Plan allowed for a maximum of 7,400,000 shares of common stock to be issued for grants of Stock Options and other Awards made prior to March 7, 2018 and grants of Incentive Stock Options made prior to October 20,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2012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5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4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Price</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4,459,034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6.08</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31,000</w:t>
            </w:r>
          </w:p>
        </w:tc>
        <w:tc>
          <w:tcPr>
            <w:tcW w:w="11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3.99</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Canceled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(185,137)</w:t>
            </w:r>
          </w:p>
        </w:tc>
        <w:tc>
          <w:tcPr>
            <w:tcW w:w="116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8.50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4,304,897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5.96</w:t>
            </w:r>
          </w:p>
        </w:tc>
        <w:tc>
          <w:tcPr>
            <w:tcW w:w="1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2012</w:t>
            </w: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160" w:type="dxa"/>
            <w:vAlign w:val="bottom"/>
            <w:gridSpan w:val="2"/>
            <w:vMerge w:val="restart"/>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w w:val="96"/>
              </w:rPr>
              <w:t>5.99</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vMerge w:val="continue"/>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4,271,786</w:t>
            </w:r>
          </w:p>
        </w:tc>
        <w:tc>
          <w:tcPr>
            <w:tcW w:w="18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2012</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2,923,338</w:t>
            </w:r>
          </w:p>
        </w:tc>
        <w:tc>
          <w:tcPr>
            <w:tcW w:w="116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7.04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4,449,646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grant-date fair value of stock options granted during the six months ended June 30, 2012 was $2.49.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under the 2008 Plan for the six months ended June 30, 2012 is as follows:</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ind w:left="8720"/>
        <w:spacing w:after="0"/>
        <w:tabs>
          <w:tab w:leader="none" w:pos="1032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Weighted</w:t>
      </w:r>
    </w:p>
    <w:p>
      <w:pPr>
        <w:jc w:val="center"/>
        <w:ind w:left="9840"/>
        <w:spacing w:after="0" w:line="226" w:lineRule="auto"/>
        <w:rPr>
          <w:sz w:val="20"/>
          <w:szCs w:val="20"/>
          <w:color w:val="auto"/>
        </w:rPr>
      </w:pPr>
      <w:r>
        <w:rPr>
          <w:rFonts w:ascii="Arial" w:cs="Arial" w:eastAsia="Arial" w:hAnsi="Arial"/>
          <w:sz w:val="14"/>
          <w:szCs w:val="14"/>
          <w:b w:val="1"/>
          <w:bCs w:val="1"/>
          <w:color w:val="auto"/>
        </w:rPr>
        <w:t>Average</w:t>
      </w:r>
    </w:p>
    <w:p>
      <w:pPr>
        <w:spacing w:after="0" w:line="1" w:lineRule="exact"/>
        <w:rPr>
          <w:sz w:val="20"/>
          <w:szCs w:val="20"/>
          <w:color w:val="auto"/>
        </w:rPr>
      </w:pPr>
    </w:p>
    <w:p>
      <w:pPr>
        <w:jc w:val="center"/>
        <w:ind w:left="9840"/>
        <w:spacing w:after="0"/>
        <w:rPr>
          <w:sz w:val="20"/>
          <w:szCs w:val="20"/>
          <w:color w:val="auto"/>
        </w:rPr>
      </w:pPr>
      <w:r>
        <w:rPr>
          <w:rFonts w:ascii="Arial" w:cs="Arial" w:eastAsia="Arial" w:hAnsi="Arial"/>
          <w:sz w:val="13"/>
          <w:szCs w:val="13"/>
          <w:b w:val="1"/>
          <w:bCs w:val="1"/>
          <w:color w:val="auto"/>
        </w:rPr>
        <w:t>Grant Date</w:t>
      </w:r>
    </w:p>
    <w:p>
      <w:pPr>
        <w:sectPr>
          <w:pgSz w:w="11900" w:h="16838" w:orient="portrait"/>
          <w:cols w:equalWidth="0" w:num="1">
            <w:col w:w="11420"/>
          </w:cols>
          <w:pgMar w:left="240" w:top="125"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8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2011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June 30, 2012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0"/>
        </w:trPr>
        <w:tc>
          <w:tcPr>
            <w:tcW w:w="8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for the three and six months ended June 30, 2012 and 2011 was recorded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gridSpan w:val="4"/>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284</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164</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448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000" w:type="dxa"/>
            <w:vAlign w:val="bottom"/>
            <w:gridSpan w:val="2"/>
          </w:tcPr>
          <w:p>
            <w:pPr>
              <w:jc w:val="right"/>
              <w:ind w:right="87"/>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9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stock options granted during the three and six months ended June 30, 2012 and 2011 were valued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70 - 71%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 – 1.3%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 – 1.4%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 – 2.9%</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Massachusetts, New Jersey and Connecticut are the three states in which the Company primarily operates or has operated and has income tax nexus.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under examination by any jurisdictions for any tax year.</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June 30, 2012 and December 31, 2011 against the Company’s net deferred tax assets.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clinical studies to meet our long-term liquidity needs, on terms acceptable to us, or at all;</w:t>
      </w:r>
    </w:p>
    <w:p>
      <w:pPr>
        <w:spacing w:after="0" w:line="236" w:lineRule="exact"/>
        <w:rPr>
          <w:rFonts w:ascii="Arial" w:cs="Arial" w:eastAsia="Arial" w:hAnsi="Arial"/>
          <w:sz w:val="17"/>
          <w:szCs w:val="17"/>
          <w:color w:val="auto"/>
        </w:rPr>
      </w:pPr>
    </w:p>
    <w:p>
      <w:pPr>
        <w:ind w:left="980" w:right="180" w:hanging="324"/>
        <w:spacing w:after="0" w:line="342" w:lineRule="auto"/>
        <w:tabs>
          <w:tab w:leader="none" w:pos="94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complete research and further development, including animal, preclinical and clinical studies, and commercialization of rindopepimut, CDX-011, CDX-1127, and other drug candidates and the growth of the markets for those drug candidates;</w:t>
      </w:r>
    </w:p>
    <w:p>
      <w:pPr>
        <w:spacing w:after="0" w:line="123" w:lineRule="exact"/>
        <w:rPr>
          <w:rFonts w:ascii="Arial" w:cs="Arial" w:eastAsia="Arial" w:hAnsi="Arial"/>
          <w:sz w:val="16"/>
          <w:szCs w:val="16"/>
          <w:color w:val="auto"/>
        </w:rPr>
      </w:pPr>
    </w:p>
    <w:p>
      <w:pPr>
        <w:ind w:left="980" w:right="32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our Phase 3 trial for rindopepimut;</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CDX-011, CDX-1127 and other preclinical and clinical testing;</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commercialization of rindopepimut for North America internally and to find a strategic partner to commercialize rindopepimut outside of North America;</w:t>
      </w:r>
    </w:p>
    <w:p>
      <w:pPr>
        <w:sectPr>
          <w:pgSz w:w="11900" w:h="16838" w:orient="portrait"/>
          <w:cols w:equalWidth="0" w:num="1">
            <w:col w:w="11460"/>
          </w:cols>
          <w:pgMar w:left="240" w:top="104" w:right="199" w:bottom="58" w:gutter="0" w:footer="0" w:header="0"/>
        </w:sectPr>
      </w:pPr>
    </w:p>
    <w:bookmarkStart w:id="8" w:name="page9"/>
    <w:bookmarkEnd w:id="8"/>
    <w:p>
      <w:pPr>
        <w:spacing w:after="0" w:line="62" w:lineRule="exact"/>
        <w:rPr>
          <w:sz w:val="20"/>
          <w:szCs w:val="20"/>
          <w:color w:val="auto"/>
        </w:rPr>
      </w:pPr>
    </w:p>
    <w:p>
      <w:pPr>
        <w:ind w:left="980" w:right="24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negotiate strategic partnerships, where appropriate, for our lead programs, including CDX-011 and CDX-1127, as well as for our non-core programs;</w:t>
      </w:r>
    </w:p>
    <w:p>
      <w:pPr>
        <w:spacing w:after="0" w:line="170" w:lineRule="exact"/>
        <w:rPr>
          <w:rFonts w:ascii="Arial" w:cs="Arial" w:eastAsia="Arial" w:hAnsi="Arial"/>
          <w:sz w:val="18"/>
          <w:szCs w:val="18"/>
          <w:color w:val="auto"/>
        </w:rPr>
      </w:pPr>
    </w:p>
    <w:p>
      <w:pPr>
        <w:ind w:left="980" w:right="380" w:hanging="324"/>
        <w:spacing w:after="0" w:line="216"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these partners;</w:t>
      </w:r>
    </w:p>
    <w:p>
      <w:pPr>
        <w:spacing w:after="0" w:line="201"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20" w:hanging="324"/>
        <w:spacing w:after="0" w:line="264"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2011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a biopharmaceutical company focused on the development and commercialization of several immunotherapy technologies for the treatment of cancer and other difficult-to-treat diseases. Our lead drug candidates include rindopepimut (CDX-110), an immunotherapeutic vaccine in a pivotal Phase 3 study for the treatment of front-line glioblastoma and a Phase 2 study for the treatment of recurrent glioblastoma, CDX-011, an antibody-drug conjugate in a randomized Phase 2b study for the treatment of advanced breast cancer and CDX-1127, a therapeutic human antibody in a Phase 1 study for cancer indications. We have additional clinical and preclinical programs, including CDX-1401, an APC Targeting Technology™ program, CDX-301, an immune cell mobilizing agent and dendritic cell growth factor and CDX-1135, a molecule that inhibits a part of the immune system called the complement system.</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Generally our strategy is to develop and demonstrate proof-of-concept for our drug candidates before leveraging their value through partnerships or, in appropriate situations, continuing late stage development through commercialization ourselves. Demonstrating proof-of-concept for a drug candidate generally involves bringing it through Phase 1 clinical trials and one or more Phase 2 clinical trials so that we are able to demonstrate, based on human trials, good safety data for the drug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 Our current collaborations include the commercialization of an oral human rotavirus vaccine. We are exploring potential development and commercialization collaborations for certain drug candidates such as CDX-011 and CDX-1127. Furthermore, while we plan to retain the rights to develop and commercialize rindopepimut in North America, we are exploring potential partnership opportunities to commercialize rindopepimut outside of North America. Our drug candidates address market opportunities for which we believe current therapies are inadequate or non-existent.</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products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 A number of our immunotherapeutic and antibody-drug conjugate drug candidates are in various stages of clinical trials. We expect that a large percentage of our research and development expenses will be incurred in support of our current and future clinical trial programs.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220" w:type="dxa"/>
            <w:vAlign w:val="bottom"/>
          </w:tcPr>
          <w:p>
            <w:pPr>
              <w:spacing w:after="0"/>
              <w:rPr>
                <w:sz w:val="14"/>
                <w:szCs w:val="14"/>
                <w:color w:val="auto"/>
              </w:rPr>
            </w:pPr>
          </w:p>
        </w:tc>
        <w:tc>
          <w:tcPr>
            <w:tcW w:w="4460" w:type="dxa"/>
            <w:vAlign w:val="bottom"/>
            <w:gridSpan w:val="2"/>
          </w:tcPr>
          <w:p>
            <w:pPr>
              <w:ind w:left="1620"/>
              <w:spacing w:after="0"/>
              <w:rPr>
                <w:sz w:val="20"/>
                <w:szCs w:val="20"/>
                <w:color w:val="auto"/>
              </w:rPr>
            </w:pPr>
            <w:r>
              <w:rPr>
                <w:rFonts w:ascii="Arial" w:cs="Arial" w:eastAsia="Arial" w:hAnsi="Arial"/>
                <w:sz w:val="14"/>
                <w:szCs w:val="14"/>
                <w:b w:val="1"/>
                <w:bCs w:val="1"/>
                <w:color w:val="auto"/>
              </w:rPr>
              <w:t>Indication/Field</w:t>
            </w:r>
          </w:p>
        </w:tc>
        <w:tc>
          <w:tcPr>
            <w:tcW w:w="1740" w:type="dxa"/>
            <w:vAlign w:val="bottom"/>
          </w:tcPr>
          <w:p>
            <w:pPr>
              <w:ind w:left="62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4"/>
                <w:szCs w:val="14"/>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rPr>
              <w:t>Status</w:t>
            </w:r>
          </w:p>
        </w:tc>
      </w:tr>
      <w:tr>
        <w:trPr>
          <w:trHeight w:val="210"/>
        </w:trPr>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2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CDX-110</w:t>
            </w:r>
          </w:p>
        </w:tc>
        <w:tc>
          <w:tcPr>
            <w:tcW w:w="2520" w:type="dxa"/>
            <w:vAlign w:val="bottom"/>
          </w:tcPr>
          <w:p>
            <w:pPr>
              <w:ind w:left="20"/>
              <w:spacing w:after="0"/>
              <w:rPr>
                <w:sz w:val="20"/>
                <w:szCs w:val="20"/>
                <w:color w:val="auto"/>
              </w:rPr>
            </w:pPr>
            <w:r>
              <w:rPr>
                <w:rFonts w:ascii="Arial" w:cs="Arial" w:eastAsia="Arial" w:hAnsi="Arial"/>
                <w:sz w:val="18"/>
                <w:szCs w:val="18"/>
                <w:color w:val="auto"/>
              </w:rPr>
              <w:t>(rindopepimut)</w:t>
            </w: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Front-line Glioblastoma</w:t>
            </w:r>
          </w:p>
        </w:tc>
        <w:tc>
          <w:tcPr>
            <w:tcW w:w="17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Phase 3</w:t>
            </w:r>
          </w:p>
        </w:tc>
      </w:tr>
      <w:tr>
        <w:trPr>
          <w:trHeight w:val="216"/>
        </w:trPr>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CDX-110</w:t>
            </w: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(rindopepimut)</w:t>
            </w: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Recurrent Glioblastoma</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Phase 2</w:t>
            </w:r>
          </w:p>
        </w:tc>
      </w:tr>
      <w:tr>
        <w:trPr>
          <w:trHeight w:val="216"/>
        </w:trPr>
        <w:tc>
          <w:tcPr>
            <w:tcW w:w="920" w:type="dxa"/>
            <w:vAlign w:val="bottom"/>
          </w:tcPr>
          <w:p>
            <w:pPr>
              <w:ind w:left="180"/>
              <w:spacing w:after="0"/>
              <w:rPr>
                <w:sz w:val="20"/>
                <w:szCs w:val="20"/>
                <w:color w:val="auto"/>
              </w:rPr>
            </w:pPr>
            <w:r>
              <w:rPr>
                <w:rFonts w:ascii="Arial" w:cs="Arial" w:eastAsia="Arial" w:hAnsi="Arial"/>
                <w:sz w:val="18"/>
                <w:szCs w:val="18"/>
                <w:color w:val="auto"/>
                <w:w w:val="97"/>
              </w:rPr>
              <w:t>CDX-011</w:t>
            </w:r>
          </w:p>
        </w:tc>
        <w:tc>
          <w:tcPr>
            <w:tcW w:w="2520" w:type="dxa"/>
            <w:vAlign w:val="bottom"/>
          </w:tcPr>
          <w:p>
            <w:pPr>
              <w:ind w:left="20"/>
              <w:spacing w:after="0"/>
              <w:rPr>
                <w:sz w:val="20"/>
                <w:szCs w:val="20"/>
                <w:color w:val="auto"/>
              </w:rPr>
            </w:pPr>
            <w:r>
              <w:rPr>
                <w:rFonts w:ascii="Arial" w:cs="Arial" w:eastAsia="Arial" w:hAnsi="Arial"/>
                <w:sz w:val="18"/>
                <w:szCs w:val="18"/>
                <w:color w:val="auto"/>
              </w:rPr>
              <w:t>(glembatumumab vedotin)</w:t>
            </w: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Metastatic breast cancer and melanoma</w:t>
            </w:r>
          </w:p>
        </w:tc>
        <w:tc>
          <w:tcPr>
            <w:tcW w:w="17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Phase 2b</w:t>
            </w:r>
          </w:p>
        </w:tc>
      </w:tr>
      <w:tr>
        <w:trPr>
          <w:trHeight w:val="216"/>
        </w:trPr>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Lymphoma/leukemia and solid tumors</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Phase 1</w:t>
            </w:r>
          </w:p>
        </w:tc>
      </w:tr>
      <w:tr>
        <w:trPr>
          <w:trHeight w:val="216"/>
        </w:trPr>
        <w:tc>
          <w:tcPr>
            <w:tcW w:w="3440" w:type="dxa"/>
            <w:vAlign w:val="bottom"/>
            <w:gridSpan w:val="2"/>
          </w:tcPr>
          <w:p>
            <w:pPr>
              <w:ind w:left="180"/>
              <w:spacing w:after="0"/>
              <w:rPr>
                <w:sz w:val="20"/>
                <w:szCs w:val="20"/>
                <w:color w:val="auto"/>
              </w:rPr>
            </w:pPr>
            <w:r>
              <w:rPr>
                <w:rFonts w:ascii="Arial" w:cs="Arial" w:eastAsia="Arial" w:hAnsi="Arial"/>
                <w:sz w:val="18"/>
                <w:szCs w:val="18"/>
                <w:color w:val="auto"/>
              </w:rPr>
              <w:t>CDX-1401</w:t>
            </w:r>
          </w:p>
        </w:tc>
        <w:tc>
          <w:tcPr>
            <w:tcW w:w="4680" w:type="dxa"/>
            <w:vAlign w:val="bottom"/>
            <w:gridSpan w:val="3"/>
          </w:tcPr>
          <w:p>
            <w:pPr>
              <w:ind w:left="220"/>
              <w:spacing w:after="0"/>
              <w:rPr>
                <w:sz w:val="20"/>
                <w:szCs w:val="20"/>
                <w:color w:val="auto"/>
              </w:rPr>
            </w:pPr>
            <w:r>
              <w:rPr>
                <w:rFonts w:ascii="Arial" w:cs="Arial" w:eastAsia="Arial" w:hAnsi="Arial"/>
                <w:sz w:val="18"/>
                <w:szCs w:val="18"/>
                <w:color w:val="auto"/>
              </w:rPr>
              <w:t>Multiple solid tumors</w:t>
            </w:r>
          </w:p>
        </w:tc>
        <w:tc>
          <w:tcPr>
            <w:tcW w:w="17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rPr>
              <w:t>Phase 1</w:t>
            </w:r>
          </w:p>
        </w:tc>
      </w:tr>
      <w:tr>
        <w:trPr>
          <w:trHeight w:val="216"/>
        </w:trPr>
        <w:tc>
          <w:tcPr>
            <w:tcW w:w="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CDX-301</w:t>
            </w:r>
          </w:p>
        </w:tc>
        <w:tc>
          <w:tcPr>
            <w:tcW w:w="25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Cancer, autoimmune disease and transplant</w:t>
            </w: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Phase 1</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24"/>
        </w:trPr>
        <w:tc>
          <w:tcPr>
            <w:tcW w:w="92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2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Renal disease</w:t>
            </w:r>
          </w:p>
        </w:tc>
        <w:tc>
          <w:tcPr>
            <w:tcW w:w="414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Preclinical</w:t>
            </w:r>
          </w:p>
        </w:tc>
        <w:tc>
          <w:tcPr>
            <w:tcW w:w="40" w:type="dxa"/>
            <w:vAlign w:val="bottom"/>
          </w:tcPr>
          <w:p>
            <w:pPr>
              <w:spacing w:after="0"/>
              <w:rPr>
                <w:sz w:val="18"/>
                <w:szCs w:val="18"/>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CDX-014</w:t>
            </w:r>
          </w:p>
        </w:tc>
        <w:tc>
          <w:tcPr>
            <w:tcW w:w="2660" w:type="dxa"/>
            <w:vAlign w:val="bottom"/>
          </w:tcPr>
          <w:p>
            <w:pPr>
              <w:ind w:left="780"/>
              <w:spacing w:after="0"/>
              <w:rPr>
                <w:sz w:val="20"/>
                <w:szCs w:val="20"/>
                <w:color w:val="auto"/>
              </w:rPr>
            </w:pPr>
            <w:r>
              <w:rPr>
                <w:rFonts w:ascii="Arial" w:cs="Arial" w:eastAsia="Arial" w:hAnsi="Arial"/>
                <w:sz w:val="18"/>
                <w:szCs w:val="18"/>
                <w:color w:val="auto"/>
                <w:w w:val="92"/>
              </w:rPr>
              <w:t>Ovarian and renal cancer</w:t>
            </w:r>
          </w:p>
        </w:tc>
        <w:tc>
          <w:tcPr>
            <w:tcW w:w="4140" w:type="dxa"/>
            <w:vAlign w:val="bottom"/>
          </w:tcPr>
          <w:p>
            <w:pPr>
              <w:ind w:left="2580"/>
              <w:spacing w:after="0"/>
              <w:rPr>
                <w:sz w:val="20"/>
                <w:szCs w:val="20"/>
                <w:color w:val="auto"/>
              </w:rPr>
            </w:pPr>
            <w:r>
              <w:rPr>
                <w:rFonts w:ascii="Arial" w:cs="Arial" w:eastAsia="Arial" w:hAnsi="Arial"/>
                <w:sz w:val="18"/>
                <w:szCs w:val="18"/>
                <w:color w:val="auto"/>
              </w:rPr>
              <w:t>—</w:t>
            </w:r>
          </w:p>
        </w:tc>
        <w:tc>
          <w:tcPr>
            <w:tcW w:w="1740" w:type="dxa"/>
            <w:vAlign w:val="bottom"/>
          </w:tcPr>
          <w:p>
            <w:pPr>
              <w:ind w:left="300"/>
              <w:spacing w:after="0"/>
              <w:rPr>
                <w:sz w:val="20"/>
                <w:szCs w:val="20"/>
                <w:color w:val="auto"/>
              </w:rPr>
            </w:pPr>
            <w:r>
              <w:rPr>
                <w:rFonts w:ascii="Arial" w:cs="Arial" w:eastAsia="Arial" w:hAnsi="Arial"/>
                <w:sz w:val="18"/>
                <w:szCs w:val="18"/>
                <w:color w:val="auto"/>
              </w:rPr>
              <w:t>Preclinical</w:t>
            </w:r>
          </w:p>
        </w:tc>
        <w:tc>
          <w:tcPr>
            <w:tcW w:w="4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MARKETED PRODUCTS</w:t>
            </w:r>
          </w:p>
        </w:tc>
        <w:tc>
          <w:tcPr>
            <w:tcW w:w="26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05"/>
        </w:trPr>
        <w:tc>
          <w:tcPr>
            <w:tcW w:w="2880" w:type="dxa"/>
            <w:vAlign w:val="bottom"/>
          </w:tcPr>
          <w:p>
            <w:pPr>
              <w:ind w:left="180"/>
              <w:spacing w:after="0"/>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2660" w:type="dxa"/>
            <w:vAlign w:val="bottom"/>
          </w:tcPr>
          <w:p>
            <w:pPr>
              <w:ind w:left="780"/>
              <w:spacing w:after="0"/>
              <w:rPr>
                <w:sz w:val="20"/>
                <w:szCs w:val="20"/>
                <w:color w:val="auto"/>
              </w:rPr>
            </w:pPr>
            <w:r>
              <w:rPr>
                <w:rFonts w:ascii="Arial" w:cs="Arial" w:eastAsia="Arial" w:hAnsi="Arial"/>
                <w:sz w:val="18"/>
                <w:szCs w:val="18"/>
                <w:color w:val="auto"/>
              </w:rPr>
              <w:t>Rotavirus infection</w:t>
            </w:r>
          </w:p>
        </w:tc>
        <w:tc>
          <w:tcPr>
            <w:tcW w:w="4140" w:type="dxa"/>
            <w:vAlign w:val="bottom"/>
          </w:tcPr>
          <w:p>
            <w:pPr>
              <w:ind w:left="2580"/>
              <w:spacing w:after="0"/>
              <w:rPr>
                <w:sz w:val="20"/>
                <w:szCs w:val="20"/>
                <w:color w:val="auto"/>
              </w:rPr>
            </w:pPr>
            <w:r>
              <w:rPr>
                <w:rFonts w:ascii="Arial" w:cs="Arial" w:eastAsia="Arial" w:hAnsi="Arial"/>
                <w:sz w:val="18"/>
                <w:szCs w:val="18"/>
                <w:color w:val="auto"/>
              </w:rPr>
              <w:t>GlaxoSmithKline</w:t>
            </w:r>
          </w:p>
        </w:tc>
        <w:tc>
          <w:tcPr>
            <w:tcW w:w="1740" w:type="dxa"/>
            <w:vAlign w:val="bottom"/>
          </w:tcPr>
          <w:p>
            <w:pPr>
              <w:ind w:left="300"/>
              <w:spacing w:after="0"/>
              <w:rPr>
                <w:sz w:val="20"/>
                <w:szCs w:val="20"/>
                <w:color w:val="auto"/>
              </w:rPr>
            </w:pPr>
            <w:r>
              <w:rPr>
                <w:rFonts w:ascii="Arial" w:cs="Arial" w:eastAsia="Arial" w:hAnsi="Arial"/>
                <w:sz w:val="18"/>
                <w:szCs w:val="18"/>
                <w:color w:val="auto"/>
              </w:rPr>
              <w:t>Marketed</w:t>
            </w:r>
          </w:p>
        </w:tc>
        <w:tc>
          <w:tcPr>
            <w:tcW w:w="40" w:type="dxa"/>
            <w:vAlign w:val="bottom"/>
          </w:tcPr>
          <w:p>
            <w:pPr>
              <w:spacing w:after="0"/>
              <w:rPr>
                <w:sz w:val="24"/>
                <w:szCs w:val="24"/>
                <w:color w:val="auto"/>
              </w:rPr>
            </w:pPr>
          </w:p>
        </w:tc>
      </w:tr>
      <w:tr>
        <w:trPr>
          <w:trHeight w:val="344"/>
        </w:trPr>
        <w:tc>
          <w:tcPr>
            <w:tcW w:w="2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140" w:type="dxa"/>
            <w:vAlign w:val="bottom"/>
          </w:tcPr>
          <w:p>
            <w:pPr>
              <w:jc w:val="right"/>
              <w:ind w:right="3790"/>
              <w:spacing w:after="0"/>
              <w:rPr>
                <w:sz w:val="20"/>
                <w:szCs w:val="20"/>
                <w:color w:val="auto"/>
              </w:rPr>
            </w:pPr>
            <w:r>
              <w:rPr>
                <w:rFonts w:ascii="Arial" w:cs="Arial" w:eastAsia="Arial" w:hAnsi="Arial"/>
                <w:sz w:val="18"/>
                <w:szCs w:val="18"/>
                <w:color w:val="auto"/>
              </w:rPr>
              <w:t>13</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88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7"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40" w:type="dxa"/>
            <w:vAlign w:val="bottom"/>
            <w:gridSpan w:val="2"/>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During the past five years through December 31, 2011, we incurred an aggregate of $118.8 million in research and development expenses. The following table indicates the amount incurred for each of our significant research programs and for other identified research and development activities during the six months ended June 30, 2012 and 2011. The amounts disclosed in the following table reflect direct research and development costs, license fees associated with the underlying technology and an allocation of indirect research and development costs to each program.</w:t>
      </w:r>
    </w:p>
    <w:p>
      <w:pPr>
        <w:sectPr>
          <w:pgSz w:w="11900" w:h="16838" w:orient="portrait"/>
          <w:cols w:equalWidth="0" w:num="1">
            <w:col w:w="11460"/>
          </w:cols>
          <w:pgMar w:left="240" w:top="140" w:right="199" w:bottom="0" w:gutter="0" w:footer="0" w:header="0"/>
        </w:sectPr>
      </w:pPr>
    </w:p>
    <w:p>
      <w:pPr>
        <w:spacing w:after="0" w:line="163"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6350</wp:posOffset>
            </wp:positionV>
            <wp:extent cx="21183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ind w:left="8040"/>
        <w:spacing w:after="0"/>
        <w:tabs>
          <w:tab w:leader="none" w:pos="9840" w:val="left"/>
        </w:tabs>
        <w:rPr>
          <w:sz w:val="20"/>
          <w:szCs w:val="20"/>
          <w:color w:val="auto"/>
        </w:rPr>
      </w:pPr>
      <w:r>
        <w:rPr>
          <w:rFonts w:ascii="Arial" w:cs="Arial" w:eastAsia="Arial" w:hAnsi="Arial"/>
          <w:sz w:val="12"/>
          <w:szCs w:val="12"/>
          <w:b w:val="1"/>
          <w:bCs w:val="1"/>
          <w:color w:val="auto"/>
        </w:rPr>
        <w:t>2012</w:t>
      </w:r>
      <w:r>
        <w:rPr>
          <w:sz w:val="20"/>
          <w:szCs w:val="20"/>
          <w:color w:val="auto"/>
        </w:rPr>
        <w:tab/>
      </w:r>
      <w:r>
        <w:rPr>
          <w:rFonts w:ascii="Arial" w:cs="Arial" w:eastAsia="Arial" w:hAnsi="Arial"/>
          <w:sz w:val="12"/>
          <w:szCs w:val="12"/>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10795</wp:posOffset>
            </wp:positionV>
            <wp:extent cx="21183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type w:val="continuous"/>
        </w:sectPr>
      </w:pPr>
    </w:p>
    <w:bookmarkStart w:id="10" w:name="page11"/>
    <w:bookmarkEnd w:id="10"/>
    <w:tbl>
      <w:tblPr>
        <w:tblLayout w:type="fixed"/>
        <w:tblInd w:w="40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33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9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4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CDX-011</w:t>
            </w:r>
          </w:p>
        </w:tc>
        <w:tc>
          <w:tcPr>
            <w:tcW w:w="2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1,853</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2,229</w:t>
            </w:r>
          </w:p>
        </w:tc>
        <w:tc>
          <w:tcPr>
            <w:tcW w:w="14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2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4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CDX-1401</w:t>
            </w:r>
          </w:p>
        </w:tc>
        <w:tc>
          <w:tcPr>
            <w:tcW w:w="2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CDX-301</w:t>
            </w:r>
          </w:p>
        </w:tc>
        <w:tc>
          <w:tcPr>
            <w:tcW w:w="2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CDX-1135</w:t>
            </w:r>
          </w:p>
        </w:tc>
        <w:tc>
          <w:tcPr>
            <w:tcW w:w="2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4,577</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w:t>
            </w:r>
          </w:p>
        </w:tc>
        <w:tc>
          <w:tcPr>
            <w:tcW w:w="14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CDX-014</w:t>
            </w:r>
          </w:p>
        </w:tc>
        <w:tc>
          <w:tcPr>
            <w:tcW w:w="2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Programs</w:t>
            </w:r>
          </w:p>
        </w:tc>
        <w:tc>
          <w:tcPr>
            <w:tcW w:w="27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Borders>
              <w:bottom w:val="single" w:sz="8" w:color="CCEEFF"/>
            </w:tcBorders>
          </w:tcPr>
          <w:p>
            <w:pPr>
              <w:spacing w:after="0"/>
              <w:rPr>
                <w:sz w:val="18"/>
                <w:szCs w:val="18"/>
                <w:color w:val="auto"/>
              </w:rPr>
            </w:pPr>
          </w:p>
        </w:tc>
      </w:tr>
      <w:tr>
        <w:trPr>
          <w:trHeight w:val="21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27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21,881</w:t>
            </w:r>
          </w:p>
        </w:tc>
        <w:tc>
          <w:tcPr>
            <w:tcW w:w="3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 (CDX-110)</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lead clinical development program, rindopepimut, is an immunotherapeutic vaccine that targets the tumor-specific molecule, epidermal growth factor receptor variant III (EGFRvIII). EGFRvIII is a mutated form of the epidermal growth factor receptor (EGFR) that is only expressed in cancer cells and not in normal tissue and can directly contribute to cancer cell growth. EGFRvIII has been shown by polymerase chain reaction (PCR) analysis to be expressed in approximately 31% of glioblastoma (GB) tumors, also referred to as glioblastoma multiforme (GBM), the most common and aggressive form of brain cancer. The rindopepimut vaccine is composed of the EGFRvIII peptide linked to a carrier protein called Keyhole Limpet Hemocyanin (KLH) and administered together with the adjuvant GM-CSF. The Food and Drug Administration (FDA) and the European Medicines Agency (EMA) have both granted orphan drug designation for rindopepimut for the treatment of EGFRvIII expressing GB and the FDA has also granted Fast Track designation.</w:t>
      </w:r>
    </w:p>
    <w:p>
      <w:pPr>
        <w:spacing w:after="0" w:line="16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April 2008, we and Pfizer Inc. (Pfizer) entered into a License and Development Agreement under which Pfizer was granted an exclusive worldwide license to rindopepimut. This agreement provided for reimbursement by Pfizer of all costs incurred by us in connection with the collaboration since the effective date. In November 2010, the agreement was terminated and all rights to rindopepimut were returned to us. Pfizer did not provide a reason for termination. Since the termination of this agreement, Pfizer is no longer funding the development of rindopepimut.</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Phase 1 (VICTORI) and Phase 2a (ACTIVATE) studies of EGFRvIII immunotherapy were led by collaborating investigators at the Brain Center at Duke Comprehensive Cancer Center in Durham, North Carolina and at M.D. Anderson Cancer Center in Houston, Texas and enrolled 14 and 18 evaluable GB patients, respectively. An extension of the Phase 2a study (ACT II) at the same two institutions evaluated 22 additional GB patients treated in combination with maintenance temozolomide (TMZ) (the current standard of care).</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initiated a Phase 2b/3 randomized study (ACT III) of rindopepimut combined with standard of care, TMZ, versus standard of care alone in patients with GB in over 30 sites throughout the United States. In December 2008, we announced an amendment to convert the ACT III study to a single-arm Phase 2 clinical trial in which all patients were to receive rindopepimut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in the control arm of the study were offered the option to receive treatment with rindopepimut. Under this amendment, the ACT III study provided for a multi-center, non-randomized dataset for rindopepimut in patients with newly diagnosed GB.</w:t>
      </w:r>
    </w:p>
    <w:p>
      <w:pPr>
        <w:spacing w:after="0" w:line="18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In November 2010, we announced complete data for the primary endpoint of the 65 patients enrolled to receive rindopepimut in combination with maintenance TMZ in the ACT III study. The data showed that 43 of 65 patients (66%) were progression-free at 5.5 months after entry into the study. Taking into account the 3 to 3.5 months required to complete pre-study chemoradiation and enter into the study, the 5.5 month time point in ACT III corresponds to approximately 8.5 months after diagnosis. The ACTIVATE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ACT II trials, which were conducted in two leading centers, reported progression-free rates at 8.5 months after diagnosis of 70% and 80%, respectively, and similar results were seen in the ACT III trial, which enrolled patients in over 25 centers in the United States.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progression free survival (PFS) and overall survival (OS) rates from clinical trials of rindopepimut as compared to matched historical controls and the standard of care (SOC).</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Median PFS from</w:t>
            </w:r>
          </w:p>
        </w:tc>
        <w:tc>
          <w:tcPr>
            <w:tcW w:w="2120" w:type="dxa"/>
            <w:vAlign w:val="bottom"/>
            <w:gridSpan w:val="2"/>
          </w:tcPr>
          <w:p>
            <w:pPr>
              <w:ind w:left="360"/>
              <w:spacing w:after="0"/>
              <w:rPr>
                <w:sz w:val="20"/>
                <w:szCs w:val="20"/>
                <w:color w:val="auto"/>
              </w:rPr>
            </w:pPr>
            <w:r>
              <w:rPr>
                <w:rFonts w:ascii="Arial" w:cs="Arial" w:eastAsia="Arial" w:hAnsi="Arial"/>
                <w:sz w:val="14"/>
                <w:szCs w:val="14"/>
                <w:b w:val="1"/>
                <w:bCs w:val="1"/>
                <w:color w:val="auto"/>
              </w:rPr>
              <w:t>Median OS from</w:t>
            </w:r>
          </w:p>
        </w:tc>
        <w:tc>
          <w:tcPr>
            <w:tcW w:w="17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OS at 24 months</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diagnosis (months)</w:t>
            </w:r>
          </w:p>
        </w:tc>
        <w:tc>
          <w:tcPr>
            <w:tcW w:w="36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diagnosis (months)</w:t>
            </w:r>
          </w:p>
        </w:tc>
        <w:tc>
          <w:tcPr>
            <w:tcW w:w="36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 III (n=65)</w:t>
            </w: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ACT II (n=22)</w:t>
            </w:r>
          </w:p>
        </w:tc>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24.4</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ACTIVATE (n=18)</w:t>
            </w:r>
          </w:p>
        </w:tc>
        <w:tc>
          <w:tcPr>
            <w:tcW w:w="2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2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Matched historical control (n=17)(2)</w:t>
            </w:r>
          </w:p>
        </w:tc>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2120" w:type="dxa"/>
            <w:vAlign w:val="bottom"/>
            <w:gridSpan w:val="2"/>
          </w:tcPr>
          <w:p>
            <w:pPr>
              <w:jc w:val="right"/>
              <w:ind w:right="360"/>
              <w:spacing w:after="0"/>
              <w:rPr>
                <w:sz w:val="20"/>
                <w:szCs w:val="20"/>
                <w:color w:val="auto"/>
              </w:rPr>
            </w:pPr>
            <w:r>
              <w:rPr>
                <w:rFonts w:ascii="Arial" w:cs="Arial" w:eastAsia="Arial" w:hAnsi="Arial"/>
                <w:sz w:val="18"/>
                <w:szCs w:val="18"/>
                <w:color w:val="auto"/>
              </w:rPr>
              <w:t>15.2</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Standard of care radiation/TMZ (n=287)(3)</w:t>
            </w:r>
          </w:p>
        </w:tc>
        <w:tc>
          <w:tcPr>
            <w:tcW w:w="2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2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median PFS not statistically significant from ACTIVATE and ACT II.</w:t>
      </w:r>
    </w:p>
    <w:p>
      <w:pPr>
        <w:spacing w:after="0" w:line="225" w:lineRule="exact"/>
        <w:rPr>
          <w:rFonts w:ascii="Arial" w:cs="Arial" w:eastAsia="Arial" w:hAnsi="Arial"/>
          <w:sz w:val="18"/>
          <w:szCs w:val="18"/>
          <w:color w:val="auto"/>
        </w:rPr>
      </w:pPr>
    </w:p>
    <w:p>
      <w:pPr>
        <w:ind w:left="660" w:right="420" w:hanging="652"/>
        <w:spacing w:after="0" w:line="264" w:lineRule="auto"/>
        <w:tabs>
          <w:tab w:leader="none" w:pos="681" w:val="left"/>
        </w:tabs>
        <w:numPr>
          <w:ilvl w:val="0"/>
          <w:numId w:val="8"/>
        </w:numPr>
        <w:rPr>
          <w:rFonts w:ascii="Arial" w:cs="Arial" w:eastAsia="Arial" w:hAnsi="Arial"/>
          <w:sz w:val="18"/>
          <w:szCs w:val="18"/>
          <w:color w:val="auto"/>
        </w:rPr>
      </w:pPr>
      <w:r>
        <w:rPr>
          <w:rFonts w:ascii="Arial" w:cs="Arial" w:eastAsia="Arial" w:hAnsi="Arial"/>
          <w:sz w:val="18"/>
          <w:szCs w:val="18"/>
          <w:color w:val="auto"/>
        </w:rPr>
        <w:t>Sampson, et al. J. Clin. Oncol. 2010 Nov 1, 28(31), 4722-9. Historical controls were treated at M.D. Anderson and matched for eligibility (EGFRvIII-positive, karnofsky performance status (KPS) greater-than or equal to 80%, complete resection, radiation/temozolomide (TMZ) and without progression through approximately 3 months post-diagnosis).</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Stupp, et al. N. Engl. J. Med. 2005, 352, 987-96.</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Importantly, rindopepimut showed a similar benefit in patients whether or not they expressed an active DNA repair gene (MGMT) that has been shown to limit the benefit from TMZ treatment. In ACT III, the number of patients who were expected to be resistant to the TMZ chemotherapy appeared to</w:t>
      </w:r>
    </w:p>
    <w:p>
      <w:pPr>
        <w:sectPr>
          <w:pgSz w:w="11900" w:h="16838" w:orient="portrait"/>
          <w:cols w:equalWidth="0" w:num="1">
            <w:col w:w="11420"/>
          </w:cols>
          <w:pgMar w:left="240" w:top="118" w:right="239" w:bottom="0" w:gutter="0" w:footer="0" w:header="0"/>
        </w:sectPr>
      </w:pPr>
    </w:p>
    <w:bookmarkStart w:id="11" w:name="page12"/>
    <w:bookmarkEnd w:id="11"/>
    <w:p>
      <w:pPr>
        <w:ind w:right="120"/>
        <w:spacing w:after="0" w:line="285" w:lineRule="auto"/>
        <w:rPr>
          <w:sz w:val="20"/>
          <w:szCs w:val="20"/>
          <w:color w:val="auto"/>
        </w:rPr>
      </w:pPr>
      <w:r>
        <w:rPr>
          <w:rFonts w:ascii="Arial" w:cs="Arial" w:eastAsia="Arial" w:hAnsi="Arial"/>
          <w:sz w:val="16"/>
          <w:szCs w:val="16"/>
          <w:color w:val="auto"/>
        </w:rPr>
        <w:t>do better with vaccination than the numbers observed in the historical data. Patients who have an active DNA repair gene, MGMT (unmethylated), generally have a worse outcome, presumably because they do not gain much benefit from TMZ as reported in the literature. Patients with a methylated MGMT promoter in their tumor do not express MGMT and have a more favorable outcome to TMZ treatment. Patients with methylated tumors (n=25) that were treated with the rindopepimut regimen experienced a median PFS of 17.5 months, which compares favorably with the published data from the SOC of radiation plus TMZ (R+TMZ) of 10.3 months. Those with unmethylated tumors (n=40) treated with the rindopepimut regimen experienced a PFS of</w:t>
      </w:r>
    </w:p>
    <w:p>
      <w:pPr>
        <w:spacing w:after="0" w:line="2" w:lineRule="exact"/>
        <w:rPr>
          <w:sz w:val="20"/>
          <w:szCs w:val="20"/>
          <w:color w:val="auto"/>
        </w:rPr>
      </w:pPr>
    </w:p>
    <w:p>
      <w:pPr>
        <w:jc w:val="both"/>
        <w:ind w:right="440"/>
        <w:spacing w:after="0" w:line="323" w:lineRule="auto"/>
        <w:rPr>
          <w:sz w:val="20"/>
          <w:szCs w:val="20"/>
          <w:color w:val="auto"/>
        </w:rPr>
      </w:pPr>
      <w:r>
        <w:rPr>
          <w:rFonts w:ascii="Arial" w:cs="Arial" w:eastAsia="Arial" w:hAnsi="Arial"/>
          <w:sz w:val="16"/>
          <w:szCs w:val="16"/>
          <w:color w:val="auto"/>
        </w:rPr>
        <w:t>11.2 months, which compared favorably to the PFS with SOC of 5.3 months in this patient population. Thus, rindopepimut would appear to benefit both methylated and unmethylated MGMT patients. We expect to present updated overall survival data from the ACT III study in the fourth quarter of 2012.</w:t>
      </w:r>
    </w:p>
    <w:p>
      <w:pPr>
        <w:spacing w:after="0" w:line="13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December 2011, we initiated ACT IV, a pivotal, randomized, double-blind, controlled Phase 3 study of rindopepimut in patients with surgically resected, EGFRvIII-positive GB. Patients will be randomized after the completion of surgery and standard chemoradiation. The treatment regime includes a vaccine priming phase post-radiation followed by an adjuvant temozolomide phase and a vaccine maintenance therapy phase. Patients will be treated until disease progression or intolerance to therapy. The primary objective of the study is to determine whether rindopepimut plus adjuvant GM-CSF improves the overall survival of patients with newly diagnosed EGFRvIII-positive GB after Gross Total Resection (GTR) when compared to treatment with TMZ and a control injection of KLH. KLH is a component of rindopepimut and was selected due to its ability to generate a similar injection site reaction to that observed with the rindopepimut vaccine. ACT IV will enroll up to 440 patients at over 150 centers worldwide to recruit approximately 374 patients with GTR to be included in the primary analysis. Our targeted patient accrual is 24 months and another 18 to 24 months of follow-up. We expect it will cost over $50 million to complete this Phase 3 study.</w:t>
      </w:r>
    </w:p>
    <w:p>
      <w:pPr>
        <w:spacing w:after="0" w:line="197"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In December 2011, we also initiated ReACT, a Phase 2 study of rindopepimut in combination with Avastin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patients with recurrent EGFRvIII-positive GB. ReACT will enroll approximately 95 patients in a first or second relapse of GB following receipt of standard therapy and will be conducted at approximately 20 sites across the United States. Approximately 70 patients who have yet to receive Avastin will be randomized to receive either rindopepimut and Avastin or a control injection of KLH and Avastin in a blinded fashion. Another 25 patients who are refractory to Avastin having received Avastin in either the frontline or recurrent setting with subsequent progression will receive rindopepimut plus Avastin in a single treatment arm. We expect preliminary data from this study to be available in mid-2013.</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researchers at Stanford University are conducting a pilot trial of rindopepimut in pediatric patients with pontine glioma in an investigator sponsored trial. Patient screening is ongoing for this trial.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 (CDX-011)</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CDX-011 is an antibody-drug conjugate (ADC) that consists of a fully-human monoclonal antibody, CR011, linked to a potent cell-killing drug, monomethyl-auristatin E (MMAE). The CR011 antibody specifically targets glycoprotein NMB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The FDA has granted Fast Track designation to CDX-011 for the treatment of advanced, refractory/resistant GPNMB-expressing breast cancer.</w:t>
      </w:r>
    </w:p>
    <w:p>
      <w:pPr>
        <w:spacing w:after="0" w:line="174"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had received prior therapy (median of seven prior regimens). The study began with a bridging phase to confirm the maximum tolerated dose (MTD) and then expanded into a Phase 2 open-label, multi-center study.</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study confirmed the safety of CDX-011 at the pre-defined maximum dose level (1.88 mg/kg) in 6 patients. An additional 28 patients were enrolled as an expanded Phase 2 cohort (for a total of 34 treated patients at 1.88 mg/kg, the Phase 2 dose) to evaluate the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 The most common treatment-related toxicities were fatigue, rash, nausea, alopecia (hair loss), neutropenia and vomiting.</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December 2011, we completed enrollment of EMERGE, a randomized, multi-center Phase 2b study of CDX-011 in patients with heavily pre-treated, advanced, GPNMB-positive breast cancer. Patients were randomized (2:1) to receive either CDX-011 or single-agent “Investigator’s Choice” chemotherapy. Patients randomized to receive Investigator’s Choice were allowed to cross over to CDX-011 following disease progression. Activity endpoints include response rate (RR) and PFS.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May 2012, we announced preliminary results from the EMERGE study which suggested that CDX-011 induces significant response rates compared to currently available therapies in patient subsets with advanced, refractory breast cancers with high GPNMB expression (expression in </w:t>
      </w:r>
      <w:r>
        <w:rPr>
          <w:rFonts w:ascii="Arial" w:cs="Arial" w:eastAsia="Arial" w:hAnsi="Arial"/>
          <w:sz w:val="17"/>
          <w:szCs w:val="17"/>
          <w:u w:val="single" w:color="auto"/>
          <w:color w:val="auto"/>
        </w:rPr>
        <w:t>&gt;</w:t>
      </w:r>
      <w:r>
        <w:rPr>
          <w:rFonts w:ascii="Arial" w:cs="Arial" w:eastAsia="Arial" w:hAnsi="Arial"/>
          <w:sz w:val="17"/>
          <w:szCs w:val="17"/>
          <w:color w:val="auto"/>
        </w:rPr>
        <w:t>25% of tumor cells) and in patients with triple negative breast cancer. In the high GPNMB expressing patient population (n=25), treatment with CDX-011 resulted in a 32% overall response rate (ORR; includes confirmed and unconfirmed responses), whereas treatment with Investigator’s Choice (IC) single-agent chemotherapy (n=8) resulted in a 13% ORR. In patients with triple negative breast cancer across all levels of GPNMB expression where treatment options are extremely limited, CDX-011 resulted in ORR of 21% (n=24) whereas treatment with IC resulted in ORR of 0% (n=9). In patients with triple negative breast cancer who also highly express GPNMB, CDX-011 resulted in ORR of 36% (n=11) whereas treatment with IC resulted in IC ORR of 0% (n=3). In patients with high GPNMB in the CDX-011 arm, a trend of improvement in PFS was observed. In patients with both triple negative breast cancer and high GPNMB expression, a statistically significant PFS benefit was observed (p=0.0032). Mature data from the EMERGE study is expected to be presented in the fourth quarter of 2012.</w:t>
      </w:r>
    </w:p>
    <w:p>
      <w:pPr>
        <w:sectPr>
          <w:pgSz w:w="11900" w:h="16838" w:orient="portrait"/>
          <w:cols w:equalWidth="0" w:num="1">
            <w:col w:w="11420"/>
          </w:cols>
          <w:pgMar w:left="240" w:top="125" w:right="239" w:bottom="52" w:gutter="0" w:footer="0" w:header="0"/>
        </w:sectPr>
      </w:pPr>
    </w:p>
    <w:bookmarkStart w:id="12" w:name="page13"/>
    <w:bookmarkEnd w:id="12"/>
    <w:p>
      <w:pPr>
        <w:ind w:right="120" w:firstLine="648"/>
        <w:spacing w:after="0" w:line="284" w:lineRule="auto"/>
        <w:rPr>
          <w:sz w:val="20"/>
          <w:szCs w:val="20"/>
          <w:color w:val="auto"/>
        </w:rPr>
      </w:pPr>
      <w:r>
        <w:rPr>
          <w:rFonts w:ascii="Arial" w:cs="Arial" w:eastAsia="Arial" w:hAnsi="Arial"/>
          <w:sz w:val="16"/>
          <w:szCs w:val="16"/>
          <w:color w:val="auto"/>
        </w:rPr>
        <w:t>In 2009, Formatech, Inc., a third party contract manufacturer was engaged by us for the aseptic filling of one lot of our CDX-011 product candidate being used in our ongoing Phase 2b study. The CDX-011 lot from Formatech has passed all of the sterility testing performed during drug release and in subsequent stability studies. At the end of January 2012, we were notified by the FDA that because significant Good Manufacturing Practice (GMP) violations were uncovered during inspection of Formatech, our Phase 2b study for CDX-011 was being placed on partial clinical hold. The FDA uncovered these findings during their inspections of the Formatech facility between August to October 2010 and July to August 2011. These inspections began approximately one year after the CDX-011 drug product was filled at Formatech. Specifically, the FDA requested that no new patients be treated with CDX-</w:t>
      </w:r>
    </w:p>
    <w:p>
      <w:pPr>
        <w:spacing w:after="0" w:line="5" w:lineRule="exact"/>
        <w:rPr>
          <w:sz w:val="20"/>
          <w:szCs w:val="20"/>
          <w:color w:val="auto"/>
        </w:rPr>
      </w:pPr>
    </w:p>
    <w:p>
      <w:pPr>
        <w:ind w:firstLine="8"/>
        <w:spacing w:after="0" w:line="273" w:lineRule="auto"/>
        <w:tabs>
          <w:tab w:leader="none" w:pos="353" w:val="left"/>
        </w:tabs>
        <w:numPr>
          <w:ilvl w:val="0"/>
          <w:numId w:val="9"/>
        </w:numPr>
        <w:rPr>
          <w:rFonts w:ascii="Arial" w:cs="Arial" w:eastAsia="Arial" w:hAnsi="Arial"/>
          <w:sz w:val="17"/>
          <w:szCs w:val="17"/>
          <w:color w:val="auto"/>
        </w:rPr>
      </w:pPr>
      <w:r>
        <w:rPr>
          <w:rFonts w:ascii="Arial" w:cs="Arial" w:eastAsia="Arial" w:hAnsi="Arial"/>
          <w:sz w:val="17"/>
          <w:szCs w:val="17"/>
          <w:color w:val="auto"/>
        </w:rPr>
        <w:t>However, patients already undergoing treatment with CDX-011 could continue treatment using vials of CDX-011 from the lot filled by Formatech, after such patients were informed of the potential risk and reconsented to continued participation in the study. The FDA have also agreed that patients in the IC arm of the study who may become eligible to receive CDX-011 at the time of progression, may receive an older lot of CDX-011 until such time that the material is exhausted or expired. As such, this partial clinical hold is not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expected to significantly impact the conduct or analysis of the Phase 2b study for purposes of determining next steps in our future development of CDX-011.</w:t>
      </w:r>
    </w:p>
    <w:p>
      <w:pPr>
        <w:spacing w:after="0" w:line="2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the FDA has agreed in concept that we could reprocess the remaining available vials of CDX-011 manufactured at Formatech at another cGMP contract manufacturer. The FDA’s final decision regarding the acceptability of this reprocessing will be made upon review of data concerning the stability and sterility of the reprocessed vials of CDX-011. If we are unsuccessful at reprocessing the available drug product or if FDA does not approve the use of these reprocessed vials, we will need to manufacture new drug product for subsequent clinical studies for CDX-011, which may cause a delay in the initiation of a subsequent trial with CDX-011.</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In 2009, we completed enrollment of 117 patients in a Phase 1/2 open-label, multi-center, dose escalation</w:t>
      </w:r>
      <w:r>
        <w:rPr>
          <w:rFonts w:ascii="Arial" w:cs="Arial" w:eastAsia="Arial" w:hAnsi="Arial"/>
          <w:sz w:val="16"/>
          <w:szCs w:val="16"/>
          <w:b w:val="1"/>
          <w:bCs w:val="1"/>
          <w:color w:val="auto"/>
        </w:rPr>
        <w:t xml:space="preserve"> </w:t>
      </w:r>
      <w:r>
        <w:rPr>
          <w:rFonts w:ascii="Arial" w:cs="Arial" w:eastAsia="Arial" w:hAnsi="Arial"/>
          <w:sz w:val="16"/>
          <w:szCs w:val="16"/>
          <w:color w:val="auto"/>
        </w:rPr>
        <w:t>study to evaluate the safety, tolerability and pharmacokinetics of CDX-011 for patients with un-resectable Stage III or Stage IV melanoma who had failed no more than one prior line of cytotoxic therapy. The MTD was determined to be 1.88 mg/kg administered intravenously (IV) once every three weeks. The study achieved its primary activity objective with an ORR in the Phase 2 cohort of 15% (5/34). Median PFS was 3.9 months. CDX-011 was generally well tolerated, with the most frequent treatment-related adverse events being rash, fatigue, alopecia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6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intend to initially focus our resources on advancing CDX-011 in breast cancer while pursuing further development of CDX-011 in melanoma through collaborations and investigator sponsored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CDX-1127 is a human monoclonal antibody that targets CD27, a member of the tumor necrosis factor (TNF) receptor superfamily. We have entered into license agreements with the University of Southampton, UK for intellectual property related to uses of anti-CD27 antibodies and with Medarex for access to the UltiMab technology to develop and commercialize human antibodies to CD27. CD27 acts downstream from CD40 and may provide a novel way to regulate the immune responses. CD27 is a co-stimulatory molecule on T cells and is over-expressed in certain lymphomas and leukemias. CDX-1127 is an agonist antibody designed to have two potential therapeutic mechanisms. CDX-1127 has been shown to activate immune cells that can target and eliminate cancerous cells in tumor bearing mice and to directly kill or inhibit the growth of CD27 expressing lymphomas and leukemias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Both mechanisms have been seen even at low doses in appropriate preclinical models.</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November 2011, we initiated an open label, dose-escalating Phase 1 study of CDX-1127 in patients with selected malignant solid tumors or hematologic cancers at multiple clinical sites in the United States. The Phase 1 study is designed to test five escalating doses of CDX-1127 to determine a Phase 2 dose for further development based on safety, tolerability, potential activity and immunogenicity. The study will accrue approximately 30 patients in each of the two arms, either selected refractory/relapsed solid tumors or lymphomas/leukemias known to express CD27. Patients will have received all appropriate prior therapies for their specific disease. The trial design incorporates both single dosing and multiple dosing regimens at each dose level. We expect to complete enrollment of the solid tumor arm of this study by the end of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6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September 2009, we initiated enrollment in a dose-escalating, multi-center, Phase 1 study aimed at determining the optimal dose for further development based on the safety, tolerability, and immunogenicity of the CDX-1401 vaccine. The trial will evaluate three different doses of the vaccine in combination with TLR agonists poly-ICLC or Hiltonol™ and/or R848 or resiquimod.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firstLine="648"/>
        <w:spacing w:after="0" w:line="302" w:lineRule="auto"/>
        <w:rPr>
          <w:sz w:val="20"/>
          <w:szCs w:val="20"/>
          <w:color w:val="auto"/>
        </w:rPr>
      </w:pPr>
      <w:r>
        <w:rPr>
          <w:rFonts w:ascii="Arial" w:cs="Arial" w:eastAsia="Arial" w:hAnsi="Arial"/>
          <w:sz w:val="16"/>
          <w:szCs w:val="16"/>
          <w:color w:val="auto"/>
        </w:rPr>
        <w:t>In October 2010, we announced interim data for the first 20 patients enrolled in the study, 35% of whom had confirmed NY-ESO-1 expression. The interim data showed that six patients maintained stable disease and were eligible for multiple cycles of the treatment regimen, including 4 patients who have received 3 or more cycles (6 weeks of treatment followed by a 6 week rest), with stable disease of up to 11.5+ months. The treatment was well tolerated and there were no dose-limiting toxicities. Robust anti-NY-ESO-1 immunity was induced with the majority of the patients developing anti-NY-ESO-1 antibody</w:t>
      </w:r>
    </w:p>
    <w:p>
      <w:pPr>
        <w:sectPr>
          <w:pgSz w:w="11900" w:h="16838" w:orient="portrait"/>
          <w:cols w:equalWidth="0" w:num="1">
            <w:col w:w="11400"/>
          </w:cols>
          <w:pgMar w:left="240" w:top="125" w:right="259" w:bottom="0" w:gutter="0" w:footer="0" w:header="0"/>
        </w:sectPr>
      </w:pPr>
    </w:p>
    <w:bookmarkStart w:id="13" w:name="page14"/>
    <w:bookmarkEnd w:id="13"/>
    <w:p>
      <w:pPr>
        <w:spacing w:after="0" w:line="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responses and 39% of the patients having increases in NY-ESO-1 specific T cell responses, including both CD4 and CD8 responses. Importantly, the T cell responses were directed against multiple regions of the NY-ESO-1 antigen.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2012, we completed enrollment in the trial and we expect to present results from the study in the fourth quarter of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CDX-301 is a FMS-like tyrosine kinase 3 ligand (Flt3L) stem cell mobilizer and dendritic cell growth factor. We licensed CDX-301 from Amgen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January 2012, we initiated a dose-escalating Phase 1 study of CDX-301 in approximately 30 healthy subjects in collaboration with Rockefeller University. The Phase 1 study will evaluate seven different dosing regimens of CDX-301 to determine the appropriate dose for further development based on safety, tolerability, and biological activity. We expect to complete accrual in the Phase 1 study in the fourth quarter of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 In preclinical studies, CDX-1135 has been shown to inhibit both the classical and alternative pathways of complement activation.</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Dense Deposit Disease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10 years. Because DDD recurs in virtually all patients who receive a kidney transplant, transplantation is not a viable option for these patients. In animal models of DDD, CDX-1135 treatment showed evidence of reversal of kidney damage. We believe that regulating the complement system could have therapeutic and prophylactic applications in DDD and several other acute and chronic conditions, including organ transplantation, multiple sclerosis, rheumatoid arthritis, age-related macular degeneration (AMD), atypical Hemolytic Uremic Syndrome (aHUS), Paroxysmal Nocturnal Hemaglobinuria (PNH), and myasthenia gravis.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CDX-1135 is currently being studied in DDD under an investigator sponsored IND and initial experience indicates that CDX-1135 limits complement abnormalities. In 2011, we completed process development activities and in 2011 and 2012 we manufactured multiple runs of GMP clinical drug product at our Fall River manufacturing facility in preparation for our Phase 2 pilot study. Based on discussion to date with the FDA, we are currently planning to initiate a Phase 2 pilot study of CDX-1135 in a small number of DDD patients to determine the appropriate dose and regimen for further clinical development based on safety, tolerability and biological activity in the second half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CDX-014 is a fully-human monoclonal ADC that targets TIM-1, a molecule that is highly expressed on renal and ovarian cancers with minimal expression in normal tissues.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Rotavirus is a major cause of diarrhea and vomiting in infants and children. In 1997, we licensed our oral rotavirus strain to GlaxoSmithKline plc (Glaxo) and Glaxo assumed responsibility for all subsequent clinical trials and all other development activities. Glaxo gained approval for its rotavirus vaccine, Rotarix,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 The last relevant patent is scheduled to expire in December 2012. No additional milestone payments are due from Glaxo under the agreement.</w:t>
      </w:r>
    </w:p>
    <w:p>
      <w:pPr>
        <w:spacing w:after="0" w:line="17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In May 2005, we entered into an agreement whereby an affiliate of Paul Royalty Fund II, L.P. (PRF) purchased a 70% interest in the milestone payments and net royalties that we will receive on the development and worldwide sales of Rotarix. We have received a total of $60 million in milestone payments under the PRF agreement. No additional milestone payments are due from PRF under the agreement. The PRF agreement terminates in December 2012, unless otherwise extended. We would retain approximately 65% of the royalties on worldwide sales of Rotarix if PRF receives 2.45 times the aggregate cash payments of $60 million it made to us prior to December 2012. We do not expect this to occur.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2011 and there have been no material changes to such critical accounting policies. We believe our most critical accounting policies include accounting for business combinations, revenue recognition, impairment of long-lived assets, research and development expenses and stock-based compensation expense.</w:t>
      </w:r>
    </w:p>
    <w:p>
      <w:pPr>
        <w:sectPr>
          <w:pgSz w:w="11900" w:h="16845" w:orient="portrait"/>
          <w:cols w:equalWidth="0" w:num="1">
            <w:col w:w="11380"/>
          </w:cols>
          <w:pgMar w:left="240" w:top="125" w:right="27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compared with Three Months Ended June 30,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Increase/</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(Decrease)</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1,941</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11,114</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7,169</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3,945</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Royalty</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1,941</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(13,488)</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3,607</w:t>
            </w:r>
          </w:p>
        </w:tc>
        <w:tc>
          <w:tcPr>
            <w:tcW w:w="3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The $3.5 million increase in net loss for the three months ended June 30, 2012 compared to the three months ended June 30, 2011 was primarily the result of an increase in research and development expense, partially offset by a decrease in amortization expense on acquired intangible assets.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$0.1 million increase in contracts and grants revenue for the three months ended June 30, 2012 compared to the three months ended June 30, 2011 was due to an Antigen Presenting Cell (APC)-based HIV vaccine being funded through a Small Business Innovation Research (SBIR) grant in collaboration with Rockefeller University. The $0.1 million decrease in product royalty revenue for the three months ended June 30, 2012 compared to the three months ended June 30,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center"/>
              <w:ind w:right="498"/>
              <w:spacing w:after="0"/>
              <w:rPr>
                <w:sz w:val="20"/>
                <w:szCs w:val="20"/>
                <w:color w:val="auto"/>
              </w:rPr>
            </w:pPr>
            <w:r>
              <w:rPr>
                <w:rFonts w:ascii="Arial" w:cs="Arial" w:eastAsia="Arial" w:hAnsi="Arial"/>
                <w:sz w:val="14"/>
                <w:szCs w:val="14"/>
                <w:b w:val="1"/>
                <w:bCs w:val="1"/>
                <w:color w:val="auto"/>
                <w:w w:val="92"/>
              </w:rPr>
              <w:t>Increase/</w:t>
            </w: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4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center"/>
              <w:ind w:right="498"/>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42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498"/>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3,211</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3,178</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33</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573</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420" w:type="dxa"/>
            <w:vAlign w:val="bottom"/>
          </w:tcPr>
          <w:p>
            <w:pPr>
              <w:spacing w:after="0"/>
              <w:rPr>
                <w:sz w:val="18"/>
                <w:szCs w:val="18"/>
                <w:color w:val="auto"/>
              </w:rPr>
            </w:pPr>
          </w:p>
        </w:tc>
        <w:tc>
          <w:tcPr>
            <w:tcW w:w="1380" w:type="dxa"/>
            <w:vAlign w:val="bottom"/>
          </w:tcPr>
          <w:p>
            <w:pPr>
              <w:jc w:val="right"/>
              <w:ind w:right="158"/>
              <w:spacing w:after="0"/>
              <w:rPr>
                <w:sz w:val="20"/>
                <w:szCs w:val="20"/>
                <w:color w:val="auto"/>
              </w:rPr>
            </w:pPr>
            <w:r>
              <w:rPr>
                <w:rFonts w:ascii="Arial" w:cs="Arial" w:eastAsia="Arial" w:hAnsi="Arial"/>
                <w:sz w:val="18"/>
                <w:szCs w:val="18"/>
                <w:color w:val="auto"/>
              </w:rPr>
              <w:t>(17)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1,159</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spacing w:after="0"/>
              <w:rPr>
                <w:sz w:val="20"/>
                <w:szCs w:val="20"/>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5,692</w:t>
            </w:r>
          </w:p>
        </w:tc>
        <w:tc>
          <w:tcPr>
            <w:tcW w:w="6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1,720</w:t>
            </w:r>
          </w:p>
        </w:tc>
        <w:tc>
          <w:tcPr>
            <w:tcW w:w="420" w:type="dxa"/>
            <w:vAlign w:val="bottom"/>
          </w:tcPr>
          <w:p>
            <w:pPr>
              <w:spacing w:after="0"/>
              <w:rPr>
                <w:sz w:val="20"/>
                <w:szCs w:val="20"/>
                <w:color w:val="auto"/>
              </w:rPr>
            </w:pPr>
          </w:p>
        </w:tc>
        <w:tc>
          <w:tcPr>
            <w:tcW w:w="1380" w:type="dxa"/>
            <w:vAlign w:val="bottom"/>
          </w:tcPr>
          <w:p>
            <w:pPr>
              <w:jc w:val="right"/>
              <w:ind w:right="218"/>
              <w:spacing w:after="0"/>
              <w:rPr>
                <w:sz w:val="20"/>
                <w:szCs w:val="20"/>
                <w:color w:val="auto"/>
              </w:rPr>
            </w:pPr>
            <w:r>
              <w:rPr>
                <w:rFonts w:ascii="Arial" w:cs="Arial" w:eastAsia="Arial" w:hAnsi="Arial"/>
                <w:sz w:val="18"/>
                <w:szCs w:val="18"/>
                <w:color w:val="auto"/>
              </w:rPr>
              <w:t>3,972</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r>
    </w:tbl>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Personnel expenses primarily include salary, benefits, stock-based compensation and payroll taxes. Personnel expenses for the three months ended June 30, 2012 was relatively consistent as compared to the three months ended June 30, 2011. We expect personnel expenses to increase over the next twelve months, although there may be fluctuations on a quarterly basis.</w:t>
      </w:r>
    </w:p>
    <w:p>
      <w:pPr>
        <w:spacing w:after="0" w:line="18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Laboratory supply expenses include laboratory materials and supplies, services, and other related expenses incurred in the development of our technology. Laboratory supply expense for the three months ended June 30, 2012 was relatively consistent as compared to the three months ended June 30, 2011. We expect supply expenses to remain relatively consistent over the next twelve months, although there may be fluctuations on a quarterly basis.</w:t>
      </w:r>
    </w:p>
    <w:p>
      <w:pPr>
        <w:spacing w:after="0" w:line="147" w:lineRule="exact"/>
        <w:rPr>
          <w:sz w:val="20"/>
          <w:szCs w:val="20"/>
          <w:color w:val="auto"/>
        </w:rPr>
      </w:pPr>
    </w:p>
    <w:p>
      <w:pPr>
        <w:jc w:val="both"/>
        <w:ind w:right="560" w:firstLine="648"/>
        <w:spacing w:after="0" w:line="286" w:lineRule="auto"/>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Facility expenses for the three months ended June 30, 2012 was relatively consistent as compared to the three months ended June 30, 2011. We expect facility expenses to remain relatively consistent over the next twelve months, although there may be fluctuations on a quarterly basis.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$4.0 million increase in product development expenses for the three months ended June 30, 2012 compared to the three months ended June 30, 2011 was primarily due to an increase in clinical trial costs of $4.1 million primarily due to our ACT IV and ReACT studies. We expect product development expenses to increase over the next twelve months due to the increase in clinical trial expenses related to our rindopepimut program,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ectPr>
          <w:pgSz w:w="11900" w:h="16838" w:orient="portrait"/>
          <w:cols w:equalWidth="0" w:num="1">
            <w:col w:w="11420"/>
          </w:cols>
          <w:pgMar w:left="240" w:top="337" w:right="239" w:bottom="32" w:gutter="0" w:footer="0" w:header="0"/>
        </w:sectPr>
      </w:pPr>
    </w:p>
    <w:bookmarkStart w:id="15" w:name="page16"/>
    <w:bookmarkEnd w:id="15"/>
    <w:p>
      <w:pPr>
        <w:ind w:right="100" w:firstLine="648"/>
        <w:spacing w:after="0" w:line="238"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$0.1 million decrease in royalty expenses for the three months ended June 30, 2012 compared to the three months ended June 30, 2011 was due to a decrease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royalty fees.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are recorded as product royalty revenue and a corresponding amount that is payable to CCH is recorded as royalty expense.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2012 was relatively consistent as compared to the three months ended June 30, 2011. We expect general and administrative expense to increase over the next twelve months due to increased commercialization efforts, although there may be fluctuations on a quarterly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$0.2 million decrease in amortization expenses for the three months ended June 30, 2012 compared to the three months ended June 30, 2011 was due to certain intangible assets becoming fully amortized during 2011. We expect amortization expense of acquired intangible assets to decrease over the next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Investment and other income, net for the three months ended June 30, 2012 was relatively consistent as compared to the three months ended June 30, 2011. We anticipate investment income to remain relatively consistent over the next twelve months, although there may be fluctuations on a quarterly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Interest expense for the three months ended June 30, 2012 was relatively consistent as compared to the three months ended June 30, 2011. We anticipate interest expense to decrease over the next twelve months as we make principal payments on our Term Loan.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compared with Six Months Ended June 30,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Increase/</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(Decrease)</w:t>
            </w: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76"/>
              </w:rPr>
              <w:t>$</w:t>
            </w: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9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4,443</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(225)</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21,881</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14,021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Royalty</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4,443</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(225)</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(383)</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31,218</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(26,776)</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(19,538)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7,238</w:t>
            </w:r>
          </w:p>
        </w:tc>
        <w:tc>
          <w:tcPr>
            <w:tcW w:w="3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4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(920)</w:t>
            </w:r>
          </w:p>
        </w:tc>
        <w:tc>
          <w:tcPr>
            <w:tcW w:w="2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(27,289</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$7.0 million increase in net loss for the six months ended June 30, 2012 compared to the six months ended June 30, 2011 was primarily the result of an increase in research and development expense, partially offset by a decrease in amortization expense on acquired intangible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$0.1 million increase in contract and grant revenue for the six months ended June 30, 2012 compared to the six months ended June 30, 2011 was due to an APC-based HIV vaccine being funded through a Small Business Innovation Research (SBIR) grant in collaboration with Rockefeller University. The $0.2 million decrease in product royalty revenue for the six months ended June 30, 2012 compared to the six months ended June 30, 2011 was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20" w:type="dxa"/>
            <w:vAlign w:val="bottom"/>
          </w:tcPr>
          <w:p>
            <w:pPr>
              <w:jc w:val="center"/>
              <w:ind w:right="728"/>
              <w:spacing w:after="0"/>
              <w:rPr>
                <w:sz w:val="20"/>
                <w:szCs w:val="20"/>
                <w:color w:val="auto"/>
              </w:rPr>
            </w:pPr>
            <w:r>
              <w:rPr>
                <w:rFonts w:ascii="Arial" w:cs="Arial" w:eastAsia="Arial" w:hAnsi="Arial"/>
                <w:sz w:val="14"/>
                <w:szCs w:val="14"/>
                <w:b w:val="1"/>
                <w:bCs w:val="1"/>
                <w:color w:val="auto"/>
                <w:w w:val="93"/>
              </w:rPr>
              <w:t>Six Months Ended</w:t>
            </w:r>
          </w:p>
        </w:tc>
        <w:tc>
          <w:tcPr>
            <w:tcW w:w="162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Increase/</w:t>
            </w:r>
          </w:p>
        </w:tc>
        <w:tc>
          <w:tcPr>
            <w:tcW w:w="126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8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center"/>
              <w:ind w:right="748"/>
              <w:spacing w:after="0"/>
              <w:rPr>
                <w:sz w:val="20"/>
                <w:szCs w:val="20"/>
                <w:color w:val="auto"/>
              </w:rPr>
            </w:pPr>
            <w:r>
              <w:rPr>
                <w:rFonts w:ascii="Arial" w:cs="Arial" w:eastAsia="Arial" w:hAnsi="Arial"/>
                <w:sz w:val="14"/>
                <w:szCs w:val="14"/>
                <w:b w:val="1"/>
                <w:bCs w:val="1"/>
                <w:color w:val="auto"/>
                <w:w w:val="92"/>
              </w:rPr>
              <w:t>June 30,</w:t>
            </w:r>
          </w:p>
        </w:tc>
        <w:tc>
          <w:tcPr>
            <w:tcW w:w="1620" w:type="dxa"/>
            <w:vAlign w:val="bottom"/>
          </w:tcPr>
          <w:p>
            <w:pPr>
              <w:jc w:val="center"/>
              <w:ind w:left="108"/>
              <w:spacing w:after="0"/>
              <w:rPr>
                <w:sz w:val="20"/>
                <w:szCs w:val="20"/>
                <w:color w:val="auto"/>
              </w:rPr>
            </w:pPr>
            <w:r>
              <w:rPr>
                <w:rFonts w:ascii="Arial" w:cs="Arial" w:eastAsia="Arial" w:hAnsi="Arial"/>
                <w:sz w:val="14"/>
                <w:szCs w:val="14"/>
                <w:b w:val="1"/>
                <w:bCs w:val="1"/>
                <w:color w:val="auto"/>
                <w:w w:val="89"/>
              </w:rPr>
              <w:t>(Decrease)</w:t>
            </w:r>
          </w:p>
        </w:tc>
        <w:tc>
          <w:tcPr>
            <w:tcW w:w="1260" w:type="dxa"/>
            <w:vAlign w:val="bottom"/>
          </w:tcPr>
          <w:p>
            <w:pPr>
              <w:jc w:val="center"/>
              <w:ind w:left="108"/>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20" w:type="dxa"/>
            <w:vAlign w:val="bottom"/>
            <w:tcBorders>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2011</w:t>
            </w:r>
          </w:p>
        </w:tc>
        <w:tc>
          <w:tcPr>
            <w:tcW w:w="1620" w:type="dxa"/>
            <w:vAlign w:val="bottom"/>
            <w:tcBorders>
              <w:bottom w:val="single" w:sz="8" w:color="auto"/>
            </w:tcBorders>
          </w:tcPr>
          <w:p>
            <w:pPr>
              <w:jc w:val="center"/>
              <w:ind w:left="108"/>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ind w:left="88"/>
              <w:spacing w:after="0" w:line="142" w:lineRule="exact"/>
              <w:rPr>
                <w:sz w:val="20"/>
                <w:szCs w:val="20"/>
                <w:color w:val="auto"/>
              </w:rPr>
            </w:pPr>
            <w:r>
              <w:rPr>
                <w:rFonts w:ascii="Arial" w:cs="Arial" w:eastAsia="Arial" w:hAnsi="Arial"/>
                <w:sz w:val="14"/>
                <w:szCs w:val="14"/>
                <w:b w:val="1"/>
                <w:bCs w:val="1"/>
                <w:color w:val="auto"/>
              </w:rPr>
              <w:t>%</w:t>
            </w:r>
          </w:p>
        </w:tc>
      </w:tr>
    </w:tbl>
    <w:p>
      <w:pPr>
        <w:sectPr>
          <w:pgSz w:w="11900" w:h="16838"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6,638</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6,381</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257</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Laboratory Supplies</w:t>
            </w:r>
          </w:p>
        </w:tc>
        <w:tc>
          <w:tcPr>
            <w:tcW w:w="19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62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1,120</w:t>
            </w:r>
          </w:p>
        </w:tc>
        <w:tc>
          <w:tcPr>
            <w:tcW w:w="6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(159)</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9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2,301</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2,371</w:t>
            </w:r>
          </w:p>
        </w:tc>
        <w:tc>
          <w:tcPr>
            <w:tcW w:w="6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Product Development</w:t>
            </w:r>
          </w:p>
        </w:tc>
        <w:tc>
          <w:tcPr>
            <w:tcW w:w="19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10,677</w:t>
            </w:r>
          </w:p>
        </w:tc>
        <w:tc>
          <w:tcPr>
            <w:tcW w:w="62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3,088</w:t>
            </w:r>
          </w:p>
        </w:tc>
        <w:tc>
          <w:tcPr>
            <w:tcW w:w="6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7,589</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246%</w:t>
            </w:r>
          </w:p>
        </w:tc>
      </w:tr>
    </w:tbl>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$0.3 million increase in personnel expenses for the six months ended June 30, 2012 compared to the six months ended June 30, 2011 was primarily due to higher headcount.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$0.2 million decrease in laboratory supply expense for the six months ended June 30, 2012 compared to the six months ended June 30, 2011 was primarily due to lower manufacturing supply purchases.</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$0.1 million decrease in facility expenses for the six months ended June 30, 2012 compared to the six months ended June 30, 2011 was primarily due to lower depreciation and amortization expenses.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$7.6 million increase in product development expenses for the six months ended June 30, 2012 compared to the six months ended June 30, 2011 was primarily due to an increase in clinical trial costs of $7.8 million primarily due to our ACT IV and ReACT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100" w:firstLine="648"/>
        <w:spacing w:after="0" w:line="292" w:lineRule="auto"/>
        <w:rPr>
          <w:sz w:val="20"/>
          <w:szCs w:val="20"/>
          <w:color w:val="auto"/>
        </w:rPr>
      </w:pPr>
      <w:r>
        <w:rPr>
          <w:rFonts w:ascii="Arial" w:cs="Arial" w:eastAsia="Arial" w:hAnsi="Arial"/>
          <w:sz w:val="18"/>
          <w:szCs w:val="18"/>
          <w:color w:val="auto"/>
        </w:rPr>
        <w:t>The $0.2 million decrease in royalty expenses for the six months ended June 30, 2012 compared to the six months ended June 30, 2011 was due to a decrease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related royalty fees.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 and administrative expenses for the six months ended June 30, 2012 was relatively consistent as compared to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$0.4 million decrease in amortization expenses for the six months ended June 30, 2012 compared to the six months ended June 30, 2011 was due to certain intangible assets becoming fully amortized during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$0.2 million increase in investment and other income, net for the six months ended June 30, 2012 was due to higher levels of cash, cash equivalents and marketable securities as compared to the six months ended June 30, 2011 and $0.1 million in other income related to the sale of New Jersey tax benefits recorded during the six months ended June 30,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$0.1 million decrease in interest expense for the six months ended June 30, 2012 compared to the six months ended June 30, 2011 was primarily due to a decrease in our Term Loan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At June 30, 2012, our principal sources of liquidity consisted of cash, cash equivalents and marketable securities of $78.7 million. Our working capital at June 30, 2012 was $67.8 million. At June 30, 2012, our Term Loan balance was $13.9 million. We incurred a loss of $27.3 million for the six months ended June 30, 2012. Net cash used in operations for the six months ended June 30, 2012 was $25.5 million. We believe that the cash, cash equivalents and marketable securities at June 30, 2012 are sufficient to meet estimated working capital requirements and fund planned operations for at least the next twelve months.</w:t>
      </w:r>
    </w:p>
    <w:p>
      <w:pPr>
        <w:spacing w:after="0" w:line="188"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Our cash equivalents are highly liquid investments with a maturity of three months or less at the date of purchase and consist primarily of investments in money market mutual funds with commercial banks and financial institutions. We maintain cash balances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raised net proceeds of $51.9 million during the six months ended June 30, 2012 from the sale of our common stock. During the next twelve months, we may take further steps to raise additional capital to meet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continue to seek capital through a</w:t>
      </w:r>
    </w:p>
    <w:p>
      <w:pPr>
        <w:sectPr>
          <w:pgSz w:w="11900" w:h="16838" w:orient="portrait"/>
          <w:cols w:equalWidth="0" w:num="1">
            <w:col w:w="11420"/>
          </w:cols>
          <w:pgMar w:left="240" w:top="118" w:right="239" w:bottom="0" w:gutter="0" w:footer="0" w:header="0"/>
        </w:sectPr>
      </w:pPr>
    </w:p>
    <w:bookmarkStart w:id="17" w:name="page18"/>
    <w:bookmarkEnd w:id="17"/>
    <w:p>
      <w:pPr>
        <w:spacing w:after="0" w:line="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Net cash used in operating activities was $25.5 million for the six months ended June 30, 2012 compared to $18.2 million for the six months ended June 30, 2011. The increase in net cash used in operating activities was primarily due to an increase in net loss of $7.0 million. We expect that cash used in operations will continue to increase in over the next twelve months primarily related to costs incurred on our rindopepimut program.</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Net cash used in investing activities was $18.4 million for the six months ended June 30, 2012 compared to $20.6 million for the six months ended June 30, 2011. The decrease in net cash used in investing activities was primarily due to net purchases of marketable securities for the six months ended June 30, 2012 of $18.5 million as compared to $20.3 million for the six months ended June 30, 2011.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Net cash provided by financing activities was $50.6 million for the six months ended June 30, 2012 compared to $28.3 million for the six months ended June 30, 2011. We raised net proceeds of $51.9 million during the six months ended June 30, 2012 from the sale of our common stock as compared to $35.9 million for the six months ended June 30, 2011. In February 2011, we paid $12.5 million to satisfy all outstanding principal related to the CuraGen Debt. We paid $1.3 million in principal payments on our Term Loan during the six months ended June 30, 2012.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April 2010, we filed a shelf registration statement with the Securities and Exchange Commission to register for sale any combination of the types of securities described in the filing up to a dollar amount of $150 million. The shelf registration went effective on April 22, 2010.</w:t>
      </w:r>
    </w:p>
    <w:p>
      <w:pPr>
        <w:spacing w:after="0" w:line="147"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6"/>
          <w:szCs w:val="16"/>
          <w:color w:val="auto"/>
        </w:rPr>
        <w:t>In January 2011, we entered into a controlled equity offering sales agreement (the “Cantor Agreement”) with Cantor Fitzgerald &amp; Co. (“Cantor”) pursuant to which we may issue and sell up to 5,000,000 shares of our common stock from time to time through Cantor, acting as agent. We agreed to pay Cantor a commission up to 5% of the gross proceeds from each sale and to reimburse Cantor for certain expenses incurred in connection with entering into the Cantor Agreement. The Cantor Agreement terminates upon the sale of all 5,000,000 shares or upon ten day notice by either Cantor or the Company.</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the year ended December 31, 2011, we sold 575,000 shares of common stock under the Cantor Agreement and raised $2.2 million in net proceeds, after deducting commission and offering expenses. In January 2012, we sold 2,450,000 shares of common stock under the Cantor Agreement and raised $8.5 million in net proceeds. As of June 30, 2012, we had 1,975,000 shares available to be sold under the Cantor Agreement of which the Company sold 538,500 shares of stock during July 2012 and raised $2.8 million in net proceeds.</w:t>
      </w:r>
    </w:p>
    <w:p>
      <w:pPr>
        <w:spacing w:after="0" w:line="1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February and March 2012, we issued 12,075,000 shares of our common stock in an underwritten public offering, including the underwriter’s exercise of their full over-allotment option to purchase an additional 1,575,000 shares of common stock. The net proceeds to us were $43.4 million, after deducting underwriting fees and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30, 2010, we entered the Loan Agreement with MidCap pursuant to which we borrowed $10 million from MidCap. In March 2011, we amended the Loan Agreement and borrowed an additional $5 million from GECC to increase the amount owed under the Term Loan to $15 million. No additional advances are available under the Loan Agreement. The Term Loan accrues interest at a fixed annual interest rate equal to the greater of (i) the sum of (A) the LIBOR Rate (as defined in the Loan Agreement) plus (B) 6.25%; or (ii) a minimum rate of 9.50%. In September 2011, we exercised an option to extend the interest-only period by 6 months from October 1, 2011 to April 1, 2012. In March 2012, we amended the Loan Agreement to extend the maturity date from December 2013 to December 2014 in return for an upfront fee of $25,000 and an additional fee of $37,500 due upon repayment of the Term Loan in full.</w:t>
      </w:r>
    </w:p>
    <w:p>
      <w:pPr>
        <w:spacing w:after="0" w:line="18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Interest on the Term Loan is payable monthly and principal is due, as amended, in 34 equal consecutive monthly installments commencing on April 1, 2012. All unpaid principal and accrued interest with respect to the Term Loan is due and payable on the earlier of (A) December 30, 2014 or (B) the date that the Term Loan otherwise becomes due and payable under the terms of the Loan Agreement. We may prepay all, but not less than all, of the Term Loan subject to a prepayment premium of 1% in year three and 2% in year two of the original principal amount of the Term Loan. There is no prepayment premium if the loan is paid off early in year four. We are also obligated to make a payment of $0.5 million (Payment Fee) upon the earlier of (A) December 30, 2013 or (B) upon repayment of the Term Loan in full prior to December 30, 2013.</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obligations under the Loan Agreement are secured by a first priority lien upon and security interest in substantially all of our existing and after-acquired assets, excluding our intellectual property assets. Under the Loan Agreement, we are subject to specified affirmative and negative covenants</w:t>
      </w:r>
    </w:p>
    <w:p>
      <w:pPr>
        <w:sectPr>
          <w:pgSz w:w="11900" w:h="16908" w:orient="portrait"/>
          <w:cols w:equalWidth="0" w:num="1">
            <w:col w:w="11340"/>
          </w:cols>
          <w:pgMar w:left="240" w:top="125" w:right="319" w:bottom="0" w:gutter="0" w:footer="0" w:header="0"/>
        </w:sectPr>
      </w:pPr>
    </w:p>
    <w:bookmarkStart w:id="18" w:name="page19"/>
    <w:bookmarkEnd w:id="18"/>
    <w:p>
      <w:pPr>
        <w:spacing w:after="0" w:line="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customary for financings of this type. The Loan Agreement provides that, upon the occurrence of certain specified events of default customary for financings of this type, our obligations under the Loan Agreement may be automatically accelerated, whereupon our obligations under the Loan Agreement shall be immediately due and payable. At June 30, 2012, we believe we are in compliance with the Loan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set forth below, the disclosures relating to our contractual obligations reported in our Annual Report on Form 10-K for the year ended December 31, 2011 which was filed with the SEC on March 8, 2012 have not materially changed since we filed that report.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June 2012, we notified the landlord of our Phillipsburg, New Jersey property that we were exercising our right within our lease agreement to terminate the lease early in November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June 30, 2012 due to the short-term maturities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100" w:firstLine="720"/>
        <w:spacing w:after="0" w:line="257" w:lineRule="auto"/>
        <w:rPr>
          <w:sz w:val="20"/>
          <w:szCs w:val="20"/>
          <w:color w:val="auto"/>
        </w:rPr>
      </w:pPr>
      <w:r>
        <w:rPr>
          <w:rFonts w:ascii="Arial" w:cs="Arial" w:eastAsia="Arial" w:hAnsi="Arial"/>
          <w:sz w:val="18"/>
          <w:szCs w:val="18"/>
          <w:color w:val="auto"/>
        </w:rPr>
        <w:t>All of our revenues and most of our expenses are denominated in U.S. dollars and as a result, we have not experienced significant foreign currency transaction gains and losses to date. We have conducted some transactions in foreign currencies during the six months ended June 30, 2012, primarily related to ex-U.S. clinical trial activities, and we expect to continue to do so. Our primary exposure is to fluctuations in the Euro, British Pound, Australian Dollar and Brazilian Real. We do not anticipate that foreign currency transaction gains or losses will be significant at our current level of operations. We have not engaged in foreign currency hedging to date.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2012,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19" w:name="page20"/>
    <w:bookmarkEnd w:id="19"/>
    <w:p>
      <w:pPr>
        <w:spacing w:after="0" w:line="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8, 2012.</w:t>
      </w:r>
    </w:p>
    <w:p>
      <w:pPr>
        <w:spacing w:after="0" w:line="166"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940" w:right="120" w:hanging="699"/>
        <w:spacing w:after="0" w:line="256" w:lineRule="auto"/>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ind w:left="940" w:right="180" w:hanging="699"/>
        <w:spacing w:after="0" w:line="250" w:lineRule="auto"/>
        <w:tabs>
          <w:tab w:leader="none" w:pos="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940" w:right="460" w:hanging="699"/>
        <w:spacing w:after="0" w:line="281" w:lineRule="auto"/>
        <w:tabs>
          <w:tab w:leader="none" w:pos="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940" w:right="20" w:hanging="699"/>
        <w:spacing w:after="0" w:line="281" w:lineRule="auto"/>
        <w:tabs>
          <w:tab w:leader="none" w:pos="9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940" w:right="160" w:hanging="699"/>
        <w:spacing w:after="0" w:line="250" w:lineRule="auto"/>
        <w:tabs>
          <w:tab w:leader="none" w:pos="9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940" w:right="80" w:hanging="699"/>
        <w:spacing w:after="0" w:line="265" w:lineRule="auto"/>
        <w:tabs>
          <w:tab w:leader="none" w:pos="9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940" w:right="200" w:hanging="699"/>
        <w:spacing w:after="0" w:line="265" w:lineRule="auto"/>
        <w:tabs>
          <w:tab w:leader="none" w:pos="9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940" w:right="180" w:hanging="699"/>
        <w:spacing w:after="0" w:line="265" w:lineRule="auto"/>
        <w:tabs>
          <w:tab w:leader="none" w:pos="9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jc w:val="both"/>
        <w:ind w:left="940" w:hanging="699"/>
        <w:spacing w:after="0" w:line="250" w:lineRule="auto"/>
        <w:tabs>
          <w:tab w:leader="none" w:pos="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940" w:right="400" w:hanging="744"/>
        <w:spacing w:after="0" w:line="250" w:lineRule="auto"/>
        <w:tabs>
          <w:tab w:leader="none" w:pos="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dated April 17, 2012 to the 2008 Stock Option and Incentive Plan, incorporated by reference to Exhibit 10.1 of the Company’s Current Report on Form 8-K, filed June 14, 2012 with the Securities and Exchange Commission.</w:t>
      </w:r>
    </w:p>
    <w:p>
      <w:pPr>
        <w:spacing w:after="0" w:line="1"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XBRL Instance Document.</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XBRL Taxonomy Extension Schema Document.</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XBRL Taxonomy Extension Calculation Linkbase Document.</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XBRL Taxonomy Extension Definition Linkbase Document.</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XBRL Taxonomy Extension Label Linkbase Document.</w:t>
      </w:r>
    </w:p>
    <w:p>
      <w:pPr>
        <w:spacing w:after="0" w:line="9"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80" w:hanging="38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780" w:right="60" w:hanging="383"/>
        <w:spacing w:after="0" w:line="261" w:lineRule="auto"/>
        <w:tabs>
          <w:tab w:leader="none" w:pos="7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 August 9, 2012</w:t>
      </w:r>
      <w:r>
        <w:rPr>
          <w:sz w:val="20"/>
          <w:szCs w:val="20"/>
          <w:color w:val="auto"/>
        </w:rPr>
        <w:tab/>
      </w:r>
      <w:r>
        <w:rPr>
          <w:rFonts w:ascii="Arial" w:cs="Arial" w:eastAsia="Arial" w:hAnsi="Arial"/>
          <w:sz w:val="17"/>
          <w:szCs w:val="17"/>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 August 9, 2012</w:t>
      </w:r>
      <w:r>
        <w:rPr>
          <w:sz w:val="20"/>
          <w:szCs w:val="20"/>
          <w:color w:val="auto"/>
        </w:rPr>
        <w:tab/>
      </w:r>
      <w:r>
        <w:rPr>
          <w:rFonts w:ascii="Arial" w:cs="Arial" w:eastAsia="Arial" w:hAnsi="Arial"/>
          <w:sz w:val="17"/>
          <w:szCs w:val="17"/>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ectPr>
          <w:pgSz w:w="11900" w:h="16860" w:orient="portrait"/>
          <w:cols w:equalWidth="0" w:num="1">
            <w:col w:w="11380"/>
          </w:cols>
          <w:pgMar w:left="240" w:top="341" w:right="279" w:bottom="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940" w:right="100" w:hanging="672"/>
        <w:spacing w:after="0" w:line="249" w:lineRule="auto"/>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dated as of May 28, 2009, by and among Celldex Therapeutics, Inc., CuraGen Corporation and Cottrell Merger Sub, Inc. incorporated by reference to Exhibit 2.1 of the Company’s Current Report on Form 8-K filed May 29, 2009 with the Securities and Exchange Commission.</w:t>
      </w:r>
    </w:p>
    <w:p>
      <w:pPr>
        <w:spacing w:after="0" w:line="3" w:lineRule="exact"/>
        <w:rPr>
          <w:sz w:val="20"/>
          <w:szCs w:val="20"/>
          <w:color w:val="auto"/>
        </w:rPr>
      </w:pPr>
    </w:p>
    <w:p>
      <w:pPr>
        <w:ind w:left="940" w:right="160" w:hanging="672"/>
        <w:spacing w:after="0" w:line="250" w:lineRule="auto"/>
        <w:tabs>
          <w:tab w:leader="none" w:pos="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ind w:left="940" w:right="440" w:hanging="672"/>
        <w:spacing w:after="0" w:line="281" w:lineRule="auto"/>
        <w:tabs>
          <w:tab w:leader="none" w:pos="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Certificate of Amendment of Third Restated Certificate of Incorporation of the Company, incorporated by reference to Exhibit 3.1 of the Company’s Registration Statement on Form S-4 (Reg. No. 333-59215), filed July 16, 1998 with the Securities and Exchange Commission.</w:t>
      </w:r>
    </w:p>
    <w:p>
      <w:pPr>
        <w:spacing w:after="0" w:line="1" w:lineRule="exact"/>
        <w:rPr>
          <w:sz w:val="20"/>
          <w:szCs w:val="20"/>
          <w:color w:val="auto"/>
        </w:rPr>
      </w:pPr>
    </w:p>
    <w:p>
      <w:pPr>
        <w:jc w:val="both"/>
        <w:ind w:left="940" w:hanging="672"/>
        <w:spacing w:after="0" w:line="281" w:lineRule="auto"/>
        <w:tabs>
          <w:tab w:leader="none" w:pos="9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Second Certificate of Amendment of Third Restated Certificate of Incorporation of the Company, incorporated by reference to Exhibit 3.2 of the Company’s Registration Statement on Form S-4 (Reg. No. 333-59215), filed July 16, 1998 with the Securities and Exchange Commission.</w:t>
      </w:r>
    </w:p>
    <w:p>
      <w:pPr>
        <w:spacing w:after="0" w:line="1" w:lineRule="exact"/>
        <w:rPr>
          <w:sz w:val="20"/>
          <w:szCs w:val="20"/>
          <w:color w:val="auto"/>
        </w:rPr>
      </w:pPr>
    </w:p>
    <w:p>
      <w:pPr>
        <w:ind w:left="940" w:right="140" w:hanging="672"/>
        <w:spacing w:after="0" w:line="250" w:lineRule="auto"/>
        <w:tabs>
          <w:tab w:leader="none" w:pos="9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Third Certificate of Amendment of Third Restated Certificate of Incorporation of the Company, incorporated by reference to Exhibit 3.1 of the Company’s Quarterly Report on Form 10-Q, filed May 10, 2002 with the Securities and Exchange Commission.</w:t>
      </w:r>
    </w:p>
    <w:p>
      <w:pPr>
        <w:spacing w:after="0" w:line="1" w:lineRule="exact"/>
        <w:rPr>
          <w:sz w:val="20"/>
          <w:szCs w:val="20"/>
          <w:color w:val="auto"/>
        </w:rPr>
      </w:pPr>
    </w:p>
    <w:p>
      <w:pPr>
        <w:ind w:left="940" w:right="60" w:hanging="672"/>
        <w:spacing w:after="0" w:line="265" w:lineRule="auto"/>
        <w:tabs>
          <w:tab w:leader="none" w:pos="9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Fourth Certificate of Amendment of Third Restated Certificate of Incorporation of the Company, incorporated by reference to Exhibit 3.1 of the Company’s Current Report on Form 8-K, filed on March 11, 2008 with the Securities and Exchange Commission.</w:t>
      </w:r>
    </w:p>
    <w:p>
      <w:pPr>
        <w:ind w:left="940" w:right="180" w:hanging="672"/>
        <w:spacing w:after="0" w:line="265" w:lineRule="auto"/>
        <w:tabs>
          <w:tab w:leader="none" w:pos="9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Fifth Certificate of Amendment of Third Restated Certificate of Incorporation of the Company, incorporated by reference to Exhibit 3.2 of the Company’s Current Report on Form 8-K, filed on March 11, 2008 with the Securities and Exchange Commission.</w:t>
      </w:r>
    </w:p>
    <w:p>
      <w:pPr>
        <w:ind w:left="940" w:right="160" w:hanging="672"/>
        <w:spacing w:after="0" w:line="265" w:lineRule="auto"/>
        <w:tabs>
          <w:tab w:leader="none" w:pos="9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Sixth Certificate of Amendment of Third Restated Certificate of Incorporation of the Company, incorporated by reference to Exhibit 3.7 of the Company’s Quarterly Report on Form 10-Q, filed November 10, 2008 with the Securities and Exchange Commission.</w:t>
      </w:r>
    </w:p>
    <w:p>
      <w:pPr>
        <w:jc w:val="both"/>
        <w:ind w:left="940" w:right="20" w:hanging="672"/>
        <w:spacing w:after="0" w:line="250" w:lineRule="auto"/>
        <w:tabs>
          <w:tab w:leader="none" w:pos="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Amendment No. 2 to Shareholder Rights Agreement dated November 5, 2004, between the Company and Computershare Trust Company, N.A. (formerly EquiServe Trust Company, N.A.) as Rights Agent, incorporated by reference to Exhibit 10.1 of the Company’s Registration Statement on Form 8-A1G/A, filed on March 7, 2008 with the Securities and Exchange Commission.</w:t>
      </w:r>
    </w:p>
    <w:p>
      <w:pPr>
        <w:spacing w:after="0" w:line="1" w:lineRule="exact"/>
        <w:rPr>
          <w:sz w:val="20"/>
          <w:szCs w:val="20"/>
          <w:color w:val="auto"/>
        </w:rPr>
      </w:pPr>
    </w:p>
    <w:p>
      <w:pPr>
        <w:ind w:left="940" w:right="380" w:hanging="717"/>
        <w:spacing w:after="0" w:line="250" w:lineRule="auto"/>
        <w:tabs>
          <w:tab w:leader="none" w:pos="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dated April 17, 2012 to the 2008 Stock Option and Incentive Plan, incorporated by reference to Exhibit 10.1 of the Company’s Current Report on Form 8-K, filed June 14, 2012 with the Securities and Exchange Commission.</w:t>
      </w:r>
    </w:p>
    <w:p>
      <w:pPr>
        <w:spacing w:after="0" w:line="1"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w:t>
      </w:r>
    </w:p>
    <w:p>
      <w:pPr>
        <w:spacing w:after="0" w:line="9" w:lineRule="exact"/>
        <w:rPr>
          <w:sz w:val="20"/>
          <w:szCs w:val="20"/>
          <w:color w:val="auto"/>
        </w:rPr>
      </w:pPr>
    </w:p>
    <w:p>
      <w:pPr>
        <w:ind w:left="180"/>
        <w:spacing w:after="0"/>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Senior Vice President and Chief Financial Officer</w:t>
      </w:r>
    </w:p>
    <w:p>
      <w:pPr>
        <w:spacing w:after="0" w:line="9" w:lineRule="exact"/>
        <w:rPr>
          <w:sz w:val="20"/>
          <w:szCs w:val="20"/>
          <w:color w:val="auto"/>
        </w:rPr>
      </w:pPr>
    </w:p>
    <w:p>
      <w:pPr>
        <w:ind w:left="140"/>
        <w:spacing w:after="0"/>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Section 1350 Certifications</w:t>
      </w:r>
    </w:p>
    <w:p>
      <w:pPr>
        <w:spacing w:after="0" w:line="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XBRL Instance Document.</w:t>
      </w:r>
    </w:p>
    <w:p>
      <w:pPr>
        <w:spacing w:after="0" w:line="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XBRL Taxonomy Extension Schema Document.</w:t>
      </w:r>
    </w:p>
    <w:p>
      <w:pPr>
        <w:spacing w:after="0" w:line="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XBRL Taxonomy Extension Calculation Linkbase Document.</w:t>
      </w:r>
    </w:p>
    <w:p>
      <w:pPr>
        <w:spacing w:after="0" w:line="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XBRL Taxonomy Extension Definition Linkbase Document.</w:t>
      </w:r>
    </w:p>
    <w:p>
      <w:pPr>
        <w:spacing w:after="0" w:line="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XBRL Taxonomy Extension Label Linkbase Document.</w:t>
      </w:r>
    </w:p>
    <w:p>
      <w:pPr>
        <w:spacing w:after="0" w:line="9"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80" w:hanging="38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780" w:hanging="383"/>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780" w:right="40" w:hanging="383"/>
        <w:spacing w:after="0" w:line="261" w:lineRule="auto"/>
        <w:tabs>
          <w:tab w:leader="none" w:pos="7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520" w:hanging="330"/>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520" w:right="460" w:hanging="330"/>
        <w:spacing w:after="0" w:line="264" w:lineRule="auto"/>
        <w:tabs>
          <w:tab w:leader="none" w:pos="5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330"/>
        <w:spacing w:after="0" w:line="308" w:lineRule="auto"/>
        <w:tabs>
          <w:tab w:leader="none" w:pos="533"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0" w:hanging="330"/>
        <w:spacing w:after="0" w:line="264" w:lineRule="auto"/>
        <w:tabs>
          <w:tab w:leader="none" w:pos="5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80" w:hanging="646"/>
        <w:spacing w:after="0" w:line="264" w:lineRule="auto"/>
        <w:tabs>
          <w:tab w:leader="none" w:pos="11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400" w:hanging="646"/>
        <w:spacing w:after="0" w:line="264" w:lineRule="auto"/>
        <w:tabs>
          <w:tab w:leader="none" w:pos="11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60" w:hanging="646"/>
        <w:spacing w:after="0" w:line="342"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80" w:hanging="646"/>
        <w:spacing w:after="0" w:line="264" w:lineRule="auto"/>
        <w:tabs>
          <w:tab w:leader="none" w:pos="11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330"/>
        <w:spacing w:after="0" w:line="308" w:lineRule="auto"/>
        <w:tabs>
          <w:tab w:leader="none" w:pos="53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800" w:hanging="646"/>
        <w:spacing w:after="0" w:line="342"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500" w:hanging="646"/>
        <w:spacing w:after="0" w:line="277" w:lineRule="auto"/>
        <w:tabs>
          <w:tab w:leader="none" w:pos="11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9, 2012</w:t>
            </w:r>
          </w:p>
        </w:tc>
        <w:tc>
          <w:tcPr>
            <w:tcW w:w="2940" w:type="dxa"/>
            <w:vAlign w:val="bottom"/>
          </w:tcPr>
          <w:p>
            <w:pPr>
              <w:ind w:left="21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94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940" w:type="dxa"/>
            <w:vAlign w:val="bottom"/>
          </w:tcPr>
          <w:p>
            <w:pPr>
              <w:ind w:left="212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010101"/>
            </w:tcBorders>
          </w:tcPr>
          <w:p>
            <w:pPr>
              <w:spacing w:after="0"/>
              <w:rPr>
                <w:sz w:val="24"/>
                <w:szCs w:val="24"/>
                <w:color w:val="auto"/>
              </w:rPr>
            </w:pPr>
          </w:p>
        </w:tc>
        <w:tc>
          <w:tcPr>
            <w:tcW w:w="294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520" w:hanging="330"/>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500" w:right="460" w:hanging="310"/>
        <w:spacing w:after="0" w:line="264" w:lineRule="auto"/>
        <w:tabs>
          <w:tab w:leader="none" w:pos="5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310"/>
        <w:spacing w:after="0" w:line="308" w:lineRule="auto"/>
        <w:tabs>
          <w:tab w:leader="none" w:pos="526"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60" w:hanging="310"/>
        <w:spacing w:after="0" w:line="264" w:lineRule="auto"/>
        <w:tabs>
          <w:tab w:leader="none" w:pos="5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80" w:hanging="646"/>
        <w:spacing w:after="0" w:line="264" w:lineRule="auto"/>
        <w:tabs>
          <w:tab w:leader="none" w:pos="11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400" w:hanging="646"/>
        <w:spacing w:after="0" w:line="264" w:lineRule="auto"/>
        <w:tabs>
          <w:tab w:leader="none" w:pos="11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60" w:hanging="646"/>
        <w:spacing w:after="0" w:line="342" w:lineRule="auto"/>
        <w:tabs>
          <w:tab w:leader="none" w:pos="117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80" w:hanging="646"/>
        <w:spacing w:after="0" w:line="264" w:lineRule="auto"/>
        <w:tabs>
          <w:tab w:leader="none" w:pos="11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00" w:right="340" w:hanging="310"/>
        <w:spacing w:after="0" w:line="308" w:lineRule="auto"/>
        <w:tabs>
          <w:tab w:leader="none" w:pos="52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800" w:hanging="646"/>
        <w:spacing w:after="0" w:line="342" w:lineRule="auto"/>
        <w:tabs>
          <w:tab w:leader="none" w:pos="117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500" w:hanging="646"/>
        <w:spacing w:after="0" w:line="277" w:lineRule="auto"/>
        <w:tabs>
          <w:tab w:leader="none" w:pos="11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9, 2012</w:t>
            </w: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282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9, 2012</w:t>
            </w:r>
          </w:p>
        </w:tc>
        <w:tc>
          <w:tcPr>
            <w:tcW w:w="2920" w:type="dxa"/>
            <w:vAlign w:val="bottom"/>
          </w:tcPr>
          <w:p>
            <w:pPr>
              <w:ind w:left="21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80" w:type="dxa"/>
            <w:vAlign w:val="bottom"/>
          </w:tcPr>
          <w:p>
            <w:pPr>
              <w:spacing w:after="0"/>
              <w:rPr>
                <w:sz w:val="16"/>
                <w:szCs w:val="16"/>
                <w:color w:val="auto"/>
              </w:rPr>
            </w:pPr>
          </w:p>
        </w:tc>
        <w:tc>
          <w:tcPr>
            <w:tcW w:w="292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80" w:type="dxa"/>
            <w:vAlign w:val="bottom"/>
          </w:tcPr>
          <w:p>
            <w:pPr>
              <w:spacing w:after="0"/>
              <w:rPr>
                <w:sz w:val="20"/>
                <w:szCs w:val="20"/>
                <w:color w:val="auto"/>
              </w:rPr>
            </w:pPr>
          </w:p>
        </w:tc>
        <w:tc>
          <w:tcPr>
            <w:tcW w:w="2920" w:type="dxa"/>
            <w:vAlign w:val="bottom"/>
          </w:tcPr>
          <w:p>
            <w:pPr>
              <w:ind w:left="212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August 9, 2012</w:t>
            </w:r>
          </w:p>
        </w:tc>
        <w:tc>
          <w:tcPr>
            <w:tcW w:w="2920" w:type="dxa"/>
            <w:vAlign w:val="bottom"/>
          </w:tcPr>
          <w:p>
            <w:pPr>
              <w:ind w:left="21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80" w:type="dxa"/>
            <w:vAlign w:val="bottom"/>
          </w:tcPr>
          <w:p>
            <w:pPr>
              <w:spacing w:after="0"/>
              <w:rPr>
                <w:sz w:val="16"/>
                <w:szCs w:val="16"/>
                <w:color w:val="auto"/>
              </w:rPr>
            </w:pPr>
          </w:p>
        </w:tc>
        <w:tc>
          <w:tcPr>
            <w:tcW w:w="292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30"/>
        </w:trPr>
        <w:tc>
          <w:tcPr>
            <w:tcW w:w="3680" w:type="dxa"/>
            <w:vAlign w:val="bottom"/>
          </w:tcPr>
          <w:p>
            <w:pPr>
              <w:spacing w:after="0"/>
              <w:rPr>
                <w:sz w:val="20"/>
                <w:szCs w:val="20"/>
                <w:color w:val="auto"/>
              </w:rPr>
            </w:pPr>
          </w:p>
        </w:tc>
        <w:tc>
          <w:tcPr>
            <w:tcW w:w="2920" w:type="dxa"/>
            <w:vAlign w:val="bottom"/>
          </w:tcPr>
          <w:p>
            <w:pPr>
              <w:ind w:left="212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upperLetter"/>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2019-12-09T08:44:11Z</dcterms:created>
  <dcterms:modified xsi:type="dcterms:W3CDTF">2019-12-09T08:44:11Z</dcterms:modified>
</cp:coreProperties>
</file>