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50630x10q.htm"/>
        <w:bookmarkStart w:id="1" w:name="kscldx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left"/>
        <w:rPr/>
      </w:pPr>
      <w:r>
        <w:rPr/>
        <w:t>​</w:t>
      </w:r>
    </w:p>
    <w:p>
      <w:pPr>
        <w:pStyle w:val="TextBody"/>
        <w:pBdr>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18e63190_5a1d_4964_af08_2f67ff08e04e"/>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June 30, 2025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v5aAy1rqmUmE5jX27lsSdQ_1_2"/>
      <w:bookmarkStart w:id="4" w:name="Tc_zu2XBKYJHEWkIWVy19ui_w_1_0"/>
      <w:bookmarkStart w:id="5" w:name="Tc_N9v1tbWopkqjsllVqjhGdA_0_2"/>
      <w:bookmarkStart w:id="6" w:name="_d0dca1c5_cfbd_41ee_8326_31c42ddd1388"/>
      <w:bookmarkStart w:id="7" w:name="Tc_v5aAy1rqmUmE5jX27lsSdQ_1_2"/>
      <w:bookmarkStart w:id="8" w:name="Tc_zu2XBKYJHEWkIWVy19ui_w_1_0"/>
      <w:bookmarkStart w:id="9" w:name="Tc_N9v1tbWopkqjsllVqjhGdA_0_2"/>
      <w:bookmarkStart w:id="10" w:name="_d0dca1c5_cfbd_41ee_8326_31c42ddd1388"/>
      <w:bookmarkEnd w:id="7"/>
      <w:bookmarkEnd w:id="8"/>
      <w:bookmarkEnd w:id="9"/>
      <w:bookmarkEnd w:id="10"/>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 w:name="Tc_SahhPG4fXkudXdrHmv_mUQ_1_4"/>
      <w:bookmarkStart w:id="12" w:name="Tc_d0uYURD0ckmJSkMcuhNVKg_0_4"/>
      <w:bookmarkStart w:id="13" w:name="Tc_A7U_j_cms0KBQv0-DRuvRA_0_2"/>
      <w:bookmarkStart w:id="14" w:name="Tc_v62aSJIDTkOf2LGVYAEo2Q_0_0"/>
      <w:bookmarkStart w:id="15" w:name="_82a80587_f51d_4628_93ff_43a2d7fa089f"/>
      <w:bookmarkStart w:id="16" w:name="Tc_SahhPG4fXkudXdrHmv_mUQ_1_4"/>
      <w:bookmarkStart w:id="17" w:name="Tc_d0uYURD0ckmJSkMcuhNVKg_0_4"/>
      <w:bookmarkStart w:id="18" w:name="Tc_A7U_j_cms0KBQv0-DRuvRA_0_2"/>
      <w:bookmarkStart w:id="19" w:name="Tc_v62aSJIDTkOf2LGVYAEo2Q_0_0"/>
      <w:bookmarkStart w:id="20" w:name="_82a80587_f51d_4628_93ff_43a2d7fa089f"/>
      <w:bookmarkEnd w:id="16"/>
      <w:bookmarkEnd w:id="17"/>
      <w:bookmarkEnd w:id="18"/>
      <w:bookmarkEnd w:id="19"/>
      <w:bookmarkEnd w:id="20"/>
    </w:p>
    <w:tbl>
      <w:tblPr>
        <w:tblW w:w="8425" w:type="dxa"/>
        <w:jc w:val="left"/>
        <w:tblInd w:w="0" w:type="dxa"/>
        <w:tblLayout w:type="fixed"/>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Nasdaq</w:t>
            </w:r>
            <w:r>
              <w:rPr>
                <w:rFonts w:ascii="Helvetica;sans-serif" w:hAns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53" w:type="dxa"/>
        <w:jc w:val="left"/>
        <w:tblInd w:w="0" w:type="dxa"/>
        <w:tblLayout w:type="fixed"/>
        <w:tblCellMar>
          <w:top w:w="0" w:type="dxa"/>
          <w:left w:w="0" w:type="dxa"/>
          <w:bottom w:w="0" w:type="dxa"/>
          <w:right w:w="0" w:type="dxa"/>
        </w:tblCellMar>
      </w:tblPr>
      <w:tblGrid>
        <w:gridCol w:w="2146"/>
        <w:gridCol w:w="32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July 28, 2025, 66,406,544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44120051_22d9_4842_94d6_2701cf7cdab5"/>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June 30, 2025 and December 31, 2024</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2025 and 2024</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6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6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68" w:type="dxa"/>
            <w:tcBorders/>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shd w:fill="CCEEFF" w:val="clear"/>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pBdr/>
              <w:bidi w:val="0"/>
              <w:spacing w:before="0" w:after="0"/>
              <w:ind w:left="0" w:right="0" w:hanging="144"/>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cae37358_da04_4821_8c66_f2b6ea79b25e"/>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Oqzcq01O1kO8vwvnpzHX1Q_33_5"/>
      <w:bookmarkStart w:id="28" w:name="Tc_Tk5-BTXaP0WnJUjhEmQfHA_33_2"/>
      <w:bookmarkStart w:id="29" w:name="Tc_xzmrV2zuREqEqw3uNxKvow_33_0"/>
      <w:bookmarkStart w:id="30" w:name="Tc_iY2BVO0C-kuQJDSzOKrRUQ_32_0"/>
      <w:bookmarkStart w:id="31" w:name="Tc_xQ1rleR6qEys8S21nrgy7Q_31_0"/>
      <w:bookmarkStart w:id="32" w:name="Tc_27xmHIkvWkyCESXrmf9_XQ_30_0"/>
      <w:bookmarkStart w:id="33" w:name="Tc_v7Yk9MQ_RUmH3RmaDTIUqA_29_0"/>
      <w:bookmarkStart w:id="34" w:name="Tc_QPpUN1Km5kSguGjsedc36g_28_0"/>
      <w:bookmarkStart w:id="35" w:name="Tc_4KTv_aETiE66FzKxJWjScg_27_0"/>
      <w:bookmarkStart w:id="36" w:name="Tc_i6XDPBM8vUGi4wKO7FSvXw_26_0"/>
      <w:bookmarkStart w:id="37" w:name="Tc_ZlOkSzxH5U2L1O2obByPHA_25_0"/>
      <w:bookmarkStart w:id="38" w:name="Tc_dvXpwmQWWEeWxHVtt-J7ew_24_0"/>
      <w:bookmarkStart w:id="39" w:name="Tc_KWyA2U5lf0-Qju7sqH7g_g_23_0"/>
      <w:bookmarkStart w:id="40" w:name="Tc_eVQXP5IvnUKhTVqH1uyyAw_22_0"/>
      <w:bookmarkStart w:id="41" w:name="Tc_OFZ_K1YsKU6lpKU7Cs2Msw_21_0"/>
      <w:bookmarkStart w:id="42" w:name="Tc_p_cR_J100EeDkVsIR0abuw_20_0"/>
      <w:bookmarkStart w:id="43" w:name="Tc_d2k-D6b7-0q1w1IHI8WaSw_19_0"/>
      <w:bookmarkStart w:id="44" w:name="Tc_cQSo0vbKG06oKELrwWWMTg_18_0"/>
      <w:bookmarkStart w:id="45" w:name="Tc_dRUHabzCHEWGlsFoJmBNlQ_17_5"/>
      <w:bookmarkStart w:id="46" w:name="Tc_hPZboF5s6Uqn0NQCiH9Few_17_2"/>
      <w:bookmarkStart w:id="47" w:name="Tc_5BTJhI5aWkyi0UY_y9T_jg_17_0"/>
      <w:bookmarkStart w:id="48" w:name="Tc_z2cQQimqVEasPvv-e1wirQ_16_0"/>
      <w:bookmarkStart w:id="49" w:name="Tc_9sNVnoYneUOIc1PB3j6ZgA_15_0"/>
      <w:bookmarkStart w:id="50" w:name="Tc_ujicJdK0zk2GIOhFxYZRiQ_14_5"/>
      <w:bookmarkStart w:id="51" w:name="Tc_CvI9bDF3EEyaKd9TGge3bQ_14_2"/>
      <w:bookmarkStart w:id="52" w:name="Tc_uFf7Ec8sf0CLh8d5xIyxSQ_14_0"/>
      <w:bookmarkStart w:id="53" w:name="Tc_vJtDDb4-aEC_KIxZd3wU5A_13_0"/>
      <w:bookmarkStart w:id="54" w:name="Tc_0EPwSFHi5E29--Wmx2FPXw_12_0"/>
      <w:bookmarkStart w:id="55" w:name="Tc_VboNZwJN2EuCi1qLNsqyFw_11_0"/>
      <w:bookmarkStart w:id="56" w:name="Tc_dVJD30qiBUyYT6xYw_Vr9Q_10_0"/>
      <w:bookmarkStart w:id="57" w:name="Tc_t6o5NYftIkudFnY6GLH9Ow_9_0"/>
      <w:bookmarkStart w:id="58" w:name="Tc_r8z9iSj5x06TMEhn6p99tg_8_0"/>
      <w:bookmarkStart w:id="59" w:name="Tc_3s4nhe-Xmku4qRU7UBqIXA_7_0"/>
      <w:bookmarkStart w:id="60" w:name="Tc_PwjS7DVDUk6YnvUQJ9yduA_6_0"/>
      <w:bookmarkStart w:id="61" w:name="Tc_0LFgtakR2U2GZBhiQseGMg_5_5"/>
      <w:bookmarkStart w:id="62" w:name="Tc_EKd62SRtokKjI8D4LQmQXA_5_2"/>
      <w:bookmarkStart w:id="63" w:name="Tc_O-hYO07qNEiLgy2W-Fg6hg_5_0"/>
      <w:bookmarkStart w:id="64" w:name="Tc_4hm-l2mGl0KC2HqHnkuh0A_4_0"/>
      <w:bookmarkStart w:id="65" w:name="Tc_SwMgOa3dXU2qIXbHrwg9wg_3_0"/>
      <w:bookmarkStart w:id="66" w:name="Tc_4ORLymqr6UW8PL9Y3WGdrw_2_5"/>
      <w:bookmarkStart w:id="67" w:name="Tc_jeAGQPqvuUydEqg5uBYM2w_2_2"/>
      <w:bookmarkStart w:id="68" w:name="Tc_esjNIBE6u0GIkv2LARwqoQ_1_5"/>
      <w:bookmarkStart w:id="69" w:name="Tc_V-xNpWuljk6ukJ479FkWhQ_1_2"/>
      <w:bookmarkStart w:id="70" w:name="_1a341834_fd8a_4ea7_8c9b_3c4775173112"/>
      <w:bookmarkStart w:id="71" w:name="Tc_Oqzcq01O1kO8vwvnpzHX1Q_33_5"/>
      <w:bookmarkStart w:id="72" w:name="Tc_Tk5-BTXaP0WnJUjhEmQfHA_33_2"/>
      <w:bookmarkStart w:id="73" w:name="Tc_xzmrV2zuREqEqw3uNxKvow_33_0"/>
      <w:bookmarkStart w:id="74" w:name="Tc_iY2BVO0C-kuQJDSzOKrRUQ_32_0"/>
      <w:bookmarkStart w:id="75" w:name="Tc_xQ1rleR6qEys8S21nrgy7Q_31_0"/>
      <w:bookmarkStart w:id="76" w:name="Tc_27xmHIkvWkyCESXrmf9_XQ_30_0"/>
      <w:bookmarkStart w:id="77" w:name="Tc_v7Yk9MQ_RUmH3RmaDTIUqA_29_0"/>
      <w:bookmarkStart w:id="78" w:name="Tc_QPpUN1Km5kSguGjsedc36g_28_0"/>
      <w:bookmarkStart w:id="79" w:name="Tc_4KTv_aETiE66FzKxJWjScg_27_0"/>
      <w:bookmarkStart w:id="80" w:name="Tc_i6XDPBM8vUGi4wKO7FSvXw_26_0"/>
      <w:bookmarkStart w:id="81" w:name="Tc_ZlOkSzxH5U2L1O2obByPHA_25_0"/>
      <w:bookmarkStart w:id="82" w:name="Tc_dvXpwmQWWEeWxHVtt-J7ew_24_0"/>
      <w:bookmarkStart w:id="83" w:name="Tc_KWyA2U5lf0-Qju7sqH7g_g_23_0"/>
      <w:bookmarkStart w:id="84" w:name="Tc_eVQXP5IvnUKhTVqH1uyyAw_22_0"/>
      <w:bookmarkStart w:id="85" w:name="Tc_OFZ_K1YsKU6lpKU7Cs2Msw_21_0"/>
      <w:bookmarkStart w:id="86" w:name="Tc_p_cR_J100EeDkVsIR0abuw_20_0"/>
      <w:bookmarkStart w:id="87" w:name="Tc_d2k-D6b7-0q1w1IHI8WaSw_19_0"/>
      <w:bookmarkStart w:id="88" w:name="Tc_cQSo0vbKG06oKELrwWWMTg_18_0"/>
      <w:bookmarkStart w:id="89" w:name="Tc_dRUHabzCHEWGlsFoJmBNlQ_17_5"/>
      <w:bookmarkStart w:id="90" w:name="Tc_hPZboF5s6Uqn0NQCiH9Few_17_2"/>
      <w:bookmarkStart w:id="91" w:name="Tc_5BTJhI5aWkyi0UY_y9T_jg_17_0"/>
      <w:bookmarkStart w:id="92" w:name="Tc_z2cQQimqVEasPvv-e1wirQ_16_0"/>
      <w:bookmarkStart w:id="93" w:name="Tc_9sNVnoYneUOIc1PB3j6ZgA_15_0"/>
      <w:bookmarkStart w:id="94" w:name="Tc_ujicJdK0zk2GIOhFxYZRiQ_14_5"/>
      <w:bookmarkStart w:id="95" w:name="Tc_CvI9bDF3EEyaKd9TGge3bQ_14_2"/>
      <w:bookmarkStart w:id="96" w:name="Tc_uFf7Ec8sf0CLh8d5xIyxSQ_14_0"/>
      <w:bookmarkStart w:id="97" w:name="Tc_vJtDDb4-aEC_KIxZd3wU5A_13_0"/>
      <w:bookmarkStart w:id="98" w:name="Tc_0EPwSFHi5E29--Wmx2FPXw_12_0"/>
      <w:bookmarkStart w:id="99" w:name="Tc_VboNZwJN2EuCi1qLNsqyFw_11_0"/>
      <w:bookmarkStart w:id="100" w:name="Tc_dVJD30qiBUyYT6xYw_Vr9Q_10_0"/>
      <w:bookmarkStart w:id="101" w:name="Tc_t6o5NYftIkudFnY6GLH9Ow_9_0"/>
      <w:bookmarkStart w:id="102" w:name="Tc_r8z9iSj5x06TMEhn6p99tg_8_0"/>
      <w:bookmarkStart w:id="103" w:name="Tc_3s4nhe-Xmku4qRU7UBqIXA_7_0"/>
      <w:bookmarkStart w:id="104" w:name="Tc_PwjS7DVDUk6YnvUQJ9yduA_6_0"/>
      <w:bookmarkStart w:id="105" w:name="Tc_0LFgtakR2U2GZBhiQseGMg_5_5"/>
      <w:bookmarkStart w:id="106" w:name="Tc_EKd62SRtokKjI8D4LQmQXA_5_2"/>
      <w:bookmarkStart w:id="107" w:name="Tc_O-hYO07qNEiLgy2W-Fg6hg_5_0"/>
      <w:bookmarkStart w:id="108" w:name="Tc_4hm-l2mGl0KC2HqHnkuh0A_4_0"/>
      <w:bookmarkStart w:id="109" w:name="Tc_SwMgOa3dXU2qIXbHrwg9wg_3_0"/>
      <w:bookmarkStart w:id="110" w:name="Tc_4ORLymqr6UW8PL9Y3WGdrw_2_5"/>
      <w:bookmarkStart w:id="111" w:name="Tc_jeAGQPqvuUydEqg5uBYM2w_2_2"/>
      <w:bookmarkStart w:id="112" w:name="Tc_esjNIBE6u0GIkv2LARwqoQ_1_5"/>
      <w:bookmarkStart w:id="113" w:name="Tc_V-xNpWuljk6ukJ479FkWhQ_1_2"/>
      <w:bookmarkStart w:id="114" w:name="_1a341834_fd8a_4ea7_8c9b_3c477517311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W w:w="10205" w:type="dxa"/>
        <w:jc w:val="left"/>
        <w:tblInd w:w="0" w:type="dxa"/>
        <w:tblLayout w:type="fixed"/>
        <w:tblCellMar>
          <w:top w:w="0" w:type="dxa"/>
          <w:left w:w="0" w:type="dxa"/>
          <w:bottom w:w="0" w:type="dxa"/>
          <w:right w:w="0" w:type="dxa"/>
        </w:tblCellMar>
      </w:tblPr>
      <w:tblGrid>
        <w:gridCol w:w="7052"/>
        <w:gridCol w:w="326"/>
        <w:gridCol w:w="211"/>
        <w:gridCol w:w="1016"/>
        <w:gridCol w:w="326"/>
        <w:gridCol w:w="211"/>
        <w:gridCol w:w="1063"/>
      </w:tblGrid>
      <w:tr>
        <w:trPr/>
        <w:tc>
          <w:tcPr>
            <w:tcW w:w="7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020" cy="175260"/>
                      <wp:effectExtent l="0" t="0" r="0" b="0"/>
                      <wp:wrapNone/>
                      <wp:docPr id="1" name="Frame1"/>
                      <a:graphic xmlns:a="http://schemas.openxmlformats.org/drawingml/2006/main">
                        <a:graphicData uri="http://schemas.microsoft.com/office/word/2010/wordprocessingShape">
                          <wps:wsp>
                            <wps:cNvSpPr txBox="1"/>
                            <wps:spPr>
                              <a:xfrm>
                                <a:off x="0" y="0"/>
                                <a:ext cx="447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5005" cy="175260"/>
                      <wp:effectExtent l="0" t="0" r="0" b="0"/>
                      <wp:wrapNone/>
                      <wp:docPr id="7" name="Frame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2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21,178</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648,404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747,159</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9,747</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792,340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33,842</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39,501</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June 30, 2025 and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297,000,000 shares authorized; 66,394,241 and 66,374,549 shares issued and outstanding at June 30,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2,317,621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792,340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5" w:name="_8cb2f174_48e9_4712_8ce4_04687dac9950"/>
      <w:bookmarkEnd w:id="11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16" w:name="CONDENSEDCONSOLIDATEDSTATEMENTSOFOPERATI"/>
      <w:bookmarkEnd w:id="116"/>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7" w:name="Tc_aURmhUG3ck-7HcoV3Ao_5Q_25_11"/>
      <w:bookmarkStart w:id="118" w:name="Tc_WLBitREXPEu87tGwpQreSw_25_8"/>
      <w:bookmarkStart w:id="119" w:name="Tc_DJ5pmxpp70q2bsxDIn8hZw_25_5"/>
      <w:bookmarkStart w:id="120" w:name="Tc_MoIzBUVCoU29ACp9CgxGeg_25_2"/>
      <w:bookmarkStart w:id="121" w:name="Tc_pxJMrjpIekOrQxCtqVuIGA_25_0"/>
      <w:bookmarkStart w:id="122" w:name="Tc_mPI4rYM7ak25Gp89pd8VLA_24_0"/>
      <w:bookmarkStart w:id="123" w:name="Tc_n2Ezp1igxkC6WJxPBpEMVQ_23_0"/>
      <w:bookmarkStart w:id="124" w:name="Tc_vSZ4Qg02XEiB_gpMwZsH4A_22_11"/>
      <w:bookmarkStart w:id="125" w:name="Tc_Lfk10DWoeEiD0OUtFCLL_g_22_8"/>
      <w:bookmarkStart w:id="126" w:name="Tc_CsF9JODjY0y-BmzAZjgw7w_22_5"/>
      <w:bookmarkStart w:id="127" w:name="Tc_-ab-EEGW9U6ehlqD4QuadQ_22_2"/>
      <w:bookmarkStart w:id="128" w:name="Tc_1uaofxAwfU6eqagSnCI7MQ_22_0"/>
      <w:bookmarkStart w:id="129" w:name="Tc_azGfWaQ9kUS6FcDHh4wVzw_21_0"/>
      <w:bookmarkStart w:id="130" w:name="Tc_O6AkfUzFW0K-mBpR-kQKjw_19_0"/>
      <w:bookmarkStart w:id="131" w:name="Tc_eEFD1EzdrEamODWH04_KEw_17_11"/>
      <w:bookmarkStart w:id="132" w:name="Tc_TccgTA1hoUS-2YiMkUfTcA_17_8"/>
      <w:bookmarkStart w:id="133" w:name="Tc_V3gqJl3R1Uidm0JqiUgXhw_17_5"/>
      <w:bookmarkStart w:id="134" w:name="Tc_TZ_7eX8iMEeCYe0lOiRTeg_17_2"/>
      <w:bookmarkStart w:id="135" w:name="Tc_MwVvViL0WU6P6WwkS4d8_A_17_0"/>
      <w:bookmarkStart w:id="136" w:name="Tc_3Ra8NTUPaU-GdhUTebvBAw_15_11"/>
      <w:bookmarkStart w:id="137" w:name="Tc_in6PtPMWoUu52f2AbF0yVg_15_8"/>
      <w:bookmarkStart w:id="138" w:name="Tc_sfAtI9jUfEGlCU3p2Ba8bg_15_5"/>
      <w:bookmarkStart w:id="139" w:name="Tc_JQ9mlfQn7kqeG0nKTt5jpQ_15_2"/>
      <w:bookmarkStart w:id="140" w:name="Tc_7LV8jRLm602EbGBuOlCR7Q_15_0"/>
      <w:bookmarkStart w:id="141" w:name="Tc_bzASskCdnkmxOL1vI9jZeQ_14_0"/>
      <w:bookmarkStart w:id="142" w:name="Tc_IdxcqIk8E0edMvKYybkZpw_13_0"/>
      <w:bookmarkStart w:id="143" w:name="Tc_5lsGd2zXZ0qK41gHx3E63w_11_0"/>
      <w:bookmarkStart w:id="144" w:name="Tc_j_dn4rmnuESxWsVW2hW0BQ_10_0"/>
      <w:bookmarkStart w:id="145" w:name="Tc_8E76cDMiUE-53I_veZb1aw_9_0"/>
      <w:bookmarkStart w:id="146" w:name="Tc_lQu0OAhKb0KkglXtRvIG9g_8_0"/>
      <w:bookmarkStart w:id="147" w:name="Tc_JK4n8BvCnEOCeFJxCF5PDw_6_0"/>
      <w:bookmarkStart w:id="148" w:name="Tc_sYURSsrvTUa4AXgpOhmpLw_5_0"/>
      <w:bookmarkStart w:id="149" w:name="Tc_LdrAsUNd50ipbj8XQwW1fg_4_11"/>
      <w:bookmarkStart w:id="150" w:name="Tc_DnxjMgVGwEukCgBM3_7wLA_4_8"/>
      <w:bookmarkStart w:id="151" w:name="Tc_zM_Z6lTKOEer43ICWNAZnw_4_6"/>
      <w:bookmarkStart w:id="152" w:name="Tc_MibtaG25h0yGj4khOPjgUA_4_5"/>
      <w:bookmarkStart w:id="153" w:name="Tc_VEKndsFq0Eq1JB734ovfBA_4_2"/>
      <w:bookmarkStart w:id="154" w:name="Tc_-ixuTApgSUuNRiMFUjeiVw_4_0"/>
      <w:bookmarkStart w:id="155" w:name="Tc_Lv8YLEMpo0uuzhd8mjwmtg_3_0"/>
      <w:bookmarkStart w:id="156" w:name="Tc_hyWSpnmwyUa_duY7KQua_w_2_11"/>
      <w:bookmarkStart w:id="157" w:name="Tc_lkHaeLeq6keCgi4ZtCjIdQ_2_8"/>
      <w:bookmarkStart w:id="158" w:name="Tc_WctldQgMSUaAxqn68mz0sw_2_5"/>
      <w:bookmarkStart w:id="159" w:name="Tc_S5DK_T3vnEiPWDcapUMqqw_2_2"/>
      <w:bookmarkStart w:id="160" w:name="Tc_xCL4Jsg-YUe1OzRwGK3rWQ_1_11"/>
      <w:bookmarkStart w:id="161" w:name="Tc_W1YqXsecMUqPWkgtT8L5Xw_1_8"/>
      <w:bookmarkStart w:id="162" w:name="Tc_MRC0NpfGoEeC7VPSYT5TyQ_1_5"/>
      <w:bookmarkStart w:id="163" w:name="Tc_hL26A1S3GEmLTiWmB-Lrag_1_2"/>
      <w:bookmarkStart w:id="164" w:name="_be025735_3b83_40c4_9871_d6089a032502"/>
      <w:bookmarkStart w:id="165" w:name="_d47e9ac3_9f28_48aa_849a_efdebf818e65"/>
      <w:bookmarkStart w:id="166" w:name="Tc_aURmhUG3ck-7HcoV3Ao_5Q_25_11"/>
      <w:bookmarkStart w:id="167" w:name="Tc_WLBitREXPEu87tGwpQreSw_25_8"/>
      <w:bookmarkStart w:id="168" w:name="Tc_DJ5pmxpp70q2bsxDIn8hZw_25_5"/>
      <w:bookmarkStart w:id="169" w:name="Tc_MoIzBUVCoU29ACp9CgxGeg_25_2"/>
      <w:bookmarkStart w:id="170" w:name="Tc_pxJMrjpIekOrQxCtqVuIGA_25_0"/>
      <w:bookmarkStart w:id="171" w:name="Tc_mPI4rYM7ak25Gp89pd8VLA_24_0"/>
      <w:bookmarkStart w:id="172" w:name="Tc_n2Ezp1igxkC6WJxPBpEMVQ_23_0"/>
      <w:bookmarkStart w:id="173" w:name="Tc_vSZ4Qg02XEiB_gpMwZsH4A_22_11"/>
      <w:bookmarkStart w:id="174" w:name="Tc_Lfk10DWoeEiD0OUtFCLL_g_22_8"/>
      <w:bookmarkStart w:id="175" w:name="Tc_CsF9JODjY0y-BmzAZjgw7w_22_5"/>
      <w:bookmarkStart w:id="176" w:name="Tc_-ab-EEGW9U6ehlqD4QuadQ_22_2"/>
      <w:bookmarkStart w:id="177" w:name="Tc_1uaofxAwfU6eqagSnCI7MQ_22_0"/>
      <w:bookmarkStart w:id="178" w:name="Tc_azGfWaQ9kUS6FcDHh4wVzw_21_0"/>
      <w:bookmarkStart w:id="179" w:name="Tc_O6AkfUzFW0K-mBpR-kQKjw_19_0"/>
      <w:bookmarkStart w:id="180" w:name="Tc_eEFD1EzdrEamODWH04_KEw_17_11"/>
      <w:bookmarkStart w:id="181" w:name="Tc_TccgTA1hoUS-2YiMkUfTcA_17_8"/>
      <w:bookmarkStart w:id="182" w:name="Tc_V3gqJl3R1Uidm0JqiUgXhw_17_5"/>
      <w:bookmarkStart w:id="183" w:name="Tc_TZ_7eX8iMEeCYe0lOiRTeg_17_2"/>
      <w:bookmarkStart w:id="184" w:name="Tc_MwVvViL0WU6P6WwkS4d8_A_17_0"/>
      <w:bookmarkStart w:id="185" w:name="Tc_3Ra8NTUPaU-GdhUTebvBAw_15_11"/>
      <w:bookmarkStart w:id="186" w:name="Tc_in6PtPMWoUu52f2AbF0yVg_15_8"/>
      <w:bookmarkStart w:id="187" w:name="Tc_sfAtI9jUfEGlCU3p2Ba8bg_15_5"/>
      <w:bookmarkStart w:id="188" w:name="Tc_JQ9mlfQn7kqeG0nKTt5jpQ_15_2"/>
      <w:bookmarkStart w:id="189" w:name="Tc_7LV8jRLm602EbGBuOlCR7Q_15_0"/>
      <w:bookmarkStart w:id="190" w:name="Tc_bzASskCdnkmxOL1vI9jZeQ_14_0"/>
      <w:bookmarkStart w:id="191" w:name="Tc_IdxcqIk8E0edMvKYybkZpw_13_0"/>
      <w:bookmarkStart w:id="192" w:name="Tc_5lsGd2zXZ0qK41gHx3E63w_11_0"/>
      <w:bookmarkStart w:id="193" w:name="Tc_j_dn4rmnuESxWsVW2hW0BQ_10_0"/>
      <w:bookmarkStart w:id="194" w:name="Tc_8E76cDMiUE-53I_veZb1aw_9_0"/>
      <w:bookmarkStart w:id="195" w:name="Tc_lQu0OAhKb0KkglXtRvIG9g_8_0"/>
      <w:bookmarkStart w:id="196" w:name="Tc_JK4n8BvCnEOCeFJxCF5PDw_6_0"/>
      <w:bookmarkStart w:id="197" w:name="Tc_sYURSsrvTUa4AXgpOhmpLw_5_0"/>
      <w:bookmarkStart w:id="198" w:name="Tc_LdrAsUNd50ipbj8XQwW1fg_4_11"/>
      <w:bookmarkStart w:id="199" w:name="Tc_DnxjMgVGwEukCgBM3_7wLA_4_8"/>
      <w:bookmarkStart w:id="200" w:name="Tc_zM_Z6lTKOEer43ICWNAZnw_4_6"/>
      <w:bookmarkStart w:id="201" w:name="Tc_MibtaG25h0yGj4khOPjgUA_4_5"/>
      <w:bookmarkStart w:id="202" w:name="Tc_VEKndsFq0Eq1JB734ovfBA_4_2"/>
      <w:bookmarkStart w:id="203" w:name="Tc_-ixuTApgSUuNRiMFUjeiVw_4_0"/>
      <w:bookmarkStart w:id="204" w:name="Tc_Lv8YLEMpo0uuzhd8mjwmtg_3_0"/>
      <w:bookmarkStart w:id="205" w:name="Tc_hyWSpnmwyUa_duY7KQua_w_2_11"/>
      <w:bookmarkStart w:id="206" w:name="Tc_lkHaeLeq6keCgi4ZtCjIdQ_2_8"/>
      <w:bookmarkStart w:id="207" w:name="Tc_WctldQgMSUaAxqn68mz0sw_2_5"/>
      <w:bookmarkStart w:id="208" w:name="Tc_S5DK_T3vnEiPWDcapUMqqw_2_2"/>
      <w:bookmarkStart w:id="209" w:name="Tc_xCL4Jsg-YUe1OzRwGK3rWQ_1_11"/>
      <w:bookmarkStart w:id="210" w:name="Tc_W1YqXsecMUqPWkgtT8L5Xw_1_8"/>
      <w:bookmarkStart w:id="211" w:name="Tc_MRC0NpfGoEeC7VPSYT5TyQ_1_5"/>
      <w:bookmarkStart w:id="212" w:name="Tc_hL26A1S3GEmLTiWmB-Lrag_1_2"/>
      <w:bookmarkStart w:id="213" w:name="_be025735_3b83_40c4_9871_d6089a032502"/>
      <w:bookmarkStart w:id="214" w:name="_d47e9ac3_9f28_48aa_849a_efdebf818e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10205" w:type="dxa"/>
        <w:jc w:val="left"/>
        <w:tblInd w:w="0" w:type="dxa"/>
        <w:tblLayout w:type="fixed"/>
        <w:tblCellMar>
          <w:top w:w="0" w:type="dxa"/>
          <w:left w:w="0" w:type="dxa"/>
          <w:bottom w:w="0" w:type="dxa"/>
          <w:right w:w="0" w:type="dxa"/>
        </w:tblCellMar>
      </w:tblPr>
      <w:tblGrid>
        <w:gridCol w:w="3426"/>
        <w:gridCol w:w="326"/>
        <w:gridCol w:w="345"/>
        <w:gridCol w:w="1065"/>
        <w:gridCol w:w="326"/>
        <w:gridCol w:w="345"/>
        <w:gridCol w:w="1065"/>
        <w:gridCol w:w="326"/>
        <w:gridCol w:w="276"/>
        <w:gridCol w:w="1028"/>
        <w:gridCol w:w="326"/>
        <w:gridCol w:w="301"/>
        <w:gridCol w:w="1050"/>
      </w:tblGrid>
      <w:tr>
        <w:trPr/>
        <w:tc>
          <w:tcPr>
            <w:tcW w:w="3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75510" cy="175260"/>
                      <wp:effectExtent l="0" t="0" r="0" b="0"/>
                      <wp:wrapNone/>
                      <wp:docPr id="8" name="Frame8"/>
                      <a:graphic xmlns:a="http://schemas.openxmlformats.org/drawingml/2006/main">
                        <a:graphicData uri="http://schemas.microsoft.com/office/word/2010/wordprocessingShape">
                          <wps:wsp>
                            <wps:cNvSpPr txBox="1"/>
                            <wps:spPr>
                              <a:xfrm>
                                <a:off x="0" y="0"/>
                                <a:ext cx="217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075" cy="175260"/>
                      <wp:effectExtent l="0" t="0" r="0" b="0"/>
                      <wp:wrapNone/>
                      <wp:docPr id="10" name="Frame1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6275" cy="175260"/>
                      <wp:effectExtent l="0" t="0" r="0" b="0"/>
                      <wp:wrapNone/>
                      <wp:docPr id="11" name="Frame11"/>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075" cy="175260"/>
                      <wp:effectExtent l="0" t="0" r="0" b="0"/>
                      <wp:wrapNone/>
                      <wp:docPr id="13" name="Frame1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76275" cy="175260"/>
                      <wp:effectExtent l="0" t="0" r="0" b="0"/>
                      <wp:wrapNone/>
                      <wp:docPr id="14" name="Frame14"/>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5260" cy="175260"/>
                      <wp:effectExtent l="0" t="0" r="0" b="0"/>
                      <wp:wrapNone/>
                      <wp:docPr id="16" name="Frame1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2780" cy="175260"/>
                      <wp:effectExtent l="0" t="0" r="0" b="0"/>
                      <wp:wrapNone/>
                      <wp:docPr id="17" name="Frame17"/>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91135" cy="175260"/>
                      <wp:effectExtent l="0" t="0" r="0" b="0"/>
                      <wp:wrapNone/>
                      <wp:docPr id="19" name="Frame1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6750" cy="175260"/>
                      <wp:effectExtent l="0" t="0" r="0" b="0"/>
                      <wp:wrapNone/>
                      <wp:docPr id="20" name="Frame20"/>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3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3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r>
      <w:tr>
        <w:trPr/>
        <w:tc>
          <w:tcPr>
            <w:tcW w:w="34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71,348</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9,128</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21,211</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64,587</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48,815</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128,021</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89,579</w:t>
            </w:r>
          </w:p>
        </w:tc>
      </w:tr>
      <w:tr>
        <w:trPr/>
        <w:tc>
          <w:tcPr>
            <w:tcW w:w="3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(63,857)</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(126,597)</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(86,925)</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7,257</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10,475</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16,201</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18,275</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r>
      <w:tr>
        <w:trPr/>
        <w:tc>
          <w:tcPr>
            <w:tcW w:w="3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66,392</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66,019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66,388</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62,445</w:t>
            </w:r>
          </w:p>
        </w:tc>
      </w:tr>
      <w:tr>
        <w:trPr/>
        <w:tc>
          <w:tcPr>
            <w:tcW w:w="3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r>
      <w:tr>
        <w:trPr/>
        <w:tc>
          <w:tcPr>
            <w:tcW w:w="34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marketable securities</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r>
      <w:tr>
        <w:trPr/>
        <w:tc>
          <w:tcPr>
            <w:tcW w:w="34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(56,829)</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(110,371)</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(70,178)</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5" w:name="_3693477f_1516_47d0_b469_3410e3aa8976"/>
      <w:bookmarkEnd w:id="21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16" w:name="CONDENSEDCONSOLIDATEDSTATEMENTSOFCASHFLO"/>
      <w:bookmarkEnd w:id="216"/>
      <w:r>
        <w:rPr>
          <w:rFonts w:ascii="Times New Roman;Times;serif" w:hAnsi="Times New Roman;Times;serif"/>
          <w:b/>
          <w:sz w:val="20"/>
        </w:rPr>
        <w:t>CONDENSED CONSOLIDATED STATEMENTS OF CASH FLOW</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17" w:name="Tc_7Gpq7Zs8G02w-23ZPsSVbw_32_5"/>
      <w:bookmarkStart w:id="218" w:name="Tc_wCL8hBs9x0WBor-xzePWVg_32_2"/>
      <w:bookmarkStart w:id="219" w:name="Tc_s311brwE-kq-HHUSLJWqIw_32_0"/>
      <w:bookmarkStart w:id="220" w:name="Tc_Ezf9vfrZwEuomJaNf7eqCA_31_0"/>
      <w:bookmarkStart w:id="221" w:name="Tc_c-xloCRoGU-t2FlMlGm2cA_29_5"/>
      <w:bookmarkStart w:id="222" w:name="Tc_GeNl9tWuNEqxZW8N7wj7Kg_29_2"/>
      <w:bookmarkStart w:id="223" w:name="Tc_oRTN-TNW50uPCIUM32sPxQ_29_0"/>
      <w:bookmarkStart w:id="224" w:name="Tc_mEvKc6xNrkiepwdPGWIFrA_28_0"/>
      <w:bookmarkStart w:id="225" w:name="Tc_cTBmtE2aBUekDxL8FDPfDw_27_0"/>
      <w:bookmarkStart w:id="226" w:name="Tc_mNfG4ttG8Em_3MPX8URDUA_25_0"/>
      <w:bookmarkStart w:id="227" w:name="Tc_G8Fol2DmTESfc8nI-o_3jg_24_0"/>
      <w:bookmarkStart w:id="228" w:name="Tc_04DGte_FXUSphxyV25SCgw_23_3"/>
      <w:bookmarkStart w:id="229" w:name="Tc_mSczkwexhkmEis58vYePvg_23_0"/>
      <w:bookmarkStart w:id="230" w:name="Tc_1eqSRTfXDEalowGfHCbKPA_22_0"/>
      <w:bookmarkStart w:id="231" w:name="Tc_P0wcy8Vb5UK2aJb_SRDgHQ_21_0"/>
      <w:bookmarkStart w:id="232" w:name="Tc_S08LHbm01kqd_Vk9A6Gl3Q_20_0"/>
      <w:bookmarkStart w:id="233" w:name="Tc_EbvQRt-I8ky9Hc-cowh4Ig_19_0"/>
      <w:bookmarkStart w:id="234" w:name="Tc_84wZ6EKqg0a2goPPENDamQ_18_0"/>
      <w:bookmarkStart w:id="235" w:name="Tc_N7ya_A6KnEqDmBE1jlBzpQ_17_0"/>
      <w:bookmarkStart w:id="236" w:name="Tc_nlUqJ13fBUeMUaUxKXPh5w_16_0"/>
      <w:bookmarkStart w:id="237" w:name="Tc_zmAZjFBexk2epBBqTfz87w_15_0"/>
      <w:bookmarkStart w:id="238" w:name="Tc_BnGAYx7sd0KouIt9xqBYxQ_14_0"/>
      <w:bookmarkStart w:id="239" w:name="Tc_iGf_fpE7G0-62SVVkvLHuw_13_6"/>
      <w:bookmarkStart w:id="240" w:name="Tc_dLm5FP04-E6EQ9x3Wli0BQ_13_0"/>
      <w:bookmarkStart w:id="241" w:name="Tc_yZ3D8XxrE0a-PfP23o5wSg_12_0"/>
      <w:bookmarkStart w:id="242" w:name="Tc_iQjfB1SuYUyizpxB31UuLg_11_0"/>
      <w:bookmarkStart w:id="243" w:name="Tc_TRFz3mNUgkaoVq7Bv1mliQ_10_0"/>
      <w:bookmarkStart w:id="244" w:name="Tc_Y21_8O_9a0-uLpSkIA3Qmw_9_0"/>
      <w:bookmarkStart w:id="245" w:name="Tc_iV_D5u8uA0Cn_D7OHOJ79g_8_0"/>
      <w:bookmarkStart w:id="246" w:name="Tc_9s0S9EqlZEi7BVU4euRQdQ_7_0"/>
      <w:bookmarkStart w:id="247" w:name="Tc_ZIQjcD8gXU-YNEyOA3Lwvw_6_0"/>
      <w:bookmarkStart w:id="248" w:name="Tc_td_9VxPro0C0zz8QgXLYvg_5_0"/>
      <w:bookmarkStart w:id="249" w:name="Tc_Erucb8F1N0SxrCvVBGp4gg_4_5"/>
      <w:bookmarkStart w:id="250" w:name="Tc_XYReZ-JkF020aBj9g9jN9A_4_2"/>
      <w:bookmarkStart w:id="251" w:name="Tc_8s6ZwNpYWkWj8pNpHACrwg_4_0"/>
      <w:bookmarkStart w:id="252" w:name="Tc_UOJD3FfuZkOMfSwLlPFYlA_3_0"/>
      <w:bookmarkStart w:id="253" w:name="Tc_OPR0fwYANkK7dMQ6_A5olQ_2_5"/>
      <w:bookmarkStart w:id="254" w:name="Tc_cFc20il9FU-Z1t7t2xrbvQ_2_2"/>
      <w:bookmarkStart w:id="255" w:name="Tc_9bYWr7Q5Qk-SuEMUenNmow_1_5"/>
      <w:bookmarkStart w:id="256" w:name="Tc_XxVrpiurRU6gJnC8IPs8Bw_1_2"/>
      <w:bookmarkStart w:id="257" w:name="_9e3ec5e0_fdee_406d_b344_18d05335fb2c"/>
      <w:bookmarkStart w:id="258" w:name="Tc_7Gpq7Zs8G02w-23ZPsSVbw_32_5"/>
      <w:bookmarkStart w:id="259" w:name="Tc_wCL8hBs9x0WBor-xzePWVg_32_2"/>
      <w:bookmarkStart w:id="260" w:name="Tc_s311brwE-kq-HHUSLJWqIw_32_0"/>
      <w:bookmarkStart w:id="261" w:name="Tc_Ezf9vfrZwEuomJaNf7eqCA_31_0"/>
      <w:bookmarkStart w:id="262" w:name="Tc_c-xloCRoGU-t2FlMlGm2cA_29_5"/>
      <w:bookmarkStart w:id="263" w:name="Tc_GeNl9tWuNEqxZW8N7wj7Kg_29_2"/>
      <w:bookmarkStart w:id="264" w:name="Tc_oRTN-TNW50uPCIUM32sPxQ_29_0"/>
      <w:bookmarkStart w:id="265" w:name="Tc_mEvKc6xNrkiepwdPGWIFrA_28_0"/>
      <w:bookmarkStart w:id="266" w:name="Tc_cTBmtE2aBUekDxL8FDPfDw_27_0"/>
      <w:bookmarkStart w:id="267" w:name="Tc_mNfG4ttG8Em_3MPX8URDUA_25_0"/>
      <w:bookmarkStart w:id="268" w:name="Tc_G8Fol2DmTESfc8nI-o_3jg_24_0"/>
      <w:bookmarkStart w:id="269" w:name="Tc_04DGte_FXUSphxyV25SCgw_23_3"/>
      <w:bookmarkStart w:id="270" w:name="Tc_mSczkwexhkmEis58vYePvg_23_0"/>
      <w:bookmarkStart w:id="271" w:name="Tc_1eqSRTfXDEalowGfHCbKPA_22_0"/>
      <w:bookmarkStart w:id="272" w:name="Tc_P0wcy8Vb5UK2aJb_SRDgHQ_21_0"/>
      <w:bookmarkStart w:id="273" w:name="Tc_S08LHbm01kqd_Vk9A6Gl3Q_20_0"/>
      <w:bookmarkStart w:id="274" w:name="Tc_EbvQRt-I8ky9Hc-cowh4Ig_19_0"/>
      <w:bookmarkStart w:id="275" w:name="Tc_84wZ6EKqg0a2goPPENDamQ_18_0"/>
      <w:bookmarkStart w:id="276" w:name="Tc_N7ya_A6KnEqDmBE1jlBzpQ_17_0"/>
      <w:bookmarkStart w:id="277" w:name="Tc_nlUqJ13fBUeMUaUxKXPh5w_16_0"/>
      <w:bookmarkStart w:id="278" w:name="Tc_zmAZjFBexk2epBBqTfz87w_15_0"/>
      <w:bookmarkStart w:id="279" w:name="Tc_BnGAYx7sd0KouIt9xqBYxQ_14_0"/>
      <w:bookmarkStart w:id="280" w:name="Tc_iGf_fpE7G0-62SVVkvLHuw_13_6"/>
      <w:bookmarkStart w:id="281" w:name="Tc_dLm5FP04-E6EQ9x3Wli0BQ_13_0"/>
      <w:bookmarkStart w:id="282" w:name="Tc_yZ3D8XxrE0a-PfP23o5wSg_12_0"/>
      <w:bookmarkStart w:id="283" w:name="Tc_iQjfB1SuYUyizpxB31UuLg_11_0"/>
      <w:bookmarkStart w:id="284" w:name="Tc_TRFz3mNUgkaoVq7Bv1mliQ_10_0"/>
      <w:bookmarkStart w:id="285" w:name="Tc_Y21_8O_9a0-uLpSkIA3Qmw_9_0"/>
      <w:bookmarkStart w:id="286" w:name="Tc_iV_D5u8uA0Cn_D7OHOJ79g_8_0"/>
      <w:bookmarkStart w:id="287" w:name="Tc_9s0S9EqlZEi7BVU4euRQdQ_7_0"/>
      <w:bookmarkStart w:id="288" w:name="Tc_ZIQjcD8gXU-YNEyOA3Lwvw_6_0"/>
      <w:bookmarkStart w:id="289" w:name="Tc_td_9VxPro0C0zz8QgXLYvg_5_0"/>
      <w:bookmarkStart w:id="290" w:name="Tc_Erucb8F1N0SxrCvVBGp4gg_4_5"/>
      <w:bookmarkStart w:id="291" w:name="Tc_XYReZ-JkF020aBj9g9jN9A_4_2"/>
      <w:bookmarkStart w:id="292" w:name="Tc_8s6ZwNpYWkWj8pNpHACrwg_4_0"/>
      <w:bookmarkStart w:id="293" w:name="Tc_UOJD3FfuZkOMfSwLlPFYlA_3_0"/>
      <w:bookmarkStart w:id="294" w:name="Tc_OPR0fwYANkK7dMQ6_A5olQ_2_5"/>
      <w:bookmarkStart w:id="295" w:name="Tc_cFc20il9FU-Z1t7t2xrbvQ_2_2"/>
      <w:bookmarkStart w:id="296" w:name="Tc_9bYWr7Q5Qk-SuEMUenNmow_1_5"/>
      <w:bookmarkStart w:id="297" w:name="Tc_XxVrpiurRU6gJnC8IPs8Bw_1_2"/>
      <w:bookmarkStart w:id="298" w:name="_9e3ec5e0_fdee_406d_b344_18d05335fb2c"/>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9638" w:type="dxa"/>
        <w:jc w:val="left"/>
        <w:tblInd w:w="0" w:type="dxa"/>
        <w:tblLayout w:type="fixed"/>
        <w:tblCellMar>
          <w:top w:w="0" w:type="dxa"/>
          <w:left w:w="0" w:type="dxa"/>
          <w:bottom w:w="0" w:type="dxa"/>
          <w:right w:w="0" w:type="dxa"/>
        </w:tblCellMar>
      </w:tblPr>
      <w:tblGrid>
        <w:gridCol w:w="6031"/>
        <w:gridCol w:w="326"/>
        <w:gridCol w:w="276"/>
        <w:gridCol w:w="1179"/>
        <w:gridCol w:w="326"/>
        <w:gridCol w:w="273"/>
        <w:gridCol w:w="1227"/>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29685" cy="175260"/>
                      <wp:effectExtent l="0" t="0" r="0" b="0"/>
                      <wp:wrapNone/>
                      <wp:docPr id="21" name="Frame2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5260" cy="175260"/>
                      <wp:effectExtent l="0" t="0" r="0" b="0"/>
                      <wp:wrapNone/>
                      <wp:docPr id="23" name="Frame2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48665" cy="175260"/>
                      <wp:effectExtent l="0" t="0" r="0" b="0"/>
                      <wp:wrapNone/>
                      <wp:docPr id="24" name="Frame2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3355" cy="175260"/>
                      <wp:effectExtent l="0" t="0" r="0" b="0"/>
                      <wp:wrapNone/>
                      <wp:docPr id="26" name="Frame2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79145" cy="175260"/>
                      <wp:effectExtent l="0" t="0" r="0" b="0"/>
                      <wp:wrapNone/>
                      <wp:docPr id="27" name="Frame27"/>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disposal of assets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(6,632)</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(98,377)</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(69,965)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367,873</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199,370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(274,080)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(560,686)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(361,934)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issuances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439,824</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7,925</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42,739</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9" w:name="_cd48125b_7ae8_41e5_b060_bb11e435473c"/>
      <w:bookmarkEnd w:id="299"/>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300" w:name="NotestoUnaudited"/>
      <w:bookmarkStart w:id="301" w:name="NotestoUnauditedCondensedConsolidatedFin"/>
      <w:bookmarkEnd w:id="300"/>
      <w:bookmarkEnd w:id="301"/>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2024, which are included in the Company’s Annual Report on Form 10-K filed with the Securities and Exchange Commission (the “SEC”) on February 27, 2025.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2025, the Company had cash, cash equivalents and marketable securities of $630.3 million. The Company has had recurring losses and incurred a loss of $110.4 million for the six months ended June 30, 2025. Net cash used in operations for the six months ended June 30, 2025 was $98.4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15),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and six months ended June 30, 2025 are consistent with those discussed in Note 2 to the financial statements in the Company’s Annual Report on Form 10-K for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annual income tax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w:t>
      </w:r>
      <w:r>
        <w:rPr>
          <w:rFonts w:ascii="Times New Roman;Times;serif" w:hAnsi="Times New Roman;Times;serif"/>
          <w:sz w:val="20"/>
        </w:rPr>
        <w:t>, which requires enhanced disclosures about specific types of expenses included in the expense captions 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302" w:name="Tc_nWXOh1mphUKo6CWVAm3ypA_7_11"/>
      <w:bookmarkStart w:id="303" w:name="Tc__oh1gXQs0UCIKNfQ_uDIuw_7_8"/>
      <w:bookmarkStart w:id="304" w:name="Tc_XFFDq1EjQkKs8gpN0uccYQ_7_5"/>
      <w:bookmarkStart w:id="305" w:name="Tc_pPtk6b2Kt0aljs9yrDeb6A_7_2"/>
      <w:bookmarkStart w:id="306" w:name="Tc_4Ydz3dqyQ0mB0iIni4mdgQ_7_0"/>
      <w:bookmarkStart w:id="307" w:name="Tc_oBuK3p78_UqR6s_x7Hzh7A_6_0"/>
      <w:bookmarkStart w:id="308" w:name="Tc_fMuYVkUuKk2Suu019rtgVA_5_0"/>
      <w:bookmarkStart w:id="309" w:name="Tc_BkbGVU3_vkuK-CzdNqwX5A_4_11"/>
      <w:bookmarkStart w:id="310" w:name="Tc_XawtZUqD0029N0ABf0WP5w_4_8"/>
      <w:bookmarkStart w:id="311" w:name="Tc_ASkbn1Gda0avFOmL6qA6-w_4_5"/>
      <w:bookmarkStart w:id="312" w:name="Tc_1jNWmfETvUGO17HA9fK5Vg_4_2"/>
      <w:bookmarkStart w:id="313" w:name="Tc_vxfKreX_eUqBuSUWkCdOgA_4_0"/>
      <w:bookmarkStart w:id="314" w:name="Tc_LjEH8eTwNUSwbeU5YK8UmA_3_2"/>
      <w:bookmarkStart w:id="315" w:name="Tc_xhd7ufSK506tScc7oSL8hA_2_11"/>
      <w:bookmarkStart w:id="316" w:name="Tc_-srgEWh4LUSQdzNfXcI0rQ_2_8"/>
      <w:bookmarkStart w:id="317" w:name="Tc_OVi4aT6oZkOgLM24i1Yd3A_2_5"/>
      <w:bookmarkStart w:id="318" w:name="Tc_YGSiaqGBrEyu2uzcVDi3kw_2_2"/>
      <w:bookmarkStart w:id="319" w:name="Tc_ZOACW3WcR0eskeWuT1IzOw_1_11"/>
      <w:bookmarkStart w:id="320" w:name="Tc_2OhTQxSiI06vHyeIa6c6rQ_1_8"/>
      <w:bookmarkStart w:id="321" w:name="Tc_xRmh1rSEsky4ZG3DtQJ7Tg_1_5"/>
      <w:bookmarkStart w:id="322" w:name="Tc_k-zWNXhxBUGAQdObrYAUyQ_1_2"/>
      <w:bookmarkStart w:id="323" w:name="_51b0ab69_8f74_4795_a28e_f4d80b1cab8f"/>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ascii="Times New Roman;Times;serif" w:hAnsi="Times New Roman;Times;serif"/>
          <w:b/>
          <w:sz w:val="20"/>
        </w:rPr>
        <w:t>(3) 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managed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 assets are located in the United States. The CODM does not receive asset information other than what is presented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the Company’s research and development expenses disaggregated by program. The amounts disclosed reflect direct research and development costs and an allocation of indirect research and development costs to each program.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41"/>
        <w:gridCol w:w="326"/>
        <w:gridCol w:w="380"/>
        <w:gridCol w:w="1219"/>
        <w:gridCol w:w="326"/>
        <w:gridCol w:w="380"/>
        <w:gridCol w:w="1219"/>
        <w:gridCol w:w="326"/>
        <w:gridCol w:w="299"/>
        <w:gridCol w:w="1107"/>
        <w:gridCol w:w="326"/>
        <w:gridCol w:w="308"/>
        <w:gridCol w:w="1148"/>
      </w:tblGrid>
      <w:tr>
        <w:trPr/>
        <w:tc>
          <w:tcPr>
            <w:tcW w:w="2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04035" cy="175260"/>
                      <wp:effectExtent l="0" t="0" r="0" b="0"/>
                      <wp:wrapNone/>
                      <wp:docPr id="28" name="Frame28"/>
                      <a:graphic xmlns:a="http://schemas.openxmlformats.org/drawingml/2006/main">
                        <a:graphicData uri="http://schemas.microsoft.com/office/word/2010/wordprocessingShape">
                          <wps:wsp>
                            <wps:cNvSpPr txBox="1"/>
                            <wps:spPr>
                              <a:xfrm>
                                <a:off x="0" y="0"/>
                                <a:ext cx="180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1300" cy="175260"/>
                      <wp:effectExtent l="0" t="0" r="0" b="0"/>
                      <wp:wrapNone/>
                      <wp:docPr id="30" name="Frame30"/>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74065" cy="175260"/>
                      <wp:effectExtent l="0" t="0" r="0" b="0"/>
                      <wp:wrapNone/>
                      <wp:docPr id="31" name="Frame31"/>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1300" cy="175260"/>
                      <wp:effectExtent l="0" t="0" r="0" b="0"/>
                      <wp:wrapNone/>
                      <wp:docPr id="33" name="Frame33"/>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74065" cy="175260"/>
                      <wp:effectExtent l="0" t="0" r="0" b="0"/>
                      <wp:wrapNone/>
                      <wp:docPr id="34" name="Frame34"/>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9865" cy="175260"/>
                      <wp:effectExtent l="0" t="0" r="0" b="0"/>
                      <wp:wrapNone/>
                      <wp:docPr id="36" name="Frame3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02945" cy="175260"/>
                      <wp:effectExtent l="0" t="0" r="0" b="0"/>
                      <wp:wrapNone/>
                      <wp:docPr id="37" name="Frame37"/>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95580" cy="175260"/>
                      <wp:effectExtent l="0" t="0" r="0" b="0"/>
                      <wp:wrapNone/>
                      <wp:docPr id="39" name="Frame39"/>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28980" cy="175260"/>
                      <wp:effectExtent l="0" t="0" r="0" b="0"/>
                      <wp:wrapNone/>
                      <wp:docPr id="40" name="Frame40"/>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5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4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center"/>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    </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03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42,645</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30,472</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82,348</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54,250</w:t>
            </w:r>
          </w:p>
        </w:tc>
      </w:tr>
      <w:tr>
        <w:trPr/>
        <w:tc>
          <w:tcPr>
            <w:tcW w:w="2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CDX-622</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9,289</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w:t>
            </w:r>
          </w:p>
        </w:tc>
      </w:tr>
      <w:tr>
        <w:trPr/>
        <w:tc>
          <w:tcPr>
            <w:tcW w:w="2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15,173</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10,551</w:t>
            </w:r>
          </w:p>
        </w:tc>
      </w:tr>
      <w:tr>
        <w:trPr/>
        <w:tc>
          <w:tcPr>
            <w:tcW w:w="2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71,348</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program expenses primarily include research and development expenses related to early-stage programs, revenue-generating programs and discontinued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24" w:name="Tc_1EsEEjXX1EeOuWqFlHwAXg_9_11"/>
      <w:bookmarkStart w:id="325" w:name="Tc_HzcyaGKmYUeuxbJw_9u32A_9_8"/>
      <w:bookmarkStart w:id="326" w:name="Tc_jvfq_fFABkm884sRQRxk6g_9_5"/>
      <w:bookmarkStart w:id="327" w:name="Tc_O3br7Iz8IEiqcHetfI4BBQ_9_2"/>
      <w:bookmarkStart w:id="328" w:name="Tc_FC3W82XgzU6X9exVq7_LBA_9_0"/>
      <w:bookmarkStart w:id="329" w:name="Tc_sDEZ-uxf40u281mmKsASBg_8_0"/>
      <w:bookmarkStart w:id="330" w:name="Tc_r9Q1HtZlx0G_r5A1hMzXQg_7_0"/>
      <w:bookmarkStart w:id="331" w:name="Tc_4X1sGUOb_EO1PsTN2Obs3g_6_0"/>
      <w:bookmarkStart w:id="332" w:name="Tc_1zAVKyTqKUe67Wk1MOuGcg_5_0"/>
      <w:bookmarkStart w:id="333" w:name="Tc_xh2uS44Wtk-PxkYR1AKAMQ_4_11"/>
      <w:bookmarkStart w:id="334" w:name="Tc_cnnqWL7QIUOkhQkBND7Yfg_4_8"/>
      <w:bookmarkStart w:id="335" w:name="Tc_GtwfZqW2V0WOinJCtJ0dfQ_4_5"/>
      <w:bookmarkStart w:id="336" w:name="Tc_VOc1YIxpNkSdWvAqmswbBg_4_2"/>
      <w:bookmarkStart w:id="337" w:name="Tc_bvX1uuvCWUaxAsYGfEjVgg_4_0"/>
      <w:bookmarkStart w:id="338" w:name="Tc_x9MversQYUCV6DXJ31B4vA_3_2"/>
      <w:bookmarkStart w:id="339" w:name="Tc_sRtvS4PD5EG784QM9YbVOg_2_11"/>
      <w:bookmarkStart w:id="340" w:name="Tc_2oDP9pUcrUy1pk9Knt13Dw_2_8"/>
      <w:bookmarkStart w:id="341" w:name="Tc_zMbDqG-huEyLjaBjJPqedQ_2_5"/>
      <w:bookmarkStart w:id="342" w:name="Tc_xwwlK3bXikKe5YLa-7jzpw_2_2"/>
      <w:bookmarkStart w:id="343" w:name="Tc_RW3Vi0raIEeJBqar_KBK5g_1_11"/>
      <w:bookmarkStart w:id="344" w:name="Tc_KYYgbbuDQka5WAta-2o_mw_1_8"/>
      <w:bookmarkStart w:id="345" w:name="Tc_RfCz4sbV9Eany4zw0V2nGA_1_5"/>
      <w:bookmarkStart w:id="346" w:name="Tc_lgpyn9ibJE-qrvRQ09h7dg_1_2"/>
      <w:bookmarkStart w:id="347" w:name="_73c30481_f84f_4fc9_9a39_92f36e11885d"/>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Pr>
          <w:rFonts w:ascii="Times New Roman;Times;serif" w:hAnsi="Times New Roman;Times;serif"/>
          <w:sz w:val="20"/>
        </w:rPr>
        <w:t>The following table is a summary of the Company’s research and development expenses disaggregated by nature.</w:t>
      </w:r>
    </w:p>
    <w:p>
      <w:pPr>
        <w:pStyle w:val="TextBody"/>
        <w:bidi w:val="0"/>
        <w:spacing w:before="0" w:after="0"/>
        <w:ind w:left="0" w:right="0" w:hanging="0"/>
        <w:jc w:val="left"/>
        <w:rPr/>
      </w:pPr>
      <w:r>
        <w:rPr/>
        <w:t>​</w:t>
      </w:r>
    </w:p>
    <w:tbl>
      <w:tblPr>
        <w:tblW w:w="9514" w:type="dxa"/>
        <w:jc w:val="left"/>
        <w:tblInd w:w="0" w:type="dxa"/>
        <w:tblLayout w:type="fixed"/>
        <w:tblCellMar>
          <w:top w:w="0" w:type="dxa"/>
          <w:left w:w="0" w:type="dxa"/>
          <w:bottom w:w="0" w:type="dxa"/>
          <w:right w:w="0" w:type="dxa"/>
        </w:tblCellMar>
      </w:tblPr>
      <w:tblGrid>
        <w:gridCol w:w="2131"/>
        <w:gridCol w:w="326"/>
        <w:gridCol w:w="382"/>
        <w:gridCol w:w="1224"/>
        <w:gridCol w:w="326"/>
        <w:gridCol w:w="382"/>
        <w:gridCol w:w="1224"/>
        <w:gridCol w:w="326"/>
        <w:gridCol w:w="300"/>
        <w:gridCol w:w="1111"/>
        <w:gridCol w:w="326"/>
        <w:gridCol w:w="309"/>
        <w:gridCol w:w="1147"/>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53185" cy="175260"/>
                      <wp:effectExtent l="0" t="0" r="0" b="0"/>
                      <wp:wrapNone/>
                      <wp:docPr id="41" name="Frame4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42570" cy="175260"/>
                      <wp:effectExtent l="0" t="0" r="0" b="0"/>
                      <wp:wrapNone/>
                      <wp:docPr id="43" name="Frame4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77240" cy="175260"/>
                      <wp:effectExtent l="0" t="0" r="0" b="0"/>
                      <wp:wrapNone/>
                      <wp:docPr id="44" name="Frame44"/>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2570" cy="175260"/>
                      <wp:effectExtent l="0" t="0" r="0" b="0"/>
                      <wp:wrapNone/>
                      <wp:docPr id="46" name="Frame46"/>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77240" cy="175260"/>
                      <wp:effectExtent l="0" t="0" r="0" b="0"/>
                      <wp:wrapNone/>
                      <wp:docPr id="47" name="Frame47"/>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90500" cy="175260"/>
                      <wp:effectExtent l="0" t="0" r="0" b="0"/>
                      <wp:wrapNone/>
                      <wp:docPr id="49" name="Frame4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05485" cy="175260"/>
                      <wp:effectExtent l="0" t="0" r="0" b="0"/>
                      <wp:wrapNone/>
                      <wp:docPr id="50" name="Frame5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6215" cy="175260"/>
                      <wp:effectExtent l="0" t="0" r="0" b="0"/>
                      <wp:wrapNone/>
                      <wp:docPr id="52" name="Frame52"/>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28345" cy="175260"/>
                      <wp:effectExtent l="0" t="0" r="0" b="0"/>
                      <wp:wrapNone/>
                      <wp:docPr id="53" name="Frame53"/>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6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center"/>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951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5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23,321</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(b)</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33,536</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22,667</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65,702</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(c)</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26" w:type="dxa"/>
            <w:tcBorders/>
            <w:vAlign w:val="center"/>
          </w:tcPr>
          <w:p>
            <w:pPr>
              <w:pStyle w:val="TableContents"/>
              <w:bidi w:val="0"/>
              <w:spacing w:before="0" w:after="0"/>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71,348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w:t>
            </w:r>
          </w:p>
        </w:tc>
      </w:tr>
    </w:tbl>
    <w:tbl>
      <w:tblPr>
        <w:tblW w:w="9951" w:type="dxa"/>
        <w:jc w:val="left"/>
        <w:tblInd w:w="0" w:type="dxa"/>
        <w:tblLayout w:type="fixed"/>
        <w:tblCellMar>
          <w:top w:w="0" w:type="dxa"/>
          <w:left w:w="0" w:type="dxa"/>
          <w:bottom w:w="0" w:type="dxa"/>
          <w:right w:w="0" w:type="dxa"/>
        </w:tblCellMar>
      </w:tblPr>
      <w:tblGrid>
        <w:gridCol w:w="124"/>
        <w:gridCol w:w="31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5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expenses primarily include research and development consulting, insurance, licensing and software expenses.</w:t>
            </w:r>
          </w:p>
        </w:tc>
      </w:tr>
    </w:tbl>
    <w:p>
      <w:pPr>
        <w:pStyle w:val="TextBody"/>
        <w:bidi w:val="0"/>
        <w:spacing w:before="0" w:after="240"/>
        <w:ind w:left="0" w:right="0" w:hanging="0"/>
        <w:jc w:val="left"/>
        <w:rPr>
          <w:rFonts w:ascii="Times New Roman;Times;serif" w:hAnsi="Times New Roman;Times;serif"/>
          <w:b/>
          <w:sz w:val="20"/>
        </w:rPr>
      </w:pPr>
      <w:bookmarkStart w:id="348" w:name="_02b5b1eb_a1f4_4ab3_9f53_1b4b99ecfc2a_3"/>
      <w:bookmarkStart w:id="349" w:name="_02b5b1eb_a1f4_4ab3_9f53_1b4b99ecfc2a_2"/>
      <w:bookmarkStart w:id="350" w:name="_02b5b1eb_a1f4_4ab3_9f53_1b4b99ecfc2a"/>
      <w:bookmarkStart w:id="351" w:name="_033e85a4_a4da_4d8d_975e_a13194f703e7_3"/>
      <w:bookmarkStart w:id="352" w:name="_033e85a4_a4da_4d8d_975e_a13194f703e7_2"/>
      <w:bookmarkStart w:id="353" w:name="_033e85a4_a4da_4d8d_975e_a13194f703e7"/>
      <w:bookmarkStart w:id="354" w:name="_8b9cea89_fa61_4c05_9f0c_96d8511abc2e_3"/>
      <w:bookmarkStart w:id="355" w:name="_8b9cea89_fa61_4c05_9f0c_96d8511abc2e_2"/>
      <w:bookmarkStart w:id="356" w:name="_8b9cea89_fa61_4c05_9f0c_96d8511abc2e"/>
      <w:bookmarkStart w:id="357" w:name="Tc_8YRM-ZoeukScFSvJ2nPHcw_7_12"/>
      <w:bookmarkStart w:id="358" w:name="Tc_7bNje60prUOvGU6PQvbY6g_7_8"/>
      <w:bookmarkStart w:id="359" w:name="Tc_9sBN8XEE_UOmJeulYAXq-A_7_6"/>
      <w:bookmarkStart w:id="360" w:name="Tc_JHy0X8uvSEyzQ_4knVeUyA_7_2"/>
      <w:bookmarkStart w:id="361" w:name="Tc_41sWaiOIRkutR6uL56q5-A_6_12"/>
      <w:bookmarkStart w:id="362" w:name="Tc_BAhIllm5MkOwecXV-lXTRw_6_6"/>
      <w:bookmarkStart w:id="363" w:name="Tc_BAZi-b0LlUWEiCCBSU5MBg_6_0"/>
      <w:bookmarkStart w:id="364" w:name="Tc_TaCZec9n-E-_wNLb1U-vew_5_12"/>
      <w:bookmarkStart w:id="365" w:name="Tc_ezwyPe7lgEOTVqDL2O3FCQ_5_8"/>
      <w:bookmarkStart w:id="366" w:name="Tc_koybcA2OVEKMByK5mEBTcw_5_6"/>
      <w:bookmarkStart w:id="367" w:name="Tc_44pYzP4m5kKXOs0IcJRmPg_5_2"/>
      <w:bookmarkStart w:id="368" w:name="Tc_ZlQ-7V_j30Gg_lCNnvTzEA_5_0"/>
      <w:bookmarkStart w:id="369" w:name="Tc_8wv58tfRDEiL1eP8wM0fHg_4_0"/>
      <w:bookmarkStart w:id="370" w:name="Tc_5QeMSUmvAU2Sej3IQeBOng_3_2"/>
      <w:bookmarkStart w:id="371" w:name="Tc_DO0i6CA0ZEWqt_vD_NFv3A_2_11"/>
      <w:bookmarkStart w:id="372" w:name="Tc_FaqfbkoWbESalva4v6y3-w_2_8"/>
      <w:bookmarkStart w:id="373" w:name="Tc_HRLbTlbVJEeB5lm7FuFwUg_2_5"/>
      <w:bookmarkStart w:id="374" w:name="Tc_F9zdKMSj0U2H_vhMvd19zA_2_2"/>
      <w:bookmarkStart w:id="375" w:name="Tc_4VfhoXDXXECEpKdodlOEVA_1_2"/>
      <w:bookmarkStart w:id="376" w:name="_0e5afe75_0642_4fdb_a720_2952027a1163"/>
      <w:bookmarkStart w:id="377" w:name="Tc_27MrjfmEo0uZ6YIRBtFNSg_7_12"/>
      <w:bookmarkStart w:id="378" w:name="Tc_NZVm3ccWrUy2nC2cHhlu6w_7_8"/>
      <w:bookmarkStart w:id="379" w:name="Tc_SG10b08go0a179pBi50UCQ_7_6"/>
      <w:bookmarkStart w:id="380" w:name="Tc_oBgxyBCiN0CeB-Muex0W8Q_7_2"/>
      <w:bookmarkStart w:id="381" w:name="Tc_3kB2v9ZeQEC43ZW_dbwXPg_6_12"/>
      <w:bookmarkStart w:id="382" w:name="Tc_2fCASrWN6kahkd5sPo2v8A_6_6"/>
      <w:bookmarkStart w:id="383" w:name="Tc_MUINDW2A2kWi2LSNlKCdEw_6_0"/>
      <w:bookmarkStart w:id="384" w:name="Tc_S83OQcaZ9kCeAwmevY5NNg_5_12"/>
      <w:bookmarkStart w:id="385" w:name="Tc_JQaTmQZfckaLG4I3DGezcg_5_8"/>
      <w:bookmarkStart w:id="386" w:name="Tc_tswqB1ludUGPHzf91ErEkw_5_6"/>
      <w:bookmarkStart w:id="387" w:name="Tc_feMI89jTJUGHy1N3i2Sf5Q_5_2"/>
      <w:bookmarkStart w:id="388" w:name="Tc_mgDRj540fkWm4gwqswgSvg_5_0"/>
      <w:bookmarkStart w:id="389" w:name="Tc_rltEtVE-mkyHQ4Z34gQiHA_4_0"/>
      <w:bookmarkStart w:id="390" w:name="Tc_NOtFNdjWSESIfoOBPeGMeA_3_2"/>
      <w:bookmarkStart w:id="391" w:name="Tc_9dhf6Yk1GEaM8P0ZhuCJ1g_2_11"/>
      <w:bookmarkStart w:id="392" w:name="Tc_nkOyViGNjEWjs7WWTB8kpA_2_8"/>
      <w:bookmarkStart w:id="393" w:name="Tc_KB7iwk-sE0qhEOv0-ppl6w_2_5"/>
      <w:bookmarkStart w:id="394" w:name="Tc_j460x6660kOCwyoiffFM6w_2_2"/>
      <w:bookmarkStart w:id="395" w:name="Tc_MzFD0lJxRUiZXaIQJ9zRUQ_1_2"/>
      <w:bookmarkStart w:id="396" w:name="_92faa322_03c3_45a8_81bb_24d6129864cc"/>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smallCaps/>
        </w:rPr>
      </w:pPr>
      <w:r>
        <w:rPr>
          <w:smallCaps/>
        </w:rPr>
        <w:t>​</w:t>
      </w:r>
    </w:p>
    <w:tbl>
      <w:tblPr>
        <w:tblW w:w="8315" w:type="dxa"/>
        <w:jc w:val="left"/>
        <w:tblInd w:w="0" w:type="dxa"/>
        <w:tblLayout w:type="fixed"/>
        <w:tblCellMar>
          <w:top w:w="0" w:type="dxa"/>
          <w:left w:w="0" w:type="dxa"/>
          <w:bottom w:w="0" w:type="dxa"/>
          <w:right w:w="0" w:type="dxa"/>
        </w:tblCellMar>
      </w:tblPr>
      <w:tblGrid>
        <w:gridCol w:w="3586"/>
        <w:gridCol w:w="326"/>
        <w:gridCol w:w="239"/>
        <w:gridCol w:w="887"/>
        <w:gridCol w:w="326"/>
        <w:gridCol w:w="151"/>
        <w:gridCol w:w="480"/>
        <w:gridCol w:w="326"/>
        <w:gridCol w:w="211"/>
        <w:gridCol w:w="781"/>
        <w:gridCol w:w="326"/>
        <w:gridCol w:w="131"/>
        <w:gridCol w:w="545"/>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77110" cy="175260"/>
                      <wp:effectExtent l="0" t="0" r="0" b="0"/>
                      <wp:wrapNone/>
                      <wp:docPr id="54" name="Frame54"/>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1765" cy="175260"/>
                      <wp:effectExtent l="0" t="0" r="0" b="0"/>
                      <wp:wrapNone/>
                      <wp:docPr id="56" name="Frame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3245" cy="175260"/>
                      <wp:effectExtent l="0" t="0" r="0" b="0"/>
                      <wp:wrapNone/>
                      <wp:docPr id="57" name="Frame5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5885" cy="175260"/>
                      <wp:effectExtent l="0" t="0" r="0" b="0"/>
                      <wp:wrapNone/>
                      <wp:docPr id="59" name="Frame59"/>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04800" cy="175260"/>
                      <wp:effectExtent l="0" t="0" r="0" b="0"/>
                      <wp:wrapNone/>
                      <wp:docPr id="60" name="Frame60"/>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3185" cy="175260"/>
                      <wp:effectExtent l="0" t="0" r="0" b="0"/>
                      <wp:wrapNone/>
                      <wp:docPr id="65" name="Frame65"/>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6075" cy="175260"/>
                      <wp:effectExtent l="0" t="0" r="0" b="0"/>
                      <wp:wrapNone/>
                      <wp:docPr id="66" name="Frame66"/>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31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0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12,830</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12,830</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607,293</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607,293</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620,123</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620,123</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248535" cy="175260"/>
                      <wp:effectExtent l="0" t="0" r="0" b="0"/>
                      <wp:wrapNone/>
                      <wp:docPr id="67" name="Frame6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2565" cy="175260"/>
                      <wp:effectExtent l="0" t="0" r="0" b="0"/>
                      <wp:wrapNone/>
                      <wp:docPr id="69" name="Frame6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50570" cy="175260"/>
                      <wp:effectExtent l="0" t="0" r="0" b="0"/>
                      <wp:wrapNone/>
                      <wp:docPr id="70" name="Frame7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5885" cy="175260"/>
                      <wp:effectExtent l="0" t="0" r="0" b="0"/>
                      <wp:wrapNone/>
                      <wp:docPr id="72" name="Frame72"/>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04800" cy="175260"/>
                      <wp:effectExtent l="0" t="0" r="0" b="0"/>
                      <wp:wrapNone/>
                      <wp:docPr id="73" name="Frame7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3185" cy="175260"/>
                      <wp:effectExtent l="0" t="0" r="0" b="0"/>
                      <wp:wrapNone/>
                      <wp:docPr id="78" name="Frame78"/>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46075" cy="175260"/>
                      <wp:effectExtent l="0" t="0" r="0" b="0"/>
                      <wp:wrapNone/>
                      <wp:docPr id="79" name="Frame79"/>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June 30, 2025 and December 31, 2024.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no gain or loss on fair value remeasurement of contingent consideration recorded during the three and six months ended June 30, 2025 or June 30, 2024.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transfers in or out of Level 3 assets or liabilities during the six months ended June 30, 2025 or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7" w:name="Tc_eUbN5jSlI0CGuymetANowQ_30_11"/>
      <w:bookmarkStart w:id="398" w:name="Tc_i6hFTxZU70Kuwhv9V5LhVQ_30_8"/>
      <w:bookmarkStart w:id="399" w:name="Tc_u5BwTETxxUuxwXE4jiQOpA_30_5"/>
      <w:bookmarkStart w:id="400" w:name="Tc_vw0yUdGg9kyu9Jc37tx20g_30_2"/>
      <w:bookmarkStart w:id="401" w:name="Tc_OJ70iLzwKkiPUJUbMSOARw_30_0"/>
      <w:bookmarkStart w:id="402" w:name="Tc_6WsOskRuHECY8SyXmsZY7g_29_11"/>
      <w:bookmarkStart w:id="403" w:name="Tc_WX58i6GZjE-138Tkg9RPLA_29_8"/>
      <w:bookmarkStart w:id="404" w:name="Tc_Ua75bihns0S7M5PNlFtqmQ_29_5"/>
      <w:bookmarkStart w:id="405" w:name="Tc_vJHowqj1wkqvFs216WrzuQ_29_2"/>
      <w:bookmarkStart w:id="406" w:name="Tc_pvwG7kjc6EC8m2eM3P_5UA_29_0"/>
      <w:bookmarkStart w:id="407" w:name="Tc_0jd_R0_ywE-8NTVpAwgdBw_28_0"/>
      <w:bookmarkStart w:id="408" w:name="Tc__iSFzzvmW0-zoaDHoD_AMA_27_11"/>
      <w:bookmarkStart w:id="409" w:name="Tc_M_5KaRZfDkuep97byuSqwg_27_8"/>
      <w:bookmarkStart w:id="410" w:name="Tc_rPZsNUzePkKu__yGhhiftg_27_5"/>
      <w:bookmarkStart w:id="411" w:name="Tc_ckjoWV9sYUe_3Q4ClVz9DQ_27_2"/>
      <w:bookmarkStart w:id="412" w:name="Tc_evMkmXGfEkiX37BXIPFcbQ_27_0"/>
      <w:bookmarkStart w:id="413" w:name="Tc_Q0PMo5UGCUG-aM-kUnuFqg_26_0"/>
      <w:bookmarkStart w:id="414" w:name="Tc_ghYz-KgTnkKYZPD8HVFo6Q_25_11"/>
      <w:bookmarkStart w:id="415" w:name="Tc_a370iMtNRkK9X-13wlhc5Q_25_8"/>
      <w:bookmarkStart w:id="416" w:name="Tc_qae6sZfmrUSofZqWflbnuw_25_5"/>
      <w:bookmarkStart w:id="417" w:name="Tc_3AeqBlEaRECMjup4DJOEow_25_2"/>
      <w:bookmarkStart w:id="418" w:name="Tc_lI8nJVZONkWNgjs4tsqo5Q_25_0"/>
      <w:bookmarkStart w:id="419" w:name="Tc_uKVsf8_Sa0aU7qmuQN_SNg_24_0"/>
      <w:bookmarkStart w:id="420" w:name="Tc_RsJPlOWgg0OePPGUocvxfg_23_11"/>
      <w:bookmarkStart w:id="421" w:name="Tc_1hABaH_29EigUi_jGVON9w_23_9"/>
      <w:bookmarkStart w:id="422" w:name="Tc_qckV74FEJkqEsjhNQir_bg_23_8"/>
      <w:bookmarkStart w:id="423" w:name="Tc_adQo42KPlU-z-DriVmAxjQ_23_5"/>
      <w:bookmarkStart w:id="424" w:name="Tc_o631OR6DK0y_30OKTLlpcQ_23_2"/>
      <w:bookmarkStart w:id="425" w:name="Tc_NPgzsl6YtkSfRJk54bIqfQ_23_0"/>
      <w:bookmarkStart w:id="426" w:name="Tc_M3vPlx3XeEim2vcOiWg8ow_22_0"/>
      <w:bookmarkStart w:id="427" w:name="Tc_WVuMhRXNtUiobOeBhSFf-A_21_0"/>
      <w:bookmarkStart w:id="428" w:name="Tc_Cm6LzAuFvUmtYNZRiJvk4A_20_0"/>
      <w:bookmarkStart w:id="429" w:name="Tc_0XTSSGGf5E-hjuMUqscbJw_19_2"/>
      <w:bookmarkStart w:id="430" w:name="Tc_cgeR9cDwS0-phBJwm8bTBA_18_11"/>
      <w:bookmarkStart w:id="431" w:name="Tc_rNc6OYy7d066VN-EcP05xg_18_8"/>
      <w:bookmarkStart w:id="432" w:name="Tc_FO_KZ8xrokSM29UwGgI-Bg_18_5"/>
      <w:bookmarkStart w:id="433" w:name="Tc_jpIqNkpSEkSd84pFGUXmIg_18_2"/>
      <w:bookmarkStart w:id="434" w:name="Tc_pSnY2DBcMUKG-AiGfxaRlg_17_11"/>
      <w:bookmarkStart w:id="435" w:name="Tc_-JdC0jh0OEq2ak-PvupmfA_17_8"/>
      <w:bookmarkStart w:id="436" w:name="Tc_lZ_qxcEf_UuVNzaULiZqcw_17_5"/>
      <w:bookmarkStart w:id="437" w:name="Tc_TK9eQlsF3UukgZi0Eqr-7g_17_2"/>
      <w:bookmarkStart w:id="438" w:name="Tc_NbeSB1qQ5kG6vQsBD-G1lA_14_11"/>
      <w:bookmarkStart w:id="439" w:name="Tc_rH59ViyglUOM8BsaeNp8XA_14_8"/>
      <w:bookmarkStart w:id="440" w:name="Tc_oZJLnsdxBECciKbFiDLOcA_14_5"/>
      <w:bookmarkStart w:id="441" w:name="Tc_2ruJNNMV1UKN0BU7tlyObw_14_2"/>
      <w:bookmarkStart w:id="442" w:name="Tc_7-inyjmTXkGX9LvckvxJLw_14_0"/>
      <w:bookmarkStart w:id="443" w:name="Tc_g5sd-RIGIkWIzakI95A3DA_13_11"/>
      <w:bookmarkStart w:id="444" w:name="Tc_Jh_Z31-Iz0OjKFfpKGInTw_13_8"/>
      <w:bookmarkStart w:id="445" w:name="Tc_ztxUXlKvr0mkLHhPnF13iQ_13_5"/>
      <w:bookmarkStart w:id="446" w:name="Tc_K6dmWuCPfUSy6tWwgLir3w_13_2"/>
      <w:bookmarkStart w:id="447" w:name="Tc_jh5468fPfUeTxBkAYXWHUg_13_0"/>
      <w:bookmarkStart w:id="448" w:name="Tc_EqGwLvQfF06iveFro7pxfQ_12_0"/>
      <w:bookmarkStart w:id="449" w:name="Tc_OUbINQWzLU2_053rUM8_Sw_11_11"/>
      <w:bookmarkStart w:id="450" w:name="Tc_0WHozB5M5USx-fE48fayyQ_11_8"/>
      <w:bookmarkStart w:id="451" w:name="Tc_rL2oS-DDXkq8qtCw4Gr8_A_11_5"/>
      <w:bookmarkStart w:id="452" w:name="Tc_NtwAnp9PSk2bieaOM8Dotw_11_2"/>
      <w:bookmarkStart w:id="453" w:name="Tc_ilcWX7KQFkWUemRw0GAQpg_11_0"/>
      <w:bookmarkStart w:id="454" w:name="Tc_3LthRdnrhkCvGBalpMMvLQ_10_0"/>
      <w:bookmarkStart w:id="455" w:name="Tc_gkLbNu3Mr02q1RMC6vMIUA_9_11"/>
      <w:bookmarkStart w:id="456" w:name="Tc_4nhhYliY6kGNGYMSP9QfbQ_9_8"/>
      <w:bookmarkStart w:id="457" w:name="Tc_GQhRCDRV_kK1jqy0tyzJ-A_9_5"/>
      <w:bookmarkStart w:id="458" w:name="Tc_wUkGmXSatUapUbaIk6-3lA_9_2"/>
      <w:bookmarkStart w:id="459" w:name="Tc_Ged_Y30DEUiotQ1mLX2a3g_9_0"/>
      <w:bookmarkStart w:id="460" w:name="Tc_e_Hll6P52kWVmQwZkNhpOA_8_0"/>
      <w:bookmarkStart w:id="461" w:name="Tc_nhX3llyha0WQt5i5t_72kQ_7_11"/>
      <w:bookmarkStart w:id="462" w:name="Tc_XBh-hL_VmECOk7N2QJY2Sg_7_8"/>
      <w:bookmarkStart w:id="463" w:name="Tc_uHuaDpxwlkqvUP6rcu3JTA_7_5"/>
      <w:bookmarkStart w:id="464" w:name="Tc_M9oKat2lT0q29bChql6tEw_7_2"/>
      <w:bookmarkStart w:id="465" w:name="Tc_SsqEDf_VXkKUVwC7ZmsiIg_7_0"/>
      <w:bookmarkStart w:id="466" w:name="Tc_BI2LUR-CoUCqZ584kh27BA_6_0"/>
      <w:bookmarkStart w:id="467" w:name="Tc_4yX3-G-NXU-0SV2v6zQPsg_5_0"/>
      <w:bookmarkStart w:id="468" w:name="Tc_uX8S14msOU2jU17f9B4aHQ_4_0"/>
      <w:bookmarkStart w:id="469" w:name="Tc_dNp8AQJ2UEi5bvpm_73NyA_3_2"/>
      <w:bookmarkStart w:id="470" w:name="Tc_o4n3oIrbi0GoEuwZbtIwhg_2_11"/>
      <w:bookmarkStart w:id="471" w:name="Tc_cHu7tXXU6UyZsm-laejNQw_2_8"/>
      <w:bookmarkStart w:id="472" w:name="Tc_MH3OiMTR5EWgj3_s_xPfzQ_2_5"/>
      <w:bookmarkStart w:id="473" w:name="Tc_F1pM-bQiVU2DjFD3LgoD4Q_2_2"/>
      <w:bookmarkStart w:id="474" w:name="Tc_BOFQbV2ypUam8Ylr2NX2Iw_1_11"/>
      <w:bookmarkStart w:id="475" w:name="Tc_9EWQ31-5g0axNY0bCQ1QSw_1_8"/>
      <w:bookmarkStart w:id="476" w:name="Tc_uSoUz6OeN0257_DmgMJ3Tg_1_5"/>
      <w:bookmarkStart w:id="477" w:name="Tc_P1ydpKDkBk6nn4HkG3yGCQ_1_2"/>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Times;serif" w:hAnsi="Times New Roman;Times;serif"/>
          <w:b/>
          <w:sz w:val="20"/>
        </w:rPr>
        <w:t>(5)  Marketable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211"/>
        <w:gridCol w:w="781"/>
        <w:gridCol w:w="326"/>
        <w:gridCol w:w="362"/>
        <w:gridCol w:w="983"/>
        <w:gridCol w:w="326"/>
        <w:gridCol w:w="409"/>
        <w:gridCol w:w="936"/>
        <w:gridCol w:w="326"/>
        <w:gridCol w:w="211"/>
        <w:gridCol w:w="888"/>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616200" cy="175260"/>
                      <wp:effectExtent l="0" t="0" r="0" b="0"/>
                      <wp:wrapNone/>
                      <wp:docPr id="80" name="Frame80"/>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9870" cy="175260"/>
                      <wp:effectExtent l="0" t="0" r="0" b="0"/>
                      <wp:wrapNone/>
                      <wp:docPr id="85" name="Frame8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24205" cy="175260"/>
                      <wp:effectExtent l="0" t="0" r="0" b="0"/>
                      <wp:wrapNone/>
                      <wp:docPr id="86" name="Frame86"/>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9715" cy="175260"/>
                      <wp:effectExtent l="0" t="0" r="0" b="0"/>
                      <wp:wrapNone/>
                      <wp:docPr id="88" name="Frame8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94360" cy="175260"/>
                      <wp:effectExtent l="0" t="0" r="0" b="0"/>
                      <wp:wrapNone/>
                      <wp:docPr id="89" name="Frame89"/>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3880" cy="175260"/>
                      <wp:effectExtent l="0" t="0" r="0" b="0"/>
                      <wp:wrapNone/>
                      <wp:docPr id="92" name="Frame9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186,628</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186,931</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67,183</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67,417</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253,811</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254,348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284,286</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284,414</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68,452</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68,531</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352,738</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352,945</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606,549</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607,293</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185,855</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102,331</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102,503</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287,719</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288,358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336,350</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336,646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72,139</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71,921</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408,489</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408,567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696,208</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696,925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Unrealized losses are generally attributable to changes in interest rates. The aggregate fair value of marketable securities held by the Company in an unrealized loss position as of June 30, 2025 and December 31, 2024 was $153.2 million and $142.5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June 30,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Marketable securities include $6.2 million and $6.1 million in accrued interest at June 30, 2025 and December 31,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2025 and December 31, 2024,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June 30, 2025, the IPR&amp;D asset related to the anti-KIT program had not reached technological feasibility nor did the asset have alternative future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Other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$9.2 million and $9.6 million at June 30, 2025 and December 31, 2024, respectively.</w:t>
      </w:r>
    </w:p>
    <w:p>
      <w:pPr>
        <w:pStyle w:val="TextBody"/>
        <w:bidi w:val="0"/>
        <w:spacing w:before="0" w:after="240"/>
        <w:ind w:left="0" w:right="0" w:hanging="0"/>
        <w:jc w:val="left"/>
        <w:rPr>
          <w:rFonts w:ascii="Times New Roman;Times;serif" w:hAnsi="Times New Roman;Times;serif"/>
          <w:b/>
          <w:sz w:val="20"/>
        </w:rPr>
      </w:pPr>
      <w:bookmarkStart w:id="478" w:name="Tc_BpiWtprAJUivqanoIgzOpA_9_5"/>
      <w:bookmarkStart w:id="479" w:name="Tc_aw9Y9mEAoUqIhSPRiDA8Bw_9_2"/>
      <w:bookmarkStart w:id="480" w:name="Tc_FPjB3g4G8EuEjWLR1XsItg_9_0"/>
      <w:bookmarkStart w:id="481" w:name="Tc_LG_NF_kmeUigW-VY7Lts8A_8_0"/>
      <w:bookmarkStart w:id="482" w:name="Tc_4aPPmLrASUu9ni5DI0q8Mw_7_0"/>
      <w:bookmarkStart w:id="483" w:name="Tc_u_rb-kgqyEaM4hL16JXyMQ_6_3"/>
      <w:bookmarkStart w:id="484" w:name="Tc_80_y0HE6lUCC-PBiPSthcg_6_0"/>
      <w:bookmarkStart w:id="485" w:name="Tc_Wv-4-hJcH0yp1FS6U7LeWA_5_0"/>
      <w:bookmarkStart w:id="486" w:name="Tc_h0_WKeyWC02DFQbzjh1MSA_4_5"/>
      <w:bookmarkStart w:id="487" w:name="Tc_eFL4eHi3IUKb0aJqSsAsDQ_4_2"/>
      <w:bookmarkStart w:id="488" w:name="Tc_FdPBsW0Ov0e7QwiqenQdjw_4_0"/>
      <w:bookmarkStart w:id="489" w:name="Tc__SQduTmtPUmiNPfZryhAlw_3_2"/>
      <w:bookmarkStart w:id="490" w:name="Tc_GYTkTeSDqUSnfg5Q_9978Q_2_5"/>
      <w:bookmarkStart w:id="491" w:name="Tc_QBKUBgiNOUCQlrQVjV2YRA_2_2"/>
      <w:bookmarkStart w:id="492" w:name="Tc_gIMZfJqlHk6yiUOM19bwqw_1_5"/>
      <w:bookmarkStart w:id="493" w:name="Tc_T_DOHXLffUCHPOy7xSFOLQ_1_2"/>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rFonts w:ascii="Times New Roman;Times;serif" w:hAnsi="Times New Roman;Times;serif"/>
          <w:b/>
          <w:sz w:val="20"/>
        </w:rPr>
        <w:t>(8)  Other Long-Term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060" w:type="dxa"/>
        <w:jc w:val="left"/>
        <w:tblInd w:w="0" w:type="dxa"/>
        <w:tblLayout w:type="fixed"/>
        <w:tblCellMar>
          <w:top w:w="0" w:type="dxa"/>
          <w:left w:w="0" w:type="dxa"/>
          <w:bottom w:w="0" w:type="dxa"/>
          <w:right w:w="0" w:type="dxa"/>
        </w:tblCellMar>
      </w:tblPr>
      <w:tblGrid>
        <w:gridCol w:w="4486"/>
        <w:gridCol w:w="326"/>
        <w:gridCol w:w="211"/>
        <w:gridCol w:w="571"/>
        <w:gridCol w:w="326"/>
        <w:gridCol w:w="271"/>
        <w:gridCol w:w="869"/>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848610" cy="175260"/>
                      <wp:effectExtent l="0" t="0" r="0" b="0"/>
                      <wp:wrapNone/>
                      <wp:docPr id="93" name="Frame93"/>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2085" cy="175260"/>
                      <wp:effectExtent l="0" t="0" r="0" b="0"/>
                      <wp:wrapNone/>
                      <wp:docPr id="98" name="Frame9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51815" cy="175260"/>
                      <wp:effectExtent l="0" t="0" r="0" b="0"/>
                      <wp:wrapNone/>
                      <wp:docPr id="99" name="Frame9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6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3,473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and $0.9 million in other income related to the sale of these tax benefits for the six months ended June 30, 2025 and June 30,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Stockholders’ Equity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Company filed an automatic shelf registration statement with the SEC to register for sale any combination of the types of securities described in the shelf registration statement, including shares of its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26, 2024, the Company entered into a controlled equity offering sales agreement (“ATM Agreement”) with Cantor Fitzgerald &amp; Co. (“Cantor”) to allow the Company to issue and sell shares of its common stock from time to time through Cantor, acting as agent. Also on February 26, 2024, the Company terminated its pre-existing controlled equity offering sale agreement dated May 19, 2016 with Cantor. At June 30, 2025, the Company had registered $300.0 million of its common stock to be sold pursuant to the Company’s ATM Agreement, all of which remained unsold as of that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2024, the Company issued 9,798,000 shares of its common stock in an underwritten public offering resulting in net proceeds to the Company of $432.3 million, after deducting underwriting fees and offering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494" w:name="Tc_ypBin9mD20-rb1X3eW_9tw_17_16"/>
      <w:bookmarkStart w:id="495" w:name="Tc_LdkJ0yzg0U28BoX_ISVYpg_17_13"/>
      <w:bookmarkStart w:id="496" w:name="Tc_Orizxy6Wdk-4U9mpqO1hMA_17_10"/>
      <w:bookmarkStart w:id="497" w:name="Tc_x3vZuTux0Uy-2XBt_sAVOw_17_7"/>
      <w:bookmarkStart w:id="498" w:name="Tc_X7yVnuE0LEChtkWq7sPzcQ_17_4"/>
      <w:bookmarkStart w:id="499" w:name="Tc_HOdsjhBnEUSp7k9r-7zGjw_17_0"/>
      <w:bookmarkStart w:id="500" w:name="Tc_xF0vS-tYfU2eSl3VIxiHrg_16_11"/>
      <w:bookmarkStart w:id="501" w:name="Tc_4EJ-8A2J3EaUHtHw_3c30Q_16_8"/>
      <w:bookmarkStart w:id="502" w:name="Tc_RE1tKppClUS2U2-E42iNUw_16_5"/>
      <w:bookmarkStart w:id="503" w:name="Tc_YqYiJaIBSUSnMJhl2axlKQ_16_2"/>
      <w:bookmarkStart w:id="504" w:name="Tc_ggpy_nRQnEyTihhmeuRRGQ_16_0"/>
      <w:bookmarkStart w:id="505" w:name="Tc_Qs-T4D3OGUmjbGocXuM5Tw_15_14"/>
      <w:bookmarkStart w:id="506" w:name="Tc_UD-4xQ-PB0CW3DRy165ArQ_15_8"/>
      <w:bookmarkStart w:id="507" w:name="Tc_jawvw5S-O0a6SlZphZNP3w_15_5"/>
      <w:bookmarkStart w:id="508" w:name="Tc_OWAzbhqMSUyn0dP82_Rrew_15_2"/>
      <w:bookmarkStart w:id="509" w:name="Tc_zdxuruVkuk6n8Qf71Pv7wg_15_0"/>
      <w:bookmarkStart w:id="510" w:name="Tc_ria4kWa08kGw-SS2kuOskw_14_14"/>
      <w:bookmarkStart w:id="511" w:name="Tc_2bRVW1uK0UmEXO5Ta27itw_14_11"/>
      <w:bookmarkStart w:id="512" w:name="Tc_VeVdXxjL-02d6JCCJNjXRg_14_5"/>
      <w:bookmarkStart w:id="513" w:name="Tc_O2qUufwtx0u4Wy5suv8a3A_14_2"/>
      <w:bookmarkStart w:id="514" w:name="Tc_5z1vUy9oy02D9VjHrc1EWg_14_0"/>
      <w:bookmarkStart w:id="515" w:name="Tc_9jYIa3CdjE-28lpN6U_DfQ_13_14"/>
      <w:bookmarkStart w:id="516" w:name="Tc_rTSJWfUG6U-q6pkYhyJUhQ_13_11"/>
      <w:bookmarkStart w:id="517" w:name="Tc_q7__A1334EK5_hLbcIiZVw_13_5"/>
      <w:bookmarkStart w:id="518" w:name="Tc_gIAZ4VWabk-ZqaILocomXA_13_0"/>
      <w:bookmarkStart w:id="519" w:name="Tc__WCifUbSUkeV1my-4msakg_12_16"/>
      <w:bookmarkStart w:id="520" w:name="Tc_U_cyVNoqskKSdzieFOz5pQ_12_13"/>
      <w:bookmarkStart w:id="521" w:name="Tc_q-_a8bA8_0ejGJyexl0UOg_12_10"/>
      <w:bookmarkStart w:id="522" w:name="Tc_-acY-Qc3JUS3GLnVNbGPEQ_12_7"/>
      <w:bookmarkStart w:id="523" w:name="Tc_R31LoiccTUed4mV5UOwDtA_12_4"/>
      <w:bookmarkStart w:id="524" w:name="Tc_HlzZy8qSUkqVTbYQT1jXOQ_12_0"/>
      <w:bookmarkStart w:id="525" w:name="Tc_ghbehcAmT0uXNlyBgAsMNA_11_11"/>
      <w:bookmarkStart w:id="526" w:name="Tc_sbxwkGPGckSLo8lPOOMcNA_11_8"/>
      <w:bookmarkStart w:id="527" w:name="Tc_n0GEgr0Cxkmu58uC_rJXgA_11_5"/>
      <w:bookmarkStart w:id="528" w:name="Tc_wR9_ilRtxUeaNsN657g0Cg_11_2"/>
      <w:bookmarkStart w:id="529" w:name="Tc_Mqhdl26-0UOC1vWrBPdi_g_11_0"/>
      <w:bookmarkStart w:id="530" w:name="Tc_MY9u1pmxgkeg1JKO8ScMoA_10_14"/>
      <w:bookmarkStart w:id="531" w:name="Tc_lYUycPUynEOtEUDa39434Q_10_8"/>
      <w:bookmarkStart w:id="532" w:name="Tc_oZFVG_LnJEm3mjKou6SCjA_10_5"/>
      <w:bookmarkStart w:id="533" w:name="Tc_xeKuaka9s0muXCZlX7zRCw_10_2"/>
      <w:bookmarkStart w:id="534" w:name="Tc_bbqjK-0SHEaEaEvYHGMi3g_10_0"/>
      <w:bookmarkStart w:id="535" w:name="Tc_9jX5PqirZEORf6qAyOdW3Q_9_14"/>
      <w:bookmarkStart w:id="536" w:name="Tc_F_6D17SOL0-oegV6qrq1yw_9_11"/>
      <w:bookmarkStart w:id="537" w:name="Tc_AY2jceNWVU-OOt_Uv1Yo5A_9_5"/>
      <w:bookmarkStart w:id="538" w:name="Tc_cTxsoWQ3_U2PST3YUNcgrw_9_2"/>
      <w:bookmarkStart w:id="539" w:name="Tc_BEgaFdcuBUC7IXmqCJ4k1w_9_0"/>
      <w:bookmarkStart w:id="540" w:name="Tc_K0tbs8K10UCQdF03Ay1FAw_8_14"/>
      <w:bookmarkStart w:id="541" w:name="Tc_g-0LT7r8E0G93uBgIKJsCQ_8_11"/>
      <w:bookmarkStart w:id="542" w:name="Tc_75MgC_UHQUiqnT3HeltlWw_8_0"/>
      <w:bookmarkStart w:id="543" w:name="Tc_QR_abYaZlkaUcxH5WKR4VQ_7_14"/>
      <w:bookmarkStart w:id="544" w:name="Tc_ycMh0ZhrLkqjSR9OGobU_w_7_11"/>
      <w:bookmarkStart w:id="545" w:name="Tc_3VweoF853kGmfAyNLzlOHQ_7_5"/>
      <w:bookmarkStart w:id="546" w:name="Tc_JfQWRyaq40-boOGmg3JGbA_7_0"/>
      <w:bookmarkStart w:id="547" w:name="Tc_hTUVx4Vn9UWVj94nC_6TEQ_6_16"/>
      <w:bookmarkStart w:id="548" w:name="Tc_uEfYmwsN4kqXKWg20i0Rvg_6_13"/>
      <w:bookmarkStart w:id="549" w:name="Tc_eggdzplB4kqt1FKV2ZmHBA_6_10"/>
      <w:bookmarkStart w:id="550" w:name="Tc_Kz8HzrZnzEyZt9JgOvNklA_6_7"/>
      <w:bookmarkStart w:id="551" w:name="Tc_gUMQchH4aUKGmTVnfF3ymA_6_4"/>
      <w:bookmarkStart w:id="552" w:name="Tc_MJRWEjcnFEiDJr5UnPrU3A_6_0"/>
      <w:bookmarkStart w:id="553" w:name="Tc_BMCw-8jI90-5z9Av5YZZig_5_2"/>
      <w:bookmarkStart w:id="554" w:name="Tc_8sjiSxa7pkOxynjqswBAXQ_4_16"/>
      <w:bookmarkStart w:id="555" w:name="Tc_XmqmCTB72kS6M5gmNS7uKw_4_13"/>
      <w:bookmarkStart w:id="556" w:name="Tc_a3ky0R54Ukun6R66CEq2Hw_4_10"/>
      <w:bookmarkStart w:id="557" w:name="Tc_-LFJpn5ZE0anVn4q7cHYPQ_4_7"/>
      <w:bookmarkStart w:id="558" w:name="Tc_9SuEIXZoNkWmqZojLc-8ew_4_4"/>
      <w:bookmarkStart w:id="559" w:name="Tc_3-wue6gLMUCFkjVTbzyg_Q_4_2"/>
      <w:bookmarkStart w:id="560" w:name="Tc_a1itPsJYI0e5GB5w0pe-FQ_3_16"/>
      <w:bookmarkStart w:id="561" w:name="Tc_UN1SRYU4dU-f5CGIp8cnfQ_3_13"/>
      <w:bookmarkStart w:id="562" w:name="Tc_ZsXdtK7o6U-h8h6aGvQDKA_3_10"/>
      <w:bookmarkStart w:id="563" w:name="Tc_AyKrW5aKJ06Zja0-MfEjFg_3_7"/>
      <w:bookmarkStart w:id="564" w:name="Tc_0EQTfgRxsUOatSWrg8axsg_3_4"/>
      <w:bookmarkStart w:id="565" w:name="Tc_1q5KXURTikyzfv-G_TkVJQ_3_2"/>
      <w:bookmarkStart w:id="566" w:name="Tc_UrpN4pLt30KCWCUHl9Ad5A_2_16"/>
      <w:bookmarkStart w:id="567" w:name="Tc_Rc3n6U9oiU2wdLvPeKMrQg_2_10"/>
      <w:bookmarkStart w:id="568" w:name="Tc_upMUTJRss06i-5hdIhr4Qg_2_7"/>
      <w:bookmarkStart w:id="569" w:name="Tc_G48F5pJMgEuCs59Vywr2-Q_2_4"/>
      <w:bookmarkStart w:id="570" w:name="Tc_IqYMri5ac0GhC_pSDPEKGw_2_2"/>
      <w:bookmarkStart w:id="571" w:name="Tc_3vf9O05aaEq3RVdNvVJ5yw_1_10"/>
      <w:bookmarkStart w:id="572" w:name="_72c75577_e744_4a8c_9098_303a744f0c65"/>
      <w:bookmarkStart w:id="573" w:name="Tc_smEhZeweOEOMOD2sXYgmZQ_16_16"/>
      <w:bookmarkStart w:id="574" w:name="Tc_kXIH5fGvN0KsGISdEp_Upg_16_13"/>
      <w:bookmarkStart w:id="575" w:name="Tc_tH1o455fKEyXzYzdge-qBw_16_10"/>
      <w:bookmarkStart w:id="576" w:name="Tc_lfrEnIGdpUyLS_VnYmerKQ_16_7"/>
      <w:bookmarkStart w:id="577" w:name="Tc_p6HC73P1s0yaPND3lFVUBg_16_4"/>
      <w:bookmarkStart w:id="578" w:name="Tc_9YN_Ybr9p0uZN5va1UZ6qg_16_0"/>
      <w:bookmarkStart w:id="579" w:name="Tc_BdpJWmZtk0ej7ndk38P-Sg_15_11"/>
      <w:bookmarkStart w:id="580" w:name="Tc_P-m_iAm6MUuH5x6I-yRVjA_15_8"/>
      <w:bookmarkStart w:id="581" w:name="Tc_mnrSYxudxk6hxz1Kty-pMQ_15_5"/>
      <w:bookmarkStart w:id="582" w:name="Tc_pkrv2OFIQUS2zVv5QKtACw_15_2"/>
      <w:bookmarkStart w:id="583" w:name="Tc_wjoROvWTKUqfZqDbh13k9A_15_0"/>
      <w:bookmarkStart w:id="584" w:name="Tc_Gow_5wJhYUWIJzEdfYs2jw_14_14"/>
      <w:bookmarkStart w:id="585" w:name="Tc_5kZc6UhfpEyxjLKNVbT9Lg_14_8"/>
      <w:bookmarkStart w:id="586" w:name="Tc_v6Bi87RIv0GF_GZNL4NEAA_14_5"/>
      <w:bookmarkStart w:id="587" w:name="Tc_GpRNkBYelUKnfEWxQR0lyQ_14_2"/>
      <w:bookmarkStart w:id="588" w:name="Tc_3jaaPgK480SQ4VrGgOyD0g_14_0"/>
      <w:bookmarkStart w:id="589" w:name="Tc_D-YE9ncFbk650SGvfGjKhQ_13_14"/>
      <w:bookmarkStart w:id="590" w:name="Tc_uedze84Mu0uE5MKYFBwbtQ_13_11"/>
      <w:bookmarkStart w:id="591" w:name="Tc_vJy-hDn1o0O9Jb_ss1kIdg_13_5"/>
      <w:bookmarkStart w:id="592" w:name="Tc_KsqIYdmTBUGMfnvXwfy2Ew_13_2"/>
      <w:bookmarkStart w:id="593" w:name="Tc_LBXt4AYaIUqeBBqELeHnqQ_13_0"/>
      <w:bookmarkStart w:id="594" w:name="Tc_W5POjoIv80q_RR95hPNVCA_12_14"/>
      <w:bookmarkStart w:id="595" w:name="Tc_VeKaWwjyb0yoGuzP-GKSSQ_12_11"/>
      <w:bookmarkStart w:id="596" w:name="Tc_WmnszTbq0Euw92C0R523UA_12_5"/>
      <w:bookmarkStart w:id="597" w:name="Tc_UTp7tpnOPkSHxmV0eXqZng_12_0"/>
      <w:bookmarkStart w:id="598" w:name="Tc_A2e821yAiEWVfIMNLzQ_kg_11_16"/>
      <w:bookmarkStart w:id="599" w:name="Tc_rGvwnjjQ50muwqOWep1R8A_11_13"/>
      <w:bookmarkStart w:id="600" w:name="Tc_J9uzCF8nEki05-FELAx5oA_11_10"/>
      <w:bookmarkStart w:id="601" w:name="Tc_u9jMkSGZ4kSeGhjs4JOjnQ_11_7"/>
      <w:bookmarkStart w:id="602" w:name="Tc_1p1G1WLcgUWlFG-6SXhnfw_11_4"/>
      <w:bookmarkStart w:id="603" w:name="Tc_-x1jT6iFh0ibB5_tpXHrkQ_11_0"/>
      <w:bookmarkStart w:id="604" w:name="Tc_jDUILmmPWEeEJjwPNHJyBw_10_11"/>
      <w:bookmarkStart w:id="605" w:name="Tc_qJiXA111mUOEsss1mgMFXg_10_8"/>
      <w:bookmarkStart w:id="606" w:name="Tc_pll_w7s1V0yta0a0WkalFA_10_5"/>
      <w:bookmarkStart w:id="607" w:name="Tc_YZbHvLYmiUKL_EBH13G2Yw_10_2"/>
      <w:bookmarkStart w:id="608" w:name="Tc_9RYKMDq7w0Kwrb_dfCrwmg_10_0"/>
      <w:bookmarkStart w:id="609" w:name="Tc_2AQOXuwCyEOqQxyxznsKWQ_9_14"/>
      <w:bookmarkStart w:id="610" w:name="Tc_b7Ue-p84uUSLp_4DMClnvA_9_8"/>
      <w:bookmarkStart w:id="611" w:name="Tc_6ZVee5wcPUm8iZkwYKru9g_9_5"/>
      <w:bookmarkStart w:id="612" w:name="Tc_rQSKeARa8kGLQu1iy3FiZQ_9_2"/>
      <w:bookmarkStart w:id="613" w:name="Tc_OywBtlGEAEiON84nnbGROw_9_0"/>
      <w:bookmarkStart w:id="614" w:name="Tc_1gwC_bWt00aYdys_dXhsKQ_8_14"/>
      <w:bookmarkStart w:id="615" w:name="Tc_AC3JWIxoeE6neBAt0b6Hig_8_11"/>
      <w:bookmarkStart w:id="616" w:name="Tc_dJFNSjbtPkSNF-9M4Bkb7w_8_5"/>
      <w:bookmarkStart w:id="617" w:name="Tc_W6afMrtpskG4hdKP3uGknw_8_2"/>
      <w:bookmarkStart w:id="618" w:name="Tc_dSJnKxJY806LELNcgNWVKg_8_0"/>
      <w:bookmarkStart w:id="619" w:name="Tc_qsCOxUfzKEO10lDg4U--wA_7_14"/>
      <w:bookmarkStart w:id="620" w:name="Tc_bejD18wttkuw76ksZXn4IA_7_11"/>
      <w:bookmarkStart w:id="621" w:name="Tc_tzAJ_xIOKUK5_EAUfrxSMA_7_5"/>
      <w:bookmarkStart w:id="622" w:name="Tc_ywdsFkhSsUOjd2gCAiw3CQ_7_0"/>
      <w:bookmarkStart w:id="623" w:name="Tc_Z9J-hCahV0aIKSpowdbUvQ_6_16"/>
      <w:bookmarkStart w:id="624" w:name="Tc_tk-DarV2Ok-NjFFcMqTvcQ_6_13"/>
      <w:bookmarkStart w:id="625" w:name="Tc_2gVBjh3u60ab8Imf05Ka4w_6_10"/>
      <w:bookmarkStart w:id="626" w:name="Tc_53tnVWh9Pk2Q8AI2vCSSuQ_6_7"/>
      <w:bookmarkStart w:id="627" w:name="Tc_2Gf8uPRCEkan1VTMikM_cg_6_4"/>
      <w:bookmarkStart w:id="628" w:name="Tc_-0CD_NGVhUiR3YX-O5dMfA_6_0"/>
      <w:bookmarkStart w:id="629" w:name="Tc_dxotcN0C5kmRfMbPbxa2wA_5_2"/>
      <w:bookmarkStart w:id="630" w:name="Tc_K8r1Gzh6okuxBQSBLqkJCQ_4_16"/>
      <w:bookmarkStart w:id="631" w:name="Tc_9v0XvXIG00atv_n3JhRmXw_4_13"/>
      <w:bookmarkStart w:id="632" w:name="Tc_pTXS1vpqmUGYBriJsVDoSw_4_10"/>
      <w:bookmarkStart w:id="633" w:name="Tc_AwxaNygniUmvMw7z-DnZHQ_4_7"/>
      <w:bookmarkStart w:id="634" w:name="Tc_gUHy3RpsYkG6RzBa-wJABg_4_4"/>
      <w:bookmarkStart w:id="635" w:name="Tc_13Z9Mg8f8E6RyC6qdfgDfg_4_2"/>
      <w:bookmarkStart w:id="636" w:name="Tc_eq6h41CM90urBlHDvkewsw_3_16"/>
      <w:bookmarkStart w:id="637" w:name="Tc_SXrBZseVPEyk_gMjCEAhgw_3_13"/>
      <w:bookmarkStart w:id="638" w:name="Tc_hXzGYZpMFkCXb5EIii8p7w_3_10"/>
      <w:bookmarkStart w:id="639" w:name="Tc_B8UqFsi1uk2JrqdttdGDTQ_3_7"/>
      <w:bookmarkStart w:id="640" w:name="Tc_BXxPMh3l-EyCfWBYFPvvWw_3_4"/>
      <w:bookmarkStart w:id="641" w:name="Tc_TN2jWXTKPU6rtvEBhOrp_w_3_2"/>
      <w:bookmarkStart w:id="642" w:name="Tc_MZNrz_swpUmLJIeOwZ09AA_2_16"/>
      <w:bookmarkStart w:id="643" w:name="Tc_Qi5Lj1CPx0WxpTH049giTg_2_10"/>
      <w:bookmarkStart w:id="644" w:name="Tc_5s9rNpAu1EWZEZeDc_Agiw_2_7"/>
      <w:bookmarkStart w:id="645" w:name="Tc_6YiqFeQntketF9CgIH2M2A_2_4"/>
      <w:bookmarkStart w:id="646" w:name="Tc_l0EoSgInj0CLVxo4ulJgpg_2_2"/>
      <w:bookmarkStart w:id="647" w:name="Tc_Xny8XD4CHEmxwVZgNZll8A_1_10"/>
      <w:bookmarkStart w:id="648" w:name="_7de56773_b0be_4ffa_955c_22483496e9d1"/>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r>
        <w:rPr>
          <w:rFonts w:ascii="Times New Roman;Times;serif" w:hAnsi="Times New Roman;Times;serif"/>
          <w:sz w:val="20"/>
        </w:rPr>
        <w:t>The changes in Stockholders’ Equity during the three and six months ended June 30, 2025 and 2024 are summarized below:</w:t>
      </w:r>
    </w:p>
    <w:p>
      <w:pPr>
        <w:pStyle w:val="TextBody"/>
        <w:bidi w:val="0"/>
        <w:spacing w:before="0" w:after="0"/>
        <w:ind w:left="0" w:right="0" w:hanging="0"/>
        <w:jc w:val="left"/>
        <w:rPr/>
      </w:pPr>
      <w:r>
        <w:rPr/>
        <w:t>​</w:t>
      </w:r>
    </w:p>
    <w:tbl>
      <w:tblPr>
        <w:tblW w:w="10216" w:type="dxa"/>
        <w:jc w:val="left"/>
        <w:tblInd w:w="0" w:type="dxa"/>
        <w:tblLayout w:type="fixed"/>
        <w:tblCellMar>
          <w:top w:w="0" w:type="dxa"/>
          <w:left w:w="0" w:type="dxa"/>
          <w:bottom w:w="0" w:type="dxa"/>
          <w:right w:w="0" w:type="dxa"/>
        </w:tblCellMar>
      </w:tblPr>
      <w:tblGrid>
        <w:gridCol w:w="1741"/>
        <w:gridCol w:w="326"/>
        <w:gridCol w:w="1036"/>
        <w:gridCol w:w="326"/>
        <w:gridCol w:w="312"/>
        <w:gridCol w:w="514"/>
        <w:gridCol w:w="326"/>
        <w:gridCol w:w="211"/>
        <w:gridCol w:w="931"/>
        <w:gridCol w:w="326"/>
        <w:gridCol w:w="327"/>
        <w:gridCol w:w="889"/>
        <w:gridCol w:w="326"/>
        <w:gridCol w:w="211"/>
        <w:gridCol w:w="991"/>
        <w:gridCol w:w="32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105535" cy="175260"/>
                      <wp:effectExtent l="0" t="0" r="0" b="0"/>
                      <wp:wrapNone/>
                      <wp:docPr id="100" name="Frame10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2"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8120" cy="175260"/>
                      <wp:effectExtent l="0" t="0" r="0" b="0"/>
                      <wp:wrapNone/>
                      <wp:docPr id="104" name="Frame10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6390" cy="175260"/>
                      <wp:effectExtent l="0" t="0" r="0" b="0"/>
                      <wp:wrapNone/>
                      <wp:docPr id="105" name="Frame105"/>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1185" cy="175260"/>
                      <wp:effectExtent l="0" t="0" r="0" b="0"/>
                      <wp:wrapNone/>
                      <wp:docPr id="108"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645" cy="175260"/>
                      <wp:effectExtent l="0" t="0" r="0" b="0"/>
                      <wp:wrapNone/>
                      <wp:docPr id="110" name="Frame11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4515" cy="175260"/>
                      <wp:effectExtent l="0" t="0" r="0" b="0"/>
                      <wp:wrapNone/>
                      <wp:docPr id="111" name="Frame111"/>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9285" cy="175260"/>
                      <wp:effectExtent l="0" t="0" r="0" b="0"/>
                      <wp:wrapNone/>
                      <wp:docPr id="114" name="Frame11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2610" cy="175260"/>
                      <wp:effectExtent l="0" t="0" r="0" b="0"/>
                      <wp:wrapNone/>
                      <wp:docPr id="117" name="Frame1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21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66,374,549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9,642</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66,384,191</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2,308,367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702,981</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66,394,241</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2,317,621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655,406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9"/>
        <w:gridCol w:w="326"/>
        <w:gridCol w:w="1036"/>
        <w:gridCol w:w="326"/>
        <w:gridCol w:w="312"/>
        <w:gridCol w:w="514"/>
        <w:gridCol w:w="326"/>
        <w:gridCol w:w="211"/>
        <w:gridCol w:w="931"/>
        <w:gridCol w:w="326"/>
        <w:gridCol w:w="304"/>
        <w:gridCol w:w="912"/>
        <w:gridCol w:w="326"/>
        <w:gridCol w:w="211"/>
        <w:gridCol w:w="997"/>
        <w:gridCol w:w="326"/>
        <w:gridCol w:w="211"/>
        <w:gridCol w:w="891"/>
      </w:tblGrid>
      <w:tr>
        <w:trPr/>
        <w:tc>
          <w:tcPr>
            <w:tcW w:w="1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9" name="Frame1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8120" cy="175260"/>
                      <wp:effectExtent l="0" t="0" r="0" b="0"/>
                      <wp:wrapNone/>
                      <wp:docPr id="121" name="Frame12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26390" cy="175260"/>
                      <wp:effectExtent l="0" t="0" r="0" b="0"/>
                      <wp:wrapNone/>
                      <wp:docPr id="122" name="Frame122"/>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3040" cy="175260"/>
                      <wp:effectExtent l="0" t="0" r="0" b="0"/>
                      <wp:wrapNone/>
                      <wp:docPr id="127" name="Frame12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9120" cy="175260"/>
                      <wp:effectExtent l="0" t="0" r="0" b="0"/>
                      <wp:wrapNone/>
                      <wp:docPr id="128" name="Frame12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33095" cy="175260"/>
                      <wp:effectExtent l="0" t="0" r="0" b="0"/>
                      <wp:wrapNone/>
                      <wp:docPr id="131" name="Frame13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65785" cy="175260"/>
                      <wp:effectExtent l="0" t="0" r="0" b="0"/>
                      <wp:wrapNone/>
                      <wp:docPr id="134" name="Frame134"/>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center"/>
              <w:rPr/>
            </w:pPr>
            <w:r>
              <w:rPr/>
              <w:t>​</w:t>
            </w:r>
          </w:p>
        </w:tc>
        <w:tc>
          <w:tcPr>
            <w:tcW w:w="5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left"/>
              <w:rPr/>
            </w:pPr>
            <w:r>
              <w:rPr/>
              <w:t>​</w:t>
            </w:r>
          </w:p>
        </w:tc>
      </w:tr>
      <w:tr>
        <w:trPr/>
        <w:tc>
          <w:tcPr>
            <w:tcW w:w="1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60"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55,883,377</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1,823,168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429,171</w:t>
            </w:r>
          </w:p>
        </w:tc>
      </w:tr>
      <w:tr>
        <w:trPr/>
        <w:tc>
          <w:tcPr>
            <w:tcW w:w="1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229,171</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1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underwritten offering, net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9,798,000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432,288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1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r>
      <w:tr>
        <w:trPr/>
        <w:tc>
          <w:tcPr>
            <w:tcW w:w="1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1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17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65,910,548</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2,266,472</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838,613</w:t>
            </w:r>
          </w:p>
        </w:tc>
      </w:tr>
      <w:tr>
        <w:trPr/>
        <w:tc>
          <w:tcPr>
            <w:tcW w:w="1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370,119</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r>
      <w:tr>
        <w:trPr/>
        <w:tc>
          <w:tcPr>
            <w:tcW w:w="1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r>
      <w:tr>
        <w:trPr/>
        <w:tc>
          <w:tcPr>
            <w:tcW w:w="1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1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r>
      <w:tr>
        <w:trPr/>
        <w:tc>
          <w:tcPr>
            <w:tcW w:w="17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2024</w:t>
            </w:r>
          </w:p>
        </w:tc>
        <w:tc>
          <w:tcPr>
            <w:tcW w:w="326" w:type="dxa"/>
            <w:tcBorders/>
            <w:vAlign w:val="center"/>
          </w:tcPr>
          <w:p>
            <w:pPr>
              <w:pStyle w:val="TableContents"/>
              <w:bidi w:val="0"/>
              <w:spacing w:before="0" w:after="0"/>
              <w:ind w:left="0" w:right="0" w:hanging="0"/>
              <w:jc w:val="left"/>
              <w:rPr/>
            </w:pPr>
            <w:r>
              <w:rPr/>
              <w:t> </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66,280,667</w:t>
            </w:r>
          </w:p>
        </w:tc>
        <w:tc>
          <w:tcPr>
            <w:tcW w:w="326" w:type="dxa"/>
            <w:tcBorders/>
            <w:vAlign w:val="center"/>
          </w:tcPr>
          <w:p>
            <w:pPr>
              <w:pStyle w:val="TableContents"/>
              <w:bidi w:val="0"/>
              <w:spacing w:before="0" w:after="0"/>
              <w:ind w:left="0" w:right="0" w:hanging="0"/>
              <w:jc w:val="left"/>
              <w:rPr/>
            </w:pPr>
            <w:r>
              <w:rPr/>
              <w:t>​</w:t>
            </w:r>
          </w:p>
        </w:tc>
        <w:tc>
          <w:tcPr>
            <w:tcW w:w="31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2,277,824</w:t>
            </w:r>
          </w:p>
        </w:tc>
        <w:tc>
          <w:tcPr>
            <w:tcW w:w="326" w:type="dxa"/>
            <w:tcBorders/>
            <w:vAlign w:val="center"/>
          </w:tcPr>
          <w:p>
            <w:pPr>
              <w:pStyle w:val="TableContents"/>
              <w:bidi w:val="0"/>
              <w:spacing w:before="0" w:after="0"/>
              <w:ind w:left="0" w:right="0" w:hanging="0"/>
              <w:jc w:val="left"/>
              <w:rPr/>
            </w:pPr>
            <w:r>
              <w:rPr/>
              <w:t>​</w:t>
            </w:r>
          </w:p>
        </w:tc>
        <w:tc>
          <w:tcPr>
            <w:tcW w:w="30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(1,466,011)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single" w:sz="2" w:space="0" w:color="000000"/>
            </w:tcBorders>
            <w:tcMar>
              <w:top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813,659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9" w:name="Tc_CzWsSOtqTE-OMS5Ijw_PtQ_6_0"/>
      <w:bookmarkStart w:id="650" w:name="Tc_JmxWhnWwzEGcLdcEFK-auw_5_8"/>
      <w:bookmarkStart w:id="651" w:name="Tc_yIvM4ArRQUOTE18D6-8EAA_5_6"/>
      <w:bookmarkStart w:id="652" w:name="Tc_V8t5IvDRiUmQI27UaRtmAg_5_4"/>
      <w:bookmarkStart w:id="653" w:name="Tc_orHKnoOiyU2EE_TtvSq5Ag_5_2"/>
      <w:bookmarkStart w:id="654" w:name="Tc_dhlJj70FXUmk-pCTDxuiFQ_5_0"/>
      <w:bookmarkStart w:id="655" w:name="Tc_UVqMJhGntEKSIeUHJcgUaw_4_8"/>
      <w:bookmarkStart w:id="656" w:name="Tc_z0tVLju7sE6savOzOLXbng_4_6"/>
      <w:bookmarkStart w:id="657" w:name="Tc_C4iK598QD0e-odbeuj44zw_4_4"/>
      <w:bookmarkStart w:id="658" w:name="Tc_JdUJLl8zkkqSX65RssfxiQ_4_2"/>
      <w:bookmarkStart w:id="659" w:name="Tc_fN1iHs8F80ij7bUYb_xFtg_4_0"/>
      <w:bookmarkStart w:id="660" w:name="Tc_4j1kY8Zujk-FdvbqMnYdgw_3_8"/>
      <w:bookmarkStart w:id="661" w:name="Tc_VhfWjfEIK0eTmunHTgqaGw_3_6"/>
      <w:bookmarkStart w:id="662" w:name="Tc_cOvjPUxmDUa3pvfu__YJuA_3_4"/>
      <w:bookmarkStart w:id="663" w:name="Tc_uKSDF703sE2TefIVDGqoHA_3_0"/>
      <w:bookmarkStart w:id="664" w:name="Tc_U8pkuS0GWEqsN4yr-bnEqg_2_8"/>
      <w:bookmarkStart w:id="665" w:name="Tc_lsPChqwUx0yV3ZxgqxJ9jQ_2_6"/>
      <w:bookmarkStart w:id="666" w:name="Tc_WTAZbyV2OEmRDUKwE337hA_2_4"/>
      <w:bookmarkStart w:id="667" w:name="Tc_eAgAcIy3PEG63_2v5vg_JA_2_2"/>
      <w:bookmarkStart w:id="668" w:name="Tc_QLBqM1o7-UKlEwuR53SwPw_1_6"/>
      <w:bookmarkStart w:id="669" w:name="Tc_Ww7mUBBg5E2ng269FGledw_1_2"/>
      <w:bookmarkStart w:id="670" w:name="Tc_eak8LHBSs0-1DdGBvSJdEg_6_11"/>
      <w:bookmarkStart w:id="671" w:name="Tc_Utk2fvQKCUykDl-JByOIqg_6_8"/>
      <w:bookmarkStart w:id="672" w:name="Tc_bQjIfzDCdkWMby8ujk1mxg_6_5"/>
      <w:bookmarkStart w:id="673" w:name="Tc_zb4nKzXQr0KLHiYk-9jXng_6_2"/>
      <w:bookmarkStart w:id="674" w:name="Tc_Q_0lyDCZckKtl9iW5xWfUQ_6_0"/>
      <w:bookmarkStart w:id="675" w:name="Tc_-NB9vCEMIkW-ntlYShRqjw_5_0"/>
      <w:bookmarkStart w:id="676" w:name="Tc_xgC_nJRvjUGB30XkZF0MjA_4_11"/>
      <w:bookmarkStart w:id="677" w:name="Tc_r9RbZWvjPU-9-MVQPrfN4g_4_8"/>
      <w:bookmarkStart w:id="678" w:name="Tc_Qr6NBtrsR0amgFRBXIMF-w_4_5"/>
      <w:bookmarkStart w:id="679" w:name="Tc_tT-EWYtWykaUhvgIx_Y_JQ_4_2"/>
      <w:bookmarkStart w:id="680" w:name="Tc__Ueqk66im0acJMYdUa1npQ_4_0"/>
      <w:bookmarkStart w:id="681" w:name="Tc_8NMF3idzZ0uEiNEcHIxvKQ_3_8"/>
      <w:bookmarkStart w:id="682" w:name="Tc_bN3GHq4cx0yluF-e2fURHA_3_2"/>
      <w:bookmarkStart w:id="683" w:name="Tc_LdCC12--MEW0FZLWGXHhwQ_2_11"/>
      <w:bookmarkStart w:id="684" w:name="Tc_zmPgY_JP40Ga_HTTTz8kIQ_2_8"/>
      <w:bookmarkStart w:id="685" w:name="Tc_CPHydMGfW025v3ecr5_sxg_2_5"/>
      <w:bookmarkStart w:id="686" w:name="Tc_Ww7WcfdC5UeyrmMLacQwTw_2_2"/>
      <w:bookmarkStart w:id="687" w:name="Tc__VPnOxgI_k6JD3PYjtQCtg_1_8"/>
      <w:bookmarkStart w:id="688" w:name="Tc_PoG0bX9RvUq-b_mHWzi08A_1_2"/>
      <w:bookmarkStart w:id="689" w:name="_208d867e_68e7_470e_b6b2_7f922333a701"/>
      <w:bookmarkStart w:id="690" w:name="Tc_xSk8xa3yQEeAYJgdcz6szw_13_0"/>
      <w:bookmarkStart w:id="691" w:name="Tc_ivybmGHvNkWpFoDQe7w59A_12_4"/>
      <w:bookmarkStart w:id="692" w:name="Tc_AIS6v2slV0inlBeNS3NHgQ_12_0"/>
      <w:bookmarkStart w:id="693" w:name="Tc_EoU7t8sZuEChIjdw0RrlFw_11_4"/>
      <w:bookmarkStart w:id="694" w:name="Tc_yP7UF8uKmU-b63I6yHDJ_g_11_0"/>
      <w:bookmarkStart w:id="695" w:name="Tc_GqAENhfVakqAmoBLZvRjPQ_10_4"/>
      <w:bookmarkStart w:id="696" w:name="Tc_vblPhl_jvEeMyFMckEM-1A_10_0"/>
      <w:bookmarkStart w:id="697" w:name="Tc_VwN0swERWkuyPwpNxuhk1w_9_4"/>
      <w:bookmarkStart w:id="698" w:name="Tc_fqNswPfysEi4QgGmWaPCJw_9_0"/>
      <w:bookmarkStart w:id="699" w:name="Tc_s7jt9Wkgp0iLY4xp7GLKRA_8_4"/>
      <w:bookmarkStart w:id="700" w:name="Tc_3pr7_u062ku9RDb8XZuMng_8_0"/>
      <w:bookmarkStart w:id="701" w:name="Tc_i8mmlYa1z0-IdBuqhI3vOg_7_4"/>
      <w:bookmarkStart w:id="702" w:name="Tc_OCXBKl_U6E2qWjwo0V9Sbw_7_0"/>
      <w:bookmarkStart w:id="703" w:name="Tc_xzCrwxumCUSWd5_coLX0og_6_4"/>
      <w:bookmarkStart w:id="704" w:name="Tc_vOtgXtSeS0O2T71xkYNeFw_6_0"/>
      <w:bookmarkStart w:id="705" w:name="Tc_JQ1hPDVJT0qyYz7oy9_AbQ_5_7"/>
      <w:bookmarkStart w:id="706" w:name="Tc_MwF_9FipXUOq24pEc4MApg_5_4"/>
      <w:bookmarkStart w:id="707" w:name="Tc_r8o80WDhr02OpwsIA_wAsw_5_2"/>
      <w:bookmarkStart w:id="708" w:name="Tc_s3G3HusecUm0PqIz5leQxQ_4_7"/>
      <w:bookmarkStart w:id="709" w:name="Tc_iOhnNXL5wkuZWwCY8whhwg_4_4"/>
      <w:bookmarkStart w:id="710" w:name="Tc_9x4RW3w3fUit9_RtK-IzRg_3_7"/>
      <w:bookmarkStart w:id="711" w:name="Tc_AOeVfI_5TEylezv8839snQ_3_4"/>
      <w:bookmarkStart w:id="712" w:name="Tc_RHo0qiRAt0qHRgufJZY1eA_2_7"/>
      <w:bookmarkStart w:id="713" w:name="Tc_bDiPA6h0gE6uxoydk9S25A_2_4"/>
      <w:bookmarkStart w:id="714" w:name="Tc_DcH_FMXJF0SaFF7F8Q2OEw_1_7"/>
      <w:bookmarkStart w:id="715" w:name="Tc_p1jWlvepJUuxjQW39T6HNQ_1_4"/>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Times New Roman;Times;serif" w:hAnsi="Times New Roman;Times;serif"/>
          <w:b/>
          <w:sz w:val="20"/>
        </w:rPr>
        <w:t>(10)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six months ended June 30,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23"/>
        <w:gridCol w:w="326"/>
        <w:gridCol w:w="931"/>
        <w:gridCol w:w="326"/>
        <w:gridCol w:w="211"/>
        <w:gridCol w:w="676"/>
        <w:gridCol w:w="326"/>
        <w:gridCol w:w="1286"/>
      </w:tblGrid>
      <w:tr>
        <w:trPr/>
        <w:tc>
          <w:tcPr>
            <w:tcW w:w="6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888105" cy="175260"/>
                      <wp:effectExtent l="0" t="0" r="0" b="0"/>
                      <wp:wrapNone/>
                      <wp:docPr id="135" name="Frame135"/>
                      <a:graphic xmlns:a="http://schemas.openxmlformats.org/drawingml/2006/main">
                        <a:graphicData uri="http://schemas.microsoft.com/office/word/2010/wordprocessingShape">
                          <wps:wsp>
                            <wps:cNvSpPr txBox="1"/>
                            <wps:spPr>
                              <a:xfrm>
                                <a:off x="0" y="0"/>
                                <a:ext cx="388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91185" cy="175260"/>
                      <wp:effectExtent l="0" t="0" r="0" b="0"/>
                      <wp:wrapNone/>
                      <wp:docPr id="137"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29260" cy="175260"/>
                      <wp:effectExtent l="0" t="0" r="0" b="0"/>
                      <wp:wrapNone/>
                      <wp:docPr id="140" name="Frame1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16610" cy="175260"/>
                      <wp:effectExtent l="0" t="0" r="0" b="0"/>
                      <wp:wrapNone/>
                      <wp:docPr id="142" name="Frame142"/>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1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1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61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61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61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1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1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Canceled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142.75</w:t>
            </w:r>
          </w:p>
        </w:tc>
        <w:tc>
          <w:tcPr>
            <w:tcW w:w="326" w:type="dxa"/>
            <w:tcBorders/>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9,114,514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4,925,518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61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Celldex Therapeutics, Inc. 2021 Omnibus Equity Incentive Plan (as amended, effective as of June 5, 2025) at June 30, 2025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2,611,684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and six months ended June 30, 2025 was $13.42 and $13.46,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June 30, 2025 was $15.9 million. The aggregate intrinsic value of stock options exercisable at June 30, 2025 was $14.3 million. As of June 30, 2025, total compensation cost related to non-vested employee, consultant and non-employee director stock options not yet recognized was approximately $81.9 million, net of estimated forfeitures, which is expected to be recognized as expense over a weighted average period of 2.9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and six months ended June 30, 2025 and 2024 was recorded as follows:</w:t>
      </w:r>
    </w:p>
    <w:p>
      <w:pPr>
        <w:pStyle w:val="TextBody"/>
        <w:bidi w:val="0"/>
        <w:spacing w:before="0" w:after="0"/>
        <w:ind w:left="0" w:right="0" w:hanging="0"/>
        <w:jc w:val="left"/>
        <w:rPr/>
      </w:pPr>
      <w:r>
        <w:rPr/>
        <w:t>​</w:t>
      </w:r>
    </w:p>
    <w:tbl>
      <w:tblPr>
        <w:tblW w:w="8663" w:type="dxa"/>
        <w:jc w:val="left"/>
        <w:tblInd w:w="0" w:type="dxa"/>
        <w:tblLayout w:type="fixed"/>
        <w:tblCellMar>
          <w:top w:w="0" w:type="dxa"/>
          <w:left w:w="0" w:type="dxa"/>
          <w:bottom w:w="0" w:type="dxa"/>
          <w:right w:w="0" w:type="dxa"/>
        </w:tblCellMar>
      </w:tblPr>
      <w:tblGrid>
        <w:gridCol w:w="3496"/>
        <w:gridCol w:w="326"/>
        <w:gridCol w:w="258"/>
        <w:gridCol w:w="698"/>
        <w:gridCol w:w="398"/>
        <w:gridCol w:w="258"/>
        <w:gridCol w:w="698"/>
        <w:gridCol w:w="326"/>
        <w:gridCol w:w="211"/>
        <w:gridCol w:w="676"/>
        <w:gridCol w:w="326"/>
        <w:gridCol w:w="211"/>
        <w:gridCol w:w="78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19960" cy="175260"/>
                      <wp:effectExtent l="0" t="0" r="0" b="0"/>
                      <wp:wrapNone/>
                      <wp:docPr id="143" name="Frame14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3830" cy="175260"/>
                      <wp:effectExtent l="0" t="0" r="0" b="0"/>
                      <wp:wrapNone/>
                      <wp:docPr id="145" name="Frame14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43230" cy="175260"/>
                      <wp:effectExtent l="0" t="0" r="0" b="0"/>
                      <wp:wrapNone/>
                      <wp:docPr id="146" name="Frame146"/>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2730" cy="175260"/>
                      <wp:effectExtent l="0" t="0" r="0" b="0"/>
                      <wp:wrapNone/>
                      <wp:docPr id="147" name="Frame147"/>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3830" cy="175260"/>
                      <wp:effectExtent l="0" t="0" r="0" b="0"/>
                      <wp:wrapNone/>
                      <wp:docPr id="148" name="Frame14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43230" cy="175260"/>
                      <wp:effectExtent l="0" t="0" r="0" b="0"/>
                      <wp:wrapNone/>
                      <wp:docPr id="149" name="Frame14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8"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6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398"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4,309</w:t>
            </w:r>
          </w:p>
        </w:tc>
        <w:tc>
          <w:tcPr>
            <w:tcW w:w="398"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398"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14,842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and six months ended June 30, 2025 and 2024 were valued using the Black-Scholes option pricing model with the following assumptions:</w:t>
      </w:r>
    </w:p>
    <w:p>
      <w:pPr>
        <w:pStyle w:val="TextBody"/>
        <w:bidi w:val="0"/>
        <w:spacing w:before="0" w:after="0"/>
        <w:ind w:left="0" w:right="0" w:hanging="0"/>
        <w:jc w:val="left"/>
        <w:rPr/>
      </w:pPr>
      <w:r>
        <w:rPr/>
        <w:t>​</w:t>
      </w:r>
    </w:p>
    <w:tbl>
      <w:tblPr>
        <w:tblW w:w="7911" w:type="dxa"/>
        <w:jc w:val="left"/>
        <w:tblInd w:w="0" w:type="dxa"/>
        <w:tblLayout w:type="fixed"/>
        <w:tblCellMar>
          <w:top w:w="0" w:type="dxa"/>
          <w:left w:w="0" w:type="dxa"/>
          <w:bottom w:w="0" w:type="dxa"/>
          <w:right w:w="0" w:type="dxa"/>
        </w:tblCellMar>
      </w:tblPr>
      <w:tblGrid>
        <w:gridCol w:w="2626"/>
        <w:gridCol w:w="326"/>
        <w:gridCol w:w="990"/>
        <w:gridCol w:w="330"/>
        <w:gridCol w:w="990"/>
        <w:gridCol w:w="326"/>
        <w:gridCol w:w="976"/>
        <w:gridCol w:w="326"/>
        <w:gridCol w:w="102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67510" cy="175260"/>
                      <wp:effectExtent l="0" t="0" r="0" b="0"/>
                      <wp:wrapNone/>
                      <wp:docPr id="156" name="Frame15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28650" cy="175260"/>
                      <wp:effectExtent l="0" t="0" r="0" b="0"/>
                      <wp:wrapNone/>
                      <wp:docPr id="158" name="Frame158"/>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9550" cy="175260"/>
                      <wp:effectExtent l="0" t="0" r="0" b="0"/>
                      <wp:wrapNone/>
                      <wp:docPr id="159" name="Frame15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28650" cy="175260"/>
                      <wp:effectExtent l="0" t="0" r="0" b="0"/>
                      <wp:wrapNone/>
                      <wp:docPr id="160" name="Frame160"/>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19760" cy="175260"/>
                      <wp:effectExtent l="0" t="0" r="0" b="0"/>
                      <wp:wrapNone/>
                      <wp:docPr id="162" name="Frame16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335" cy="175260"/>
                      <wp:effectExtent l="0" t="0" r="0" b="0"/>
                      <wp:wrapNone/>
                      <wp:docPr id="164" name="Frame16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0" w:type="dxa"/>
            <w:tcBorders/>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33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 93%</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 – 81%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 93%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32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3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 – 4.3%</w:t>
            </w:r>
          </w:p>
        </w:tc>
        <w:tc>
          <w:tcPr>
            <w:tcW w:w="33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 – 4.5%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 – 4.7%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 4.5%</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3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6" w:name="Tc_WsEfrH6TPUeAQEEby4qqNg_8_8"/>
      <w:bookmarkStart w:id="717" w:name="Tc_oG3pL27_I0mOxJNPYlLDLQ_8_5"/>
      <w:bookmarkStart w:id="718" w:name="Tc_ee5Di7J_WkeR133BR9lLjw_8_2"/>
      <w:bookmarkStart w:id="719" w:name="Tc_V3A-noPVNUqYtMiQQMXITg_8_0"/>
      <w:bookmarkStart w:id="720" w:name="Tc_t-UB5q4DUUKMJ88MAub5hw_7_0"/>
      <w:bookmarkStart w:id="721" w:name="Tc_1OSZEk-XAUy55ob0GE9OcA_6_8"/>
      <w:bookmarkStart w:id="722" w:name="Tc_tHD-fOjZS0GnPZ9hsxiTlg_6_5"/>
      <w:bookmarkStart w:id="723" w:name="Tc_3S4BBtMZhEuuTzqH9R5cRw_6_2"/>
      <w:bookmarkStart w:id="724" w:name="Tc_LQ7JBD1Y3U2oRKoIJICeeg_6_0"/>
      <w:bookmarkStart w:id="725" w:name="Tc_sytVfqPcbEOPKAV39_gKOA_5_2"/>
      <w:bookmarkStart w:id="726" w:name="Tc_NvLFJKX6GEGi7-rrMR__Rw_4_8"/>
      <w:bookmarkStart w:id="727" w:name="Tc_FHoa-qbivkqlpeKOI4yYjA_4_5"/>
      <w:bookmarkStart w:id="728" w:name="Tc_xIyNCotpcUeQEVDlnAbSXA_4_2"/>
      <w:bookmarkStart w:id="729" w:name="Tc_wz1wvPahMkmvKa6Faru7Hg_3_5"/>
      <w:bookmarkStart w:id="730" w:name="Tc_KAvdQCbKVkOZ52rWc5d5Ng_3_2"/>
      <w:bookmarkStart w:id="731" w:name="Tc_-uSpxvO8Uk6hahs4ezVOqg_2_2"/>
      <w:bookmarkStart w:id="732" w:name="Tc_fqLMK7W77Ui28LWqHSgkGQ_1_2"/>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sz w:val="20"/>
        </w:rPr>
        <w:t>(11)  Accumulated Other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six months ended June 30, 2025 are summarized below:</w:t>
      </w:r>
    </w:p>
    <w:p>
      <w:pPr>
        <w:pStyle w:val="TextBody"/>
        <w:bidi w:val="0"/>
        <w:spacing w:before="0" w:after="0"/>
        <w:ind w:left="0" w:right="0" w:hanging="0"/>
        <w:jc w:val="left"/>
        <w:rPr/>
      </w:pPr>
      <w:r>
        <w:rPr/>
        <w:t>​</w:t>
      </w:r>
    </w:p>
    <w:tbl>
      <w:tblPr>
        <w:tblW w:w="6862" w:type="dxa"/>
        <w:jc w:val="left"/>
        <w:tblInd w:w="0" w:type="dxa"/>
        <w:tblLayout w:type="fixed"/>
        <w:tblCellMar>
          <w:top w:w="0" w:type="dxa"/>
          <w:left w:w="0" w:type="dxa"/>
          <w:bottom w:w="0" w:type="dxa"/>
          <w:right w:w="0" w:type="dxa"/>
        </w:tblCellMar>
      </w:tblPr>
      <w:tblGrid>
        <w:gridCol w:w="2596"/>
        <w:gridCol w:w="326"/>
        <w:gridCol w:w="389"/>
        <w:gridCol w:w="781"/>
        <w:gridCol w:w="326"/>
        <w:gridCol w:w="332"/>
        <w:gridCol w:w="899"/>
        <w:gridCol w:w="326"/>
        <w:gridCol w:w="211"/>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48460" cy="175260"/>
                      <wp:effectExtent l="0" t="0" r="0" b="0"/>
                      <wp:wrapNone/>
                      <wp:docPr id="165" name="Frame16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7015" cy="175260"/>
                      <wp:effectExtent l="0" t="0" r="0" b="0"/>
                      <wp:wrapNone/>
                      <wp:docPr id="167" name="Frame167"/>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8"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0820" cy="175260"/>
                      <wp:effectExtent l="0" t="0" r="0" b="0"/>
                      <wp:wrapNone/>
                      <wp:docPr id="170" name="Frame17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70865" cy="175260"/>
                      <wp:effectExtent l="0" t="0" r="0" b="0"/>
                      <wp:wrapNone/>
                      <wp:docPr id="171" name="Frame17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86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3,339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six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$0.7 million and $1.4 million in revenue under the agreements with Rockefeller during the three and six months ended June 30, 2025, respectively, and $2.5 million and $2.7 million during the three and six months ended June 30,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2025 and December 31, 2024, the Company’s right to consideration under all contracts was considered unconditional, and as such, there were no recorded contract assets. At June 30, 2025 and December 31, 2024, the Company had no material contract liabilities recorded.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2025 and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June 30, 2025 and December 31, 2024 relates to the temporary differences associated with the IPR&amp;D intangible assets acquired in previous business combinations and is not deductible for tax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changes to federal tax law and other regulatory provisions that may impact the Company. As the legislation was not signed into law until the Company’s third quarter of 2025, the impacts are not included in its operating results for the three and six months ended June 30, 2025. The Company will evaluate the impact of the newly enacted tax law and its impact on the Company's forecasted annual effective tax rate in subsequent periods as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3" w:name="Tc_qyH9dmnjqka1Q4D3BTfMLg_4_4"/>
      <w:bookmarkStart w:id="734" w:name="Tc_QJan-FkUtUqal7GEKHFCHw_4_2"/>
      <w:bookmarkStart w:id="735" w:name="Tc_bduO6Oo8LU2QvO4BdZOqJg_4_0"/>
      <w:bookmarkStart w:id="736" w:name="Tc_OCdhmfm-ukCKzDr0hjDdfQ_3_0"/>
      <w:bookmarkStart w:id="737" w:name="Tc_aTXbSeAKjUy9dFWLVdB44A_2_4"/>
      <w:bookmarkStart w:id="738" w:name="Tc_Qo23706gi0CKrywJ1codsA_2_2"/>
      <w:bookmarkStart w:id="739" w:name="Tc_K1mHwJYbY06psHc3BGX7Lg_1_2"/>
      <w:bookmarkEnd w:id="733"/>
      <w:bookmarkEnd w:id="734"/>
      <w:bookmarkEnd w:id="735"/>
      <w:bookmarkEnd w:id="736"/>
      <w:bookmarkEnd w:id="737"/>
      <w:bookmarkEnd w:id="738"/>
      <w:bookmarkEnd w:id="739"/>
      <w:r>
        <w:rPr>
          <w:rFonts w:ascii="Times New Roman;Times;serif" w:hAnsi="Times New Roman;Times;serif"/>
          <w:b/>
          <w:sz w:val="20"/>
        </w:rPr>
        <w:t>(14)  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075" w:type="dxa"/>
        <w:jc w:val="left"/>
        <w:tblInd w:w="0" w:type="dxa"/>
        <w:tblLayout w:type="fixed"/>
        <w:tblCellMar>
          <w:top w:w="0" w:type="dxa"/>
          <w:left w:w="0" w:type="dxa"/>
          <w:bottom w:w="0" w:type="dxa"/>
          <w:right w:w="0" w:type="dxa"/>
        </w:tblCellMar>
      </w:tblPr>
      <w:tblGrid>
        <w:gridCol w:w="1456"/>
        <w:gridCol w:w="326"/>
        <w:gridCol w:w="931"/>
        <w:gridCol w:w="326"/>
        <w:gridCol w:w="103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24560" cy="175260"/>
                      <wp:effectExtent l="0" t="0" r="0" b="0"/>
                      <wp:wrapNone/>
                      <wp:docPr id="175" name="Frame17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91185" cy="175260"/>
                      <wp:effectExtent l="0" t="0" r="0" b="0"/>
                      <wp:wrapNone/>
                      <wp:docPr id="177" name="Frame1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57860" cy="175260"/>
                      <wp:effectExtent l="0" t="0" r="0" b="0"/>
                      <wp:wrapNone/>
                      <wp:docPr id="179" name="Frame1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9,290,328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7,533,223</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9,290,328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7,533,223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Kolltan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15, 2022, the Company entered into a definitive settlement agreement between the Company and SRS (the “Settlement Agreement”) and the Company and SRS jointly filed a Stipulation of Dismissal with prejudice relating to the Litigation on July 19,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Settlement Agreement, all milestone payments provided for by the Merger Agreement were replaced in their entirety with the following payments, each of which is payable only once:</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$12.5</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Settlement Agreement) of a Phase 2 Clinical Trial (as defined in the Merger Agreement) of barzolvolimab.</w:t>
            </w:r>
          </w:p>
        </w:tc>
      </w:tr>
    </w:tbl>
    <w:tbl>
      <w:tblPr>
        <w:tblW w:w="10205" w:type="dxa"/>
        <w:jc w:val="left"/>
        <w:tblInd w:w="0" w:type="dxa"/>
        <w:tblLayout w:type="fixed"/>
        <w:tblCellMar>
          <w:top w:w="28" w:type="dxa"/>
          <w:left w:w="28" w:type="dxa"/>
          <w:bottom w:w="28" w:type="dxa"/>
          <w:right w:w="28" w:type="dxa"/>
        </w:tblCellMar>
      </w:tblPr>
      <w:tblGrid>
        <w:gridCol w:w="124"/>
        <w:gridCol w:w="370"/>
        <w:gridCol w:w="9711"/>
      </w:tblGrid>
      <w:tr>
        <w:trPr/>
        <w:tc>
          <w:tcPr>
            <w:tcW w:w="124" w:type="dxa"/>
            <w:tcBorders/>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in the Settlement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in July 2022. The Company paid the second milestone for “successful completion” of a Phase 2 Clinical Trial of barzolvolimab in cash in November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0" w:name="Item2ManagementsDiscussionandAnalysisofF"/>
      <w:bookmarkStart w:id="741" w:name="_09240fe5_82f7_4203_b460_098aec351ae4"/>
      <w:bookmarkEnd w:id="740"/>
      <w:bookmarkEnd w:id="74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development stages;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the regulatory approval milestone under the merger agreement by which we acquired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2024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Urticarias: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improved quality of life.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is ongoing; positive data from a Phase 1b study in PN was reported in November 2023;</w:t>
            </w:r>
          </w:p>
        </w:tc>
      </w:tr>
    </w:tbl>
    <w:tbl>
      <w:tblPr>
        <w:tblW w:w="9261" w:type="dxa"/>
        <w:jc w:val="left"/>
        <w:tblInd w:w="0" w:type="dxa"/>
        <w:tblLayout w:type="fixed"/>
        <w:tblCellMar>
          <w:top w:w="28" w:type="dxa"/>
          <w:left w:w="28" w:type="dxa"/>
          <w:bottom w:w="28" w:type="dxa"/>
          <w:right w:w="28" w:type="dxa"/>
        </w:tblCellMar>
      </w:tblPr>
      <w:tblGrid>
        <w:gridCol w:w="124"/>
        <w:gridCol w:w="16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Eosinophilic Esophagitis (EoE): A Phase 2 study in EoE was initiated in June 2023 and is fully enrolled; and</w:t>
            </w:r>
          </w:p>
        </w:tc>
      </w:tr>
    </w:tbl>
    <w:tbl>
      <w:tblPr>
        <w:tblW w:w="9081" w:type="dxa"/>
        <w:jc w:val="left"/>
        <w:tblInd w:w="0" w:type="dxa"/>
        <w:tblLayout w:type="fixed"/>
        <w:tblCellMar>
          <w:top w:w="28" w:type="dxa"/>
          <w:left w:w="28" w:type="dxa"/>
          <w:bottom w:w="28" w:type="dxa"/>
          <w:right w:w="28" w:type="dxa"/>
        </w:tblCellMar>
      </w:tblPr>
      <w:tblGrid>
        <w:gridCol w:w="124"/>
        <w:gridCol w:w="16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 Phase 2 study in AD was initiated in December 2024 and enrollment is ongoing.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is ongoing.</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tbl>
      <w:tblPr>
        <w:tblW w:w="2533" w:type="dxa"/>
        <w:jc w:val="left"/>
        <w:tblInd w:w="0" w:type="dxa"/>
        <w:tblLayout w:type="fixed"/>
        <w:tblCellMar>
          <w:top w:w="0" w:type="dxa"/>
          <w:left w:w="0" w:type="dxa"/>
          <w:bottom w:w="0" w:type="dxa"/>
          <w:right w:w="0" w:type="dxa"/>
        </w:tblCellMar>
      </w:tblPr>
      <w:tblGrid>
        <w:gridCol w:w="1141"/>
        <w:gridCol w:w="326"/>
        <w:gridCol w:w="106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24535" cy="175260"/>
                      <wp:effectExtent l="0" t="0" r="0" b="0"/>
                      <wp:wrapNone/>
                      <wp:docPr id="180" name="Frame1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76910" cy="175260"/>
                      <wp:effectExtent l="0" t="0" r="0" b="0"/>
                      <wp:wrapNone/>
                      <wp:docPr id="182" name="Frame18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2024, we incurred an aggregate of $459.7 million in research and development expenses. The following table indicates the amount incurred for each of our significant research programs and for other identified research and development activities during the six months ended June 30, 2025 and 2024. The amounts disclosed in the following table reflect direct research and development costs and an allocation of indirect research and development costs to each program.</w:t>
      </w:r>
    </w:p>
    <w:tbl>
      <w:tblPr>
        <w:tblW w:w="5800" w:type="dxa"/>
        <w:jc w:val="left"/>
        <w:tblInd w:w="0" w:type="dxa"/>
        <w:tblLayout w:type="fixed"/>
        <w:tblCellMar>
          <w:top w:w="0" w:type="dxa"/>
          <w:left w:w="0" w:type="dxa"/>
          <w:bottom w:w="0" w:type="dxa"/>
          <w:right w:w="0" w:type="dxa"/>
        </w:tblCellMar>
      </w:tblPr>
      <w:tblGrid>
        <w:gridCol w:w="2851"/>
        <w:gridCol w:w="326"/>
        <w:gridCol w:w="239"/>
        <w:gridCol w:w="887"/>
        <w:gridCol w:w="326"/>
        <w:gridCol w:w="249"/>
        <w:gridCol w:w="922"/>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810385" cy="175260"/>
                      <wp:effectExtent l="0" t="0" r="0" b="0"/>
                      <wp:wrapNone/>
                      <wp:docPr id="183" name="Frame183"/>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1765" cy="175260"/>
                      <wp:effectExtent l="0" t="0" r="0" b="0"/>
                      <wp:wrapNone/>
                      <wp:docPr id="185" name="Frame18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63245" cy="175260"/>
                      <wp:effectExtent l="0" t="0" r="0" b="0"/>
                      <wp:wrapNone/>
                      <wp:docPr id="186" name="Frame18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8115" cy="175260"/>
                      <wp:effectExtent l="0" t="0" r="0" b="0"/>
                      <wp:wrapNone/>
                      <wp:docPr id="188" name="Frame18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85470" cy="175260"/>
                      <wp:effectExtent l="0" t="0" r="0" b="0"/>
                      <wp:wrapNone/>
                      <wp:docPr id="189" name="Frame18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58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82,348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54,250</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622</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9,289</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10,551</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71,348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initially studied in chronic spontaneous urticaria (CSU) and chronic inducible urticaria (CIndU), diseases where mast cell degranulation plays a central role in the onset and progression of the disease. In July 2024, we initiated two Phase 3 studies in CSU.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In June 2025, we presented follow up data from this study through Week 76, 7 months after the completion of dosing with barzolvolimab, demonstrating ongoing profound, sustained complete response and improved quality of life. In April 2024, we announced enrollment was complete in the ongoing Phase 2 CIndU study.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We plan to present data from this study in 2025. Patients with resumption of symptoms were eligible to enroll into an open label extension.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ongoing Phase 2 studies in eosinophilic esophagitis (EoE), prurigo nodularis (PN) and atopic dermatitis (AD). We continue to assess potential opportunities for barzolvolimab in other diseases where mast cells play an important role, such as dermatologic, respiratory, allergic, gastrointestinal and ophthalmic conditions.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Chronic Spontaneous Urticaria (CSU) Summary of Phase 1 and Phase 2 Data Presented to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tbl>
      <w:tblPr>
        <w:tblW w:w="7684" w:type="dxa"/>
        <w:jc w:val="left"/>
        <w:tblInd w:w="0" w:type="dxa"/>
        <w:tblLayout w:type="fixed"/>
        <w:tblCellMar>
          <w:top w:w="0" w:type="dxa"/>
          <w:left w:w="0" w:type="dxa"/>
          <w:bottom w:w="0" w:type="dxa"/>
          <w:right w:w="0" w:type="dxa"/>
        </w:tblCellMar>
      </w:tblPr>
      <w:tblGrid>
        <w:gridCol w:w="3991"/>
        <w:gridCol w:w="1216"/>
        <w:gridCol w:w="1216"/>
        <w:gridCol w:w="126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34285" cy="175260"/>
                      <wp:effectExtent l="0" t="0" r="0" b="0"/>
                      <wp:wrapNone/>
                      <wp:docPr id="190" name="Frame19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72160" cy="29210"/>
                      <wp:effectExtent l="0" t="0" r="0" b="0"/>
                      <wp:wrapNone/>
                      <wp:docPr id="191" name="Frame191"/>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72160" cy="29210"/>
                      <wp:effectExtent l="0" t="0" r="0" b="0"/>
                      <wp:wrapNone/>
                      <wp:docPr id="192" name="Frame192"/>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00735" cy="29210"/>
                      <wp:effectExtent l="0" t="0" r="0" b="0"/>
                      <wp:wrapNone/>
                      <wp:docPr id="193" name="Frame193"/>
                      <a:graphic xmlns:a="http://schemas.openxmlformats.org/drawingml/2006/main">
                        <a:graphicData uri="http://schemas.microsoft.com/office/word/2010/wordprocessingShape">
                          <wps:wsp>
                            <wps:cNvSpPr txBox="1"/>
                            <wps:spPr>
                              <a:xfrm>
                                <a:off x="0" y="0"/>
                                <a:ext cx="800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8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2" w:before="0" w:after="0"/>
              <w:ind w:left="0" w:right="0" w:hanging="0"/>
              <w:jc w:val="center"/>
              <w:rPr>
                <w:rFonts w:ascii="Times New Roman;Times;serif" w:hAnsi="Times New Roman;Times;serif"/>
                <w:b/>
                <w:sz w:val="16"/>
              </w:rPr>
            </w:pPr>
            <w:r>
              <w:rPr>
                <w:rFonts w:ascii="Times New Roman;Times;serif" w:hAnsi="Times New Roman;Times;serif"/>
                <w:b/>
                <w:sz w:val="16"/>
              </w:rPr>
              <w:t>Phase 1 CSU: Summary of Clinical Activity Assessments at Week 12 &amp; 24</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pPr>
            <w:r>
              <w:rPr/>
              <w:t>​</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4.5 mg/kg Q8</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3.0 mg/kg Q8</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1.5 mg/kg Q4</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82% (n=9)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(n=9)</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(n=8)</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77% (n=7)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70% (n=6)</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80% (n=7)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Tryptase suppression, indicative of mast cell depletion, paralleled symptom improvement, demonstrating the impact of mast cell depletion on CSU disease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2 study in patients with CSU who remained symptomatic despite antihistamine therapy. The study was conducted at approximately 75 sites across 9 countries. The study was a randomized, double-blind, placebo-controlled,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tbl>
      <w:tblPr>
        <w:tblW w:w="10205" w:type="dxa"/>
        <w:jc w:val="left"/>
        <w:tblInd w:w="0" w:type="dxa"/>
        <w:tblLayout w:type="fixed"/>
        <w:tblCellMar>
          <w:top w:w="28" w:type="dxa"/>
          <w:left w:w="28" w:type="dxa"/>
          <w:bottom w:w="28" w:type="dxa"/>
          <w:right w:w="28" w:type="dxa"/>
        </w:tblCellMar>
      </w:tblPr>
      <w:tblGrid>
        <w:gridCol w:w="5008"/>
        <w:gridCol w:w="1494"/>
        <w:gridCol w:w="1452"/>
        <w:gridCol w:w="1452"/>
        <w:gridCol w:w="799"/>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Phase 2 CSU: Summary of Clinical Activity Assessments at Week 12</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 mg Q8W</w:t>
              <w:br/>
              <w:t>(n=51)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 mg Q4W</w:t>
              <w:br/>
              <w:t>(n=52)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 mg Q4W</w:t>
              <w:br/>
              <w:t>(n=53)</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Placebo</w:t>
              <w:b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-13.41</w:t>
              <w:br/>
              <w:t>(CI: -17.47, -9.34)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-12.55</w:t>
              <w:br/>
              <w:t>(CI:-16.56, -8.55)</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-6.60</w:t>
              <w:br/>
              <w:t>(CI:-10.71, -2.49)</w:t>
              <w:br/>
              <w:t>p=0.0017</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-7.24</w:t>
              <w:br/>
              <w:t>(CI:-9.36, -5.12)</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-6.24</w:t>
              <w:br/>
              <w:t>(CI:-8.33, -4.16),</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-3.31</w:t>
              <w:br/>
              <w:t>(CI:-5.40, -1.22),</w:t>
              <w:br/>
              <w:t>p=0.0020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-6.32</w:t>
              <w:br/>
              <w:t>(CI: -8.50, -4.13),</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-6.21</w:t>
              <w:br/>
              <w:t>(CI: -8.38, -4.04),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-3.16</w:t>
              <w:br/>
              <w:t>(CI: -5.41, -0.91),</w:t>
              <w:br/>
              <w:t>p=0.0061</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on study continued to receive barzolvolimab for up to 52 weeks. Long term treatment data were presented in September at the European Academy of Dermatology &amp; Venereology (EADV) Congress 2024 and quality of life data were presented in March at the American Academy of Allergy, Asthma &amp; Immunology (AAAAI) Annual Meeting 2025. The data demonstrated a sustained and deepening disease efficacy, a well tolerated safety profile, greatly improved urticaria control and reduced disease impact on quality of life over a 52 week treatment period.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UAS7 (weekly urticaria activity score), previously shown to be statistically significantly vs placebo at Week 12, were noted as early as Week 1 and were sustained or deepened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16, patients receiving low dose barzolvolimab (75 mg) or placebo were transitioned to barzolvolimab 150 mg or 300 mg; after crossover, these patients experienced similar clinically meaningful disease response as the rest of the study population.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of patients treated with barzolvolimab 150 mg Q4W and 52% of patients treated with 300 mg Q8W had a complete response (no itch/hives; UAS7=0) at Week 52. These responses were observed early and sustained through 52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of patients treated with barzolvolimab 150 mg Q4W and 68% of patients treated with 300 mg Q8W had well controlled (UAS7&lt;6) disease at Week 52.</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of 2025, 52 week data on angioedema activity and additional measures of angioedema control were presented at the EAACI 2025 Congress. Barzolvolimab continued to demonstrate robust, durable and deepening improvements in angioedema symptoms over the treatment period. At Week 52, an 86% mean reduction from baseline was reported for 150 mg Q4W arm and an 82% reduction was reported for the 300 mg Q8W. Up to 77% of patients treated with barzolvolimab who had angioedema at baseline were angioedema free (AAS7=0) at Week 52. Patients treated with barzolvolimab were angioedema free up to 72% of the time over the 52 week treatment period. Up to 87% of patients reported clinically meaningful improvement (&gt;8 point) in AAS7 at Week 52.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of 2025, long term follow up data from the Phase 2 CSU study were presented at the EAACI 2025 Congress. At Week 76, seven months after completion of dosing, patients continue to experience profound clinical benefit on study.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UAS7 mean change from baseline at Week 76 was -20.42 for patients treated with 150 mg Q4W and -21.10 for patients treated with 300 mg Q8W.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of patients treated with barzolvolimab 150 mg Q4W and 35% of patients treated with 300 mg Q8W had a complete response (no itch/hives; UAS7=0)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of patients treated with barzolvolimab 150 mg Q4W and 47% of patients treated with 300 mg Q8W had well controlled disease (UAS7≤6)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treatment1 and achieving complete response is directly correlated to the greatest improvements in quality of life for patients2.</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and improvements in quality of life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Barzolvolimab was well tolerated with a favorable safety profile through 76 weeks. No new safety signals were identified</w:t>
            </w:r>
            <w:r>
              <w:rPr>
                <w:caps w:val="false"/>
                <w:smallCaps w:val="false"/>
              </w:rPr>
              <w:t xml:space="preserve"> </w:t>
            </w:r>
            <w:r>
              <w:rPr>
                <w:rFonts w:ascii="Times New Roman;Times;serif" w:hAnsi="Times New Roman;Times;serif"/>
                <w:b w:val="false"/>
                <w:i w:val="false"/>
                <w:caps w:val="false"/>
                <w:smallCaps w:val="false"/>
                <w:sz w:val="20"/>
              </w:rPr>
              <w:t>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After completion of the 52 week treatment period, patients on study will continue to be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continues as planned and is expected to be completed in the summer of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Celldex plans to initiate a global Phase 3b long term extension (LTE) study for patients who complete the EMBARQ - CSU Phase 3 trials. The study will consist of 2 Groups: Group 1 (Observation Group), containing patients whose disease remains well controlled (UAS7&lt;16) and Group 2 (Barzolvolimab Retreatment Group) containing patients whose disease is currently moderate to severe (UAS7≥16). Patients in Group 2 will receive up to an additional year of treatment with barzolvolimab. Patients in the observation group (Group 1) whose CSU flares to a UAS7&gt;/=16 in the first 6 months of the LTE will also be able to receive treatment.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 Summary of Phase 1 and Phase 2 Data Presented to Date; Additional Phase 2 follow up data to be presented in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Secondary endpoints include safety and other assessments of clinical activity including CTT (Critical Temperature Threshold), CFT (Critical Friction Threshold) and WI-NRS (Worst itch numeric rating scale).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reflect poorly controlled disease.</w:t>
      </w:r>
    </w:p>
    <w:tbl>
      <w:tblPr>
        <w:tblW w:w="8028" w:type="dxa"/>
        <w:jc w:val="left"/>
        <w:tblInd w:w="0" w:type="dxa"/>
        <w:tblLayout w:type="fixed"/>
        <w:tblCellMar>
          <w:top w:w="28" w:type="dxa"/>
          <w:left w:w="28" w:type="dxa"/>
          <w:bottom w:w="28" w:type="dxa"/>
          <w:right w:w="28" w:type="dxa"/>
        </w:tblCellMar>
      </w:tblPr>
      <w:tblGrid>
        <w:gridCol w:w="2386"/>
        <w:gridCol w:w="886"/>
        <w:gridCol w:w="886"/>
        <w:gridCol w:w="751"/>
        <w:gridCol w:w="326"/>
        <w:gridCol w:w="916"/>
        <w:gridCol w:w="916"/>
        <w:gridCol w:w="961"/>
      </w:tblGrid>
      <w:tr>
        <w:trPr/>
        <w:tc>
          <w:tcPr>
            <w:tcW w:w="8028"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 of Clinical Assessments at Week 12</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52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Cold Urticaria</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    </w:t>
            </w:r>
          </w:p>
        </w:tc>
        <w:tc>
          <w:tcPr>
            <w:tcW w:w="279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Symptomatic Dermographism</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All measurements at </w:t>
              <w:br/>
              <w:t>Week 12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(n=32)</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(n=32)</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(n=33)</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(n=33)</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(n=31)</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Helvetica;sans-serif" w:hAnsi="Helvetica;sans-serif"/>
                <w:sz w:val="22"/>
              </w:rPr>
            </w:pPr>
            <w:r>
              <w:rPr>
                <w:rFonts w:ascii="Times New Roman;Times;serif" w:hAnsi="Times New Roman;Times;serif"/>
                <w:b/>
                <w:sz w:val="20"/>
              </w:rPr>
              <w:t>Primary endpoint:</w:t>
            </w:r>
            <w:r>
              <w:rPr>
                <w:rFonts w:ascii="Times New Roman;Times;serif" w:hAnsi="Times New Roman;Times;serif"/>
                <w:sz w:val="20"/>
              </w:rPr>
              <w:br/>
              <w:t>% of patients with</w:t>
              <w:br/>
              <w:t>negative provocation</w:t>
              <w:br/>
              <w:t>test (complete</w:t>
              <w:br/>
              <w:t>response)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46.9%</w:t>
              <w:br/>
            </w:r>
            <w:r>
              <w:rPr>
                <w:rFonts w:ascii="Times New Roman;Times;serif" w:hAnsi="Times New Roman;Times;serif"/>
                <w:b/>
                <w:sz w:val="20"/>
              </w:rPr>
              <w:t>p=0.0023</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53.1%</w:t>
              <w:br/>
            </w:r>
            <w:r>
              <w:rPr>
                <w:rFonts w:ascii="Times New Roman;Times;serif" w:hAnsi="Times New Roman;Times;serif"/>
                <w:b/>
                <w:sz w:val="20"/>
              </w:rPr>
              <w:t>p=0.0011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57.6%</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42.4%</w:t>
              <w:br/>
            </w:r>
            <w:r>
              <w:rPr>
                <w:rFonts w:ascii="Times New Roman;Times;serif" w:hAnsi="Times New Roman;Times;serif"/>
                <w:b/>
                <w:sz w:val="20"/>
              </w:rPr>
              <w:t>p=0.0003</w:t>
            </w:r>
          </w:p>
        </w:tc>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 complete</w:t>
              <w:br/>
              <w:t>or partial response per</w:t>
              <w:br/>
              <w:t>provocation test</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62.5%</w:t>
              <w:br/>
            </w:r>
            <w:r>
              <w:rPr>
                <w:rFonts w:ascii="Times New Roman;Times;serif" w:hAnsi="Times New Roman;Times;serif"/>
                <w:b/>
                <w:sz w:val="20"/>
              </w:rPr>
              <w:t>p=0.0118</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75%</w:t>
              <w:br/>
            </w:r>
            <w:r>
              <w:rPr>
                <w:rFonts w:ascii="Times New Roman;Times;serif" w:hAnsi="Times New Roman;Times;serif"/>
                <w:b/>
                <w:sz w:val="20"/>
              </w:rPr>
              <w:t>p=0.0006</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66.6%</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57.5%</w:t>
              <w:br/>
            </w:r>
            <w:r>
              <w:rPr>
                <w:rFonts w:ascii="Times New Roman;Times;serif" w:hAnsi="Times New Roman;Times;serif"/>
                <w:b/>
                <w:sz w:val="20"/>
              </w:rPr>
              <w:t>p=0.0002</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Improvement in Critical</w:t>
              <w:br/>
              <w:t>Temperature (CTT)</w:t>
              <w:br/>
              <w:t>and Critical Friction</w:t>
              <w:br/>
              <w:t>(CFT) Thresholds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-8.82°C</w:t>
              <w:br/>
            </w:r>
            <w:r>
              <w:rPr>
                <w:rFonts w:ascii="Times New Roman;Times;serif" w:hAnsi="Times New Roman;Times;serif"/>
                <w:b/>
                <w:sz w:val="20"/>
              </w:rPr>
              <w:t>p&lt;0.0001</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-9.61°C</w:t>
              <w:br/>
            </w:r>
            <w:r>
              <w:rPr>
                <w:rFonts w:ascii="Times New Roman;Times;serif" w:hAnsi="Times New Roman;Times;serif"/>
                <w:b/>
                <w:sz w:val="20"/>
              </w:rPr>
              <w:t>p&lt;0.0001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-0.30°C</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-2.46 pins</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-2.27 pins</w:t>
              <w:br/>
            </w:r>
            <w:r>
              <w:rPr>
                <w:rFonts w:ascii="Times New Roman;Times;serif" w:hAnsi="Times New Roman;Times;serif"/>
                <w:b/>
                <w:sz w:val="20"/>
              </w:rPr>
              <w:t>p=0.0002</w:t>
            </w:r>
          </w:p>
        </w:tc>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-0.82 pins</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w:t>
              <w:br/>
              <w:t>Urticaria Control Test</w:t>
              <w:br/>
              <w:t>&gt;12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58.6%</w:t>
              <w:br/>
            </w:r>
            <w:r>
              <w:rPr>
                <w:rFonts w:ascii="Times New Roman;Times;serif" w:hAnsi="Times New Roman;Times;serif"/>
                <w:b/>
                <w:sz w:val="20"/>
              </w:rPr>
              <w:t>p=0.0048</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68.8%</w:t>
              <w:br/>
            </w:r>
            <w:r>
              <w:rPr>
                <w:rFonts w:ascii="Times New Roman;Times;serif" w:hAnsi="Times New Roman;Times;serif"/>
                <w:b/>
                <w:sz w:val="20"/>
              </w:rPr>
              <w:t>p&lt;0.0001</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w:t>
            </w:r>
          </w:p>
        </w:tc>
        <w:tc>
          <w:tcPr>
            <w:tcW w:w="326"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54.8%</w:t>
              <w:br/>
            </w:r>
            <w:r>
              <w:rPr>
                <w:rFonts w:ascii="Times New Roman;Times;serif" w:hAnsi="Times New Roman;Times;serif"/>
                <w:b/>
                <w:sz w:val="20"/>
              </w:rPr>
              <w:t>p=0.0015</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65.5%</w:t>
              <w:br/>
            </w:r>
            <w:r>
              <w:rPr>
                <w:rFonts w:ascii="Times New Roman;Times;serif" w:hAnsi="Times New Roman;Times;serif"/>
                <w:b/>
                <w:sz w:val="20"/>
              </w:rPr>
              <w:t>p&lt;0.0001</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2025, quality of life data were presented at the American Academy of Allergy, Asthma &amp; Immunology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CIndU and plan to advance CIndU into Phase 3 registrational development.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single IV dose of 3.0 mg/kg barzolvolimab resulted in rapid and durable reductions in itch and healing of skin lesions in patients with moderate to severe PN and that barzolvolimab was generally well tolerated.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6 which was distinct from both the 1.5 mg/kg barzolvolimab and placebo arms.</w:t>
            </w:r>
          </w:p>
        </w:tc>
      </w:tr>
    </w:tbl>
    <w:tbl>
      <w:tblPr>
        <w:tblW w:w="6774" w:type="dxa"/>
        <w:jc w:val="left"/>
        <w:tblInd w:w="0" w:type="dxa"/>
        <w:tblLayout w:type="fixed"/>
        <w:tblCellMar>
          <w:top w:w="28" w:type="dxa"/>
          <w:left w:w="28" w:type="dxa"/>
          <w:bottom w:w="28" w:type="dxa"/>
          <w:right w:w="28" w:type="dxa"/>
        </w:tblCellMar>
      </w:tblPr>
      <w:tblGrid>
        <w:gridCol w:w="961"/>
        <w:gridCol w:w="721"/>
        <w:gridCol w:w="721"/>
        <w:gridCol w:w="721"/>
        <w:gridCol w:w="721"/>
        <w:gridCol w:w="721"/>
        <w:gridCol w:w="721"/>
        <w:gridCol w:w="721"/>
        <w:gridCol w:w="766"/>
      </w:tblGrid>
      <w:tr>
        <w:trPr/>
        <w:tc>
          <w:tcPr>
            <w:tcW w:w="6774" w:type="dxa"/>
            <w:gridSpan w:val="9"/>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 of Subjects with ≥4-point decrease in WI-NRS</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3</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5</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6</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71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tc>
      </w:tr>
    </w:tbl>
    <w:tbl>
      <w:tblPr>
        <w:tblW w:w="3980" w:type="dxa"/>
        <w:jc w:val="left"/>
        <w:tblInd w:w="0" w:type="dxa"/>
        <w:tblLayout w:type="fixed"/>
        <w:tblCellMar>
          <w:top w:w="28" w:type="dxa"/>
          <w:left w:w="28" w:type="dxa"/>
          <w:bottom w:w="28" w:type="dxa"/>
          <w:right w:w="28" w:type="dxa"/>
        </w:tblCellMar>
      </w:tblPr>
      <w:tblGrid>
        <w:gridCol w:w="961"/>
        <w:gridCol w:w="811"/>
        <w:gridCol w:w="721"/>
        <w:gridCol w:w="721"/>
        <w:gridCol w:w="766"/>
      </w:tblGrid>
      <w:tr>
        <w:trPr/>
        <w:tc>
          <w:tcPr>
            <w:tcW w:w="3980"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 of Subjects with IGA 0/1</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0</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Events were generally mild to moderate in intensity and considered unrelated to treatment. During the initial 8 week observation period in the 3.0 mg/kg dosing arm, an anaphylactic reaction occurred in a complicated patient with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comorbidities; the event fully resolved without sequelae. Generally, adverse events seen during the 24-week follow-up period were consistent with comorbidities commonly observed in the PN population.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noBreakHyphen/>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 Enrollment is ongoing.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The study is fully enrolled and we plan to present data from the study in the second half of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Atopic Dermatitis (AD)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well‐defined, reliable, sensitive and valid scale for evaluating worst itch intensity in adults with moderate‐to‐severe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will include up to 50 clinical trial centers in the United States. Enrollment is ongoing.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we completed the transfer of our current barzolvolimab manufacturing process to a CDMO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In preclinical studies, CDX-622 inhibits TSLP and SCF with similar potency to both its respective parental mAbs and comparator mAbs </w:t>
      </w:r>
      <w:r>
        <w:rPr>
          <w:rFonts w:ascii="Times New Roman;Times;serif" w:hAnsi="Times New Roman;Times;serif"/>
          <w:i/>
          <w:sz w:val="20"/>
        </w:rPr>
        <w:t>in vitro</w:t>
      </w:r>
      <w:r>
        <w:rPr>
          <w:rFonts w:ascii="Times New Roman;Times;serif" w:hAnsi="Times New Roman;Times;serif"/>
          <w:sz w:val="20"/>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we initiated a Phase 1 study of CDX-622 in healthy volunteers. The Phase 1a clinical trial is a two-part, randomized, double-blind, placebo-controlled, dose escalation study designed to assess the safety, pharmacokinetics, and pharmacodynamics of single ascending doses (Part 1) and multiple ascending doses (Part 2) of CDX-622 in up to 56 healthy participants. A single dose of CDX-622 or placebo will be administered intravenously once during Part 1. In Part 2, CDX-622 or placebo will be administered every 2 weeks (Q2W) for up to 6 weeks following the first dose, for a total of 3 doses. Participants will be followed for 12 weeks in both Parts 1 and 2 following the last dose of study drug. The pharmacodynamic biomarkers from blood and skin will be highly informative on the ability of CDX-622 to engage and neutralize SCF and TSLP. A subcutaneous formulation is currently being manufactured and will be added to this study in 2025. Enrollment is ongoing and we plan to present data from Part 1 of the study in the second half of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2024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2025 Compared with Three Months Ended June 30, 2024</w:t>
      </w:r>
    </w:p>
    <w:tbl>
      <w:tblPr>
        <w:tblW w:w="9368" w:type="dxa"/>
        <w:jc w:val="left"/>
        <w:tblInd w:w="0" w:type="dxa"/>
        <w:tblLayout w:type="fixed"/>
        <w:tblCellMar>
          <w:top w:w="0" w:type="dxa"/>
          <w:left w:w="0" w:type="dxa"/>
          <w:bottom w:w="0" w:type="dxa"/>
          <w:right w:w="0" w:type="dxa"/>
        </w:tblCellMar>
      </w:tblPr>
      <w:tblGrid>
        <w:gridCol w:w="3961"/>
        <w:gridCol w:w="326"/>
        <w:gridCol w:w="211"/>
        <w:gridCol w:w="796"/>
        <w:gridCol w:w="326"/>
        <w:gridCol w:w="211"/>
        <w:gridCol w:w="796"/>
        <w:gridCol w:w="326"/>
        <w:gridCol w:w="211"/>
        <w:gridCol w:w="691"/>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515235" cy="175260"/>
                      <wp:effectExtent l="0" t="0" r="0" b="0"/>
                      <wp:wrapNone/>
                      <wp:docPr id="194" name="Frame194"/>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7" name="Frame1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05460" cy="175260"/>
                      <wp:effectExtent l="0" t="0" r="0" b="0"/>
                      <wp:wrapNone/>
                      <wp:docPr id="200" name="Frame2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203" name="Frame2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53085" cy="175260"/>
                      <wp:effectExtent l="0" t="0" r="0" b="0"/>
                      <wp:wrapNone/>
                      <wp:docPr id="205" name="Frame2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0660" cy="175260"/>
                      <wp:effectExtent l="0" t="0" r="0" b="0"/>
                      <wp:wrapNone/>
                      <wp:docPr id="206" name="Frame2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3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6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14,509</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$20.8 million increase in net loss for the three months ended June 30, 2025, as compared to the three months ended June 30, 2024, was primarily due to an increase in research and development expenses and a decrease in investment and other income,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three months ended June 30, 2025 was relatively consistent with the three months ended June 30, 2024. The $1.8 million decrease in contracts and grants revenue for the three months ended June 30, 2025, as compared to the three months ended June 30, 2024, was primarily due to a decrease in revenue from our contract manufacturing and research and development agreements with Rockefeller University. We expect revenue to decrease over the next twelve months primarily due to a decrease in services expected to be performed under our contract manufacturing and research and development agreements with Rockefeller University.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473"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326"/>
        <w:gridCol w:w="331"/>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81735" cy="175260"/>
                      <wp:effectExtent l="0" t="0" r="0" b="0"/>
                      <wp:wrapNone/>
                      <wp:docPr id="207" name="Frame20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10" name="Frame2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29260" cy="175260"/>
                      <wp:effectExtent l="0" t="0" r="0" b="0"/>
                      <wp:wrapNone/>
                      <wp:docPr id="213"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0185" cy="175260"/>
                      <wp:effectExtent l="0" t="0" r="0" b="0"/>
                      <wp:wrapNone/>
                      <wp:docPr id="218" name="Frame21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0660" cy="175260"/>
                      <wp:effectExtent l="0" t="0" r="0" b="0"/>
                      <wp:wrapNone/>
                      <wp:docPr id="219" name="Frame2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5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47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97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10,869</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$2.2 million increase in personnel expenses for the three months ended June 30, 2025, as compared to the three months ended June 30, 2024,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Laboratory supply expenses for the three months ended June 30, 2025 were relatively consistent with the three months ended June 30, 2024. We expect laboratory supplies expenses to remain relatively consistent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three months ended June 30, 2025 were relatively consistent with the three months ended June 30, 2024. We expect facility expenses to remain relatively consistent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$10.9 million increase in product development expenses for the three months ended June 30, 2025, as compared to the three months ended June 30, 2024, was primarily due to an increase in barzolvolimab clinical trial and contract manufacturing expenses. We expect product development expenses to increase over the next twelve months as a result of the expanded development of barzolvolimab,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$1.3 million increase in general and administrative expenses for the three months ended June 30, 2025, as compared to the three months ended June 30, 2024, was primarily due to higher stock-based compensation expense and an increase in employee headcount. We expect general and administrative expenses to increase over the next twelve months as a result of the expanded development of barzolvolimab and an increase in commercial planning efforts,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$3.2 million decrease in investment and other income, net for the three months ended June 30, 2025, as compared to the three months ended June 30, 2024, was primarily due to lower levels of cash and investment balances. We expect investment and other income to decrease over the next twelve months due to lower levels of cash and investment balances, although there may be fluctuations on a quarterly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2025 Compared with Six Months Ended June 30, 2024</w:t>
      </w:r>
    </w:p>
    <w:tbl>
      <w:tblPr>
        <w:tblW w:w="9653" w:type="dxa"/>
        <w:jc w:val="left"/>
        <w:tblInd w:w="0" w:type="dxa"/>
        <w:tblLayout w:type="fixed"/>
        <w:tblCellMar>
          <w:top w:w="0" w:type="dxa"/>
          <w:left w:w="0" w:type="dxa"/>
          <w:bottom w:w="0" w:type="dxa"/>
          <w:right w:w="0" w:type="dxa"/>
        </w:tblCellMar>
      </w:tblPr>
      <w:tblGrid>
        <w:gridCol w:w="3961"/>
        <w:gridCol w:w="326"/>
        <w:gridCol w:w="211"/>
        <w:gridCol w:w="901"/>
        <w:gridCol w:w="326"/>
        <w:gridCol w:w="211"/>
        <w:gridCol w:w="796"/>
        <w:gridCol w:w="326"/>
        <w:gridCol w:w="211"/>
        <w:gridCol w:w="871"/>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15235" cy="175260"/>
                      <wp:effectExtent l="0" t="0" r="0" b="0"/>
                      <wp:wrapNone/>
                      <wp:docPr id="220" name="Frame22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72135" cy="175260"/>
                      <wp:effectExtent l="0" t="0" r="0" b="0"/>
                      <wp:wrapNone/>
                      <wp:docPr id="223" name="Frame2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5460" cy="175260"/>
                      <wp:effectExtent l="0" t="0" r="0" b="0"/>
                      <wp:wrapNone/>
                      <wp:docPr id="226" name="Frame2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53085" cy="175260"/>
                      <wp:effectExtent l="0" t="0" r="0" b="0"/>
                      <wp:wrapNone/>
                      <wp:docPr id="229" name="Frame22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53085" cy="175260"/>
                      <wp:effectExtent l="0" t="0" r="0" b="0"/>
                      <wp:wrapNone/>
                      <wp:docPr id="231" name="Frame2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0660" cy="175260"/>
                      <wp:effectExtent l="0" t="0" r="0" b="0"/>
                      <wp:wrapNone/>
                      <wp:docPr id="232" name="Frame2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6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05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41,746</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$41.7 million increase in net loss for the six months ended June 30, 2025, as compared to the six months ended June 30, 2024, was primarily due to an increase in research and development expenses related to barzolvolimab.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six months ended June 30, 2025 was relatively consistent with the six months ended June 30, 2024. The $1.3 million decrease in contracts and grants revenue for the six months ended June 30, 2025, as compared to the six months ended June 30, 2024, was primarily due to a decrease in revenue from our contract manufacturing and research and development agreements with Rockefeller University.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458"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326"/>
        <w:gridCol w:w="31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181735" cy="175260"/>
                      <wp:effectExtent l="0" t="0" r="0" b="0"/>
                      <wp:wrapNone/>
                      <wp:docPr id="233" name="Frame23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9260" cy="175260"/>
                      <wp:effectExtent l="0" t="0" r="0" b="0"/>
                      <wp:wrapNone/>
                      <wp:docPr id="236"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9" name="Frame2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2"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0660" cy="175260"/>
                      <wp:effectExtent l="0" t="0" r="0" b="0"/>
                      <wp:wrapNone/>
                      <wp:docPr id="244" name="Frame2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0660" cy="175260"/>
                      <wp:effectExtent l="0" t="0" r="0" b="0"/>
                      <wp:wrapNone/>
                      <wp:docPr id="245" name="Frame2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1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64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95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27,510</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$4.4 million increase in personnel expenses for the six months ended June 30, 2025, as compared to the six months ended June 30, 2024, was primarily due to higher stock-based compensation expense and an increase in employee headcount.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$0.8 million increase in laboratory supply expenses for the six months ended June 30, 2025, as compared to the six months ended June 30, 2024, was primarily due to higher laboratory materials and supplies purchases.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The $0.3 million increase in facility expenses for the six months ended June 30, 2025, as compared to the six months ended June 30, 2024, was primarily due to higher depreciation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$27.5 million increase in product development expenses for the six months ended June 30, 2025, as compared to the six months ended June 30, 2024, was primarily due to an increase in barzolvolimab clinical trial and contract manufacturing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$3.0 million increase in general and administrative expenses for the six months ended June 30, 2025, as compared to the six months ended June 30, 2024, was primarily due to higher stock-based compensation and an increase in employee headcount.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$2.1 million decrease in investment and other income, net for the six months ended June 30, 2025, as compared to the six months ended June 30, 2024, was primarily due to lower levels of cash and investment balances.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2025, our principal sources of liquidity consisted of cash, cash equivalents and marketable securities of $630.3 million. We have had recurring losses and incurred a loss of $110.4 million for the six months ended June 30, 2025. Net cash used in operations for the six months ended June 30, 2025 was $98.4 million. We believe that the cash, cash equivalents and marketable securities at June 30, 2025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$98.4 million for the six months ended June 30, 2025 as compared to $70.0 million for the six months ended June 30, 2024. The increase in net cash used in operating activities was primarily due to increases in research and development and general and administrative expenses. We expect that cash used in operating activities will increase over the next twelve months as a result of the expanded development of barzolvolimab.</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was $92.8 million for the six months ended June 30, 2025 compared to net cash used in investing activities of $361.9 million for the six months ended June 30, 2024. The increase in net cash provided by investing activities was primarily due to net sales and maturities of marketable securities of $93.8 million for the six months ended June 30, 2025 as compared to net purchases of marketable securities of $361.3 million for the six months ended June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$0.3 million for the six months ended June 30, 2025 as compared to $439.8 million for the six months ended June 30, 2024. The decrease in net cash provided by financing activities was primarily due to a decrease in net proceeds from stock issuances.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2024, we issued 9,798,000 shares of common stock in an underwritten public offering, resulting in net proceeds of $432.3 million, after deducting underwriting fees and offering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42" w:name="Item3QuantitativeandQualitativeDisclosur"/>
      <w:bookmarkStart w:id="743" w:name="_6c5f965b_2497_42f6_8eb3_dac17ff1e5fd"/>
      <w:bookmarkEnd w:id="742"/>
      <w:bookmarkEnd w:id="743"/>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June 30, 2025 due to the short-term maturities of these instruments.</w:t>
      </w:r>
    </w:p>
    <w:p>
      <w:pPr>
        <w:pStyle w:val="TextBody"/>
        <w:pBdr/>
        <w:bidi w:val="0"/>
        <w:spacing w:before="0" w:after="240"/>
        <w:ind w:left="0" w:right="0" w:hanging="1152"/>
        <w:jc w:val="left"/>
        <w:rPr>
          <w:rFonts w:ascii="Times New Roman;Times;serif" w:hAnsi="Times New Roman;Times;serif"/>
          <w:sz w:val="20"/>
        </w:rPr>
      </w:pPr>
      <w:bookmarkStart w:id="744" w:name="Item4ControlsandProcedures_940929"/>
      <w:bookmarkStart w:id="745" w:name="_94fd0713_a110_4fca_a2e8_1f6d32c8511f"/>
      <w:bookmarkEnd w:id="744"/>
      <w:bookmarkEnd w:id="745"/>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June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6" w:name="PARTIIOTHERINFORMATION_770534"/>
      <w:bookmarkStart w:id="747" w:name="_9ff7c934_c55a_41a5_a9f6_5ec663d1f15f"/>
      <w:bookmarkEnd w:id="746"/>
      <w:bookmarkEnd w:id="747"/>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748" w:name="Item1ARiskFactors_750939"/>
      <w:bookmarkEnd w:id="748"/>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2024,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27, 2025.</w:t>
      </w:r>
    </w:p>
    <w:p>
      <w:pPr>
        <w:pStyle w:val="TextBody"/>
        <w:bidi w:val="0"/>
        <w:spacing w:before="0" w:after="240"/>
        <w:ind w:left="0" w:right="0" w:hanging="0"/>
        <w:jc w:val="left"/>
        <w:rPr>
          <w:rFonts w:ascii="Times New Roman;Times;serif" w:hAnsi="Times New Roman;Times;serif"/>
          <w:b/>
          <w:sz w:val="20"/>
        </w:rPr>
      </w:pPr>
      <w:bookmarkStart w:id="749" w:name="Item5OtherInformation_222271"/>
      <w:bookmarkStart w:id="750" w:name="_11a325b2_3063_4ef6_90b7_16b70a79d9a0"/>
      <w:bookmarkEnd w:id="749"/>
      <w:bookmarkEnd w:id="750"/>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140"/>
        <w:ind w:left="0" w:right="0" w:hanging="0"/>
        <w:jc w:val="left"/>
        <w:rPr>
          <w:rFonts w:ascii="Times New Roman;Times;serif" w:hAnsi="Times New Roman;Times;serif"/>
          <w:b/>
          <w:sz w:val="20"/>
        </w:rPr>
      </w:pPr>
      <w:bookmarkStart w:id="751" w:name="Item6Exhibits_142075"/>
      <w:bookmarkStart w:id="752" w:name="_1753e3d9_fad5_42fe_a5b6_4aa70ceb246c"/>
      <w:bookmarkEnd w:id="751"/>
      <w:bookmarkEnd w:id="752"/>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240"/>
        <w:ind w:left="0" w:right="0" w:hanging="0"/>
        <w:jc w:val="center"/>
        <w:rPr>
          <w:rFonts w:ascii="Times New Roman;Times;serif" w:hAnsi="Times New Roman;Times;serif"/>
          <w:b/>
          <w:sz w:val="20"/>
        </w:rPr>
      </w:pPr>
      <w:bookmarkStart w:id="753" w:name="Exhibitindex"/>
      <w:bookmarkEnd w:id="753"/>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791"/>
        <w:gridCol w:w="326"/>
        <w:gridCol w:w="9088"/>
      </w:tblGrid>
      <w:tr>
        <w:trPr/>
        <w:tc>
          <w:tcPr>
            <w:tcW w:w="791" w:type="dxa"/>
            <w:tcBorders>
              <w:bottom w:val="single" w:sz="2" w:space="0" w:color="000000"/>
            </w:tcBorders>
            <w:vAlign w:val="center"/>
          </w:tcPr>
          <w:p>
            <w:pPr>
              <w:pStyle w:val="TableContents"/>
              <w:bidi w:val="0"/>
              <w:spacing w:before="0" w:after="0"/>
              <w:ind w:left="0" w:right="0" w:hanging="0"/>
              <w:jc w:val="left"/>
              <w:rPr>
                <w:rFonts w:ascii="Helvetica;sans-serif" w:hAnsi="Helvetica;sans-serif"/>
                <w:sz w:val="18"/>
              </w:rPr>
            </w:pPr>
            <w:r>
              <w:rPr>
                <w:rFonts w:ascii="Times New Roman;Times;serif" w:hAnsi="Times New Roman;Times;serif"/>
                <w:b/>
                <w:sz w:val="18"/>
              </w:rPr>
              <w:t>Exhibit</w:t>
            </w:r>
            <w:r>
              <w:rPr>
                <w:rFonts w:ascii="Helvetica;sans-serif" w:hAnsi="Helvetica;sans-serif"/>
                <w:sz w:val="18"/>
              </w:rPr>
              <w:t xml:space="preserve"> </w:t>
            </w:r>
            <w:r>
              <w:rPr>
                <w:rFonts w:ascii="Times New Roman;Times;serif" w:hAnsi="Times New Roman;Times;serif"/>
                <w:sz w:val="18"/>
              </w:rPr>
              <w:br/>
            </w:r>
            <w:r>
              <w:rPr>
                <w:rFonts w:ascii="Times New Roman;Times;serif" w:hAnsi="Times New Roman;Times;serif"/>
                <w:b/>
                <w:sz w:val="18"/>
              </w:rPr>
              <w:t>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79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Amendment No. 3 to Celldex Therapeutics, Inc. 2021 Omnibus Equity Incentive Plan, incorporated by reference to Exhibit 10.1 to the Company’s current report on Form 8-K, filed on June 6, 2025 with the Securities and Exchange Commission.</w:t>
              </w:r>
            </w:hyperlink>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hyperlink w:anchor="cldx-20250630xex31d1.htm">
              <w:r>
                <w:rPr>
                  <w:rStyle w:val="InternetLink"/>
                  <w:rFonts w:ascii="Times New Roman;Times;serif" w:hAnsi="Times New Roman;Times;serif"/>
                  <w:b w:val="false"/>
                  <w:i w:val="false"/>
                  <w:caps w:val="false"/>
                  <w:smallCaps w:val="false"/>
                  <w:sz w:val="22"/>
                </w:rPr>
                <w:t>Certification of President and Chief Executive Officer</w:t>
              </w:r>
            </w:hyperlink>
            <w:hyperlink w:anchor="cldx-20250630xex31d1.htm">
              <w:r>
                <w:rPr>
                  <w:rStyle w:val="InternetLink"/>
                  <w:rFonts w:ascii="Helvetica;sans-serif" w:hAnsi="Helvetica;sans-serif"/>
                  <w:b w:val="false"/>
                  <w:i w:val="false"/>
                  <w:caps w:val="false"/>
                  <w:smallCaps w:val="false"/>
                  <w:sz w:val="22"/>
                </w:rPr>
                <w:t>.</w:t>
              </w:r>
            </w:hyperlink>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hyperlink w:anchor="cldx-20250630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hyperlink w:anchor="cldx-20250630xex31d2.htm">
              <w:r>
                <w:rPr>
                  <w:rStyle w:val="InternetLink"/>
                  <w:rFonts w:ascii="Helvetica;sans-serif" w:hAnsi="Helvetica;sans-serif"/>
                  <w:b w:val="false"/>
                  <w:i w:val="false"/>
                  <w:caps w:val="false"/>
                  <w:smallCaps w:val="false"/>
                  <w:sz w:val="22"/>
                </w:rPr>
                <w:t>.</w:t>
              </w:r>
            </w:hyperlink>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hyperlink w:anchor="cldx-20250630xex32d1.htm">
              <w:r>
                <w:rPr>
                  <w:rStyle w:val="InternetLink"/>
                  <w:rFonts w:ascii="Times New Roman;Times;serif" w:hAnsi="Times New Roman;Times;serif"/>
                  <w:b w:val="false"/>
                  <w:i w:val="false"/>
                  <w:caps w:val="false"/>
                  <w:smallCaps w:val="false"/>
                  <w:sz w:val="22"/>
                </w:rPr>
                <w:t>Section 1350 Certifications</w:t>
              </w:r>
            </w:hyperlink>
            <w:hyperlink w:anchor="cldx-20250630xex32d1.htm">
              <w:r>
                <w:rPr>
                  <w:rStyle w:val="InternetLink"/>
                  <w:rFonts w:ascii="Helvetica;sans-serif" w:hAnsi="Helvetica;sans-serif"/>
                  <w:b w:val="false"/>
                  <w:i w:val="false"/>
                  <w:caps w:val="false"/>
                  <w:smallCaps w:val="false"/>
                  <w:sz w:val="22"/>
                </w:rPr>
                <w:t>.</w:t>
              </w:r>
            </w:hyperlink>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Schema Document.</w:t>
            </w:r>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Calculation Linkbase Document.</w:t>
            </w:r>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Definition Linkbase Document.</w:t>
            </w:r>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Label Linkbase Document.</w:t>
            </w:r>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Presentation Linkbase Document.</w:t>
            </w:r>
          </w:p>
        </w:tc>
      </w:tr>
      <w:tr>
        <w:trPr/>
        <w:tc>
          <w:tcPr>
            <w:tcW w:w="7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6902" w:type="dxa"/>
        <w:jc w:val="left"/>
        <w:tblInd w:w="0" w:type="dxa"/>
        <w:tblLayout w:type="fixed"/>
        <w:tblCellMar>
          <w:top w:w="0" w:type="dxa"/>
          <w:left w:w="0" w:type="dxa"/>
          <w:bottom w:w="0" w:type="dxa"/>
          <w:right w:w="0" w:type="dxa"/>
        </w:tblCellMar>
      </w:tblPr>
      <w:tblGrid>
        <w:gridCol w:w="241"/>
        <w:gridCol w:w="6661"/>
      </w:tblGrid>
      <w:tr>
        <w:trPr/>
        <w:tc>
          <w:tcPr>
            <w:tcW w:w="241" w:type="dxa"/>
            <w:tcBorders/>
            <w:vAlign w:val="center"/>
          </w:tcPr>
          <w:p>
            <w:pPr>
              <w:pStyle w:val="TableContents"/>
              <w:bidi w:val="0"/>
              <w:spacing w:before="0" w:after="0"/>
              <w:jc w:val="left"/>
              <w:rPr/>
            </w:pPr>
            <w:r>
              <w:rPr/>
              <w:t>†</w:t>
            </w:r>
          </w:p>
        </w:tc>
        <w:tc>
          <w:tcPr>
            <w:tcW w:w="66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compensation plan, contract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54" w:name="SIGNATURES_933986"/>
      <w:bookmarkStart w:id="755" w:name="_5df1760b_125e_4943_bcac_257ef13817c8"/>
      <w:bookmarkEnd w:id="754"/>
      <w:bookmarkEnd w:id="75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92" w:type="dxa"/>
        <w:jc w:val="left"/>
        <w:tblInd w:w="0" w:type="dxa"/>
        <w:tblLayout w:type="fixed"/>
        <w:tblCellMar>
          <w:top w:w="0" w:type="dxa"/>
          <w:left w:w="0" w:type="dxa"/>
          <w:bottom w:w="0" w:type="dxa"/>
          <w:right w:w="0" w:type="dxa"/>
        </w:tblCellMar>
      </w:tblPr>
      <w:tblGrid>
        <w:gridCol w:w="1951"/>
        <w:gridCol w:w="4141"/>
      </w:tblGrid>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2025</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2025</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right"/>
        <w:rPr>
          <w:rFonts w:ascii="Times New Roman;Times;serif" w:hAnsi="Times New Roman;Times;serif"/>
          <w:b/>
          <w:sz w:val="20"/>
        </w:rPr>
      </w:pPr>
      <w:bookmarkStart w:id="756" w:name="cldx-20250630xex31d1.htm"/>
      <w:bookmarkStart w:id="757" w:name="kscldx20250630xex31d1"/>
      <w:bookmarkEnd w:id="756"/>
      <w:bookmarkEnd w:id="75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Anthony S. Marucci,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688" w:type="dxa"/>
        <w:jc w:val="left"/>
        <w:tblInd w:w="0" w:type="dxa"/>
        <w:tblLayout w:type="fixed"/>
        <w:tblCellMar>
          <w:top w:w="0" w:type="dxa"/>
          <w:left w:w="0" w:type="dxa"/>
          <w:bottom w:w="0" w:type="dxa"/>
          <w:right w:w="0" w:type="dxa"/>
        </w:tblCellMar>
      </w:tblPr>
      <w:tblGrid>
        <w:gridCol w:w="1846"/>
        <w:gridCol w:w="631"/>
        <w:gridCol w:w="321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172210" cy="175260"/>
                      <wp:effectExtent l="0" t="0" r="0" b="0"/>
                      <wp:wrapNone/>
                      <wp:docPr id="246" name="Frame24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00685" cy="175260"/>
                      <wp:effectExtent l="0" t="0" r="0" b="0"/>
                      <wp:wrapNone/>
                      <wp:docPr id="247" name="Frame24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38985" cy="175260"/>
                      <wp:effectExtent l="0" t="0" r="0" b="0"/>
                      <wp:wrapNone/>
                      <wp:docPr id="248" name="Frame248"/>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8" w:name="cldx-20250630xex31d2.htm"/>
      <w:bookmarkStart w:id="759" w:name="kscldx20250630xex31d2"/>
      <w:bookmarkEnd w:id="758"/>
      <w:bookmarkEnd w:id="75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Sam Martin,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618" w:type="dxa"/>
        <w:jc w:val="left"/>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72210" cy="175260"/>
                      <wp:effectExtent l="0" t="0" r="0" b="0"/>
                      <wp:wrapNone/>
                      <wp:docPr id="249" name="Frame24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00685" cy="175260"/>
                      <wp:effectExtent l="0" t="0" r="0" b="0"/>
                      <wp:wrapNone/>
                      <wp:docPr id="250" name="Frame2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29535" cy="175260"/>
                      <wp:effectExtent l="0" t="0" r="0" b="0"/>
                      <wp:wrapNone/>
                      <wp:docPr id="251" name="Frame251"/>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60" w:name="cldx-20250630xex32d1.htm"/>
      <w:bookmarkStart w:id="761" w:name="kscldx20250630xex32d1"/>
      <w:bookmarkEnd w:id="760"/>
      <w:bookmarkEnd w:id="761"/>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733" w:type="dxa"/>
        <w:jc w:val="left"/>
        <w:tblInd w:w="0" w:type="dxa"/>
        <w:tblLayout w:type="fixed"/>
        <w:tblCellMar>
          <w:top w:w="0" w:type="dxa"/>
          <w:left w:w="0" w:type="dxa"/>
          <w:bottom w:w="0" w:type="dxa"/>
          <w:right w:w="0" w:type="dxa"/>
        </w:tblCellMar>
      </w:tblPr>
      <w:tblGrid>
        <w:gridCol w:w="1846"/>
        <w:gridCol w:w="676"/>
        <w:gridCol w:w="321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72210" cy="175260"/>
                      <wp:effectExtent l="0" t="0" r="0" b="0"/>
                      <wp:wrapNone/>
                      <wp:docPr id="252" name="Frame25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38985" cy="175260"/>
                      <wp:effectExtent l="0" t="0" r="0" b="0"/>
                      <wp:wrapNone/>
                      <wp:docPr id="254" name="Frame254"/>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663" w:type="dxa"/>
        <w:jc w:val="left"/>
        <w:tblInd w:w="0" w:type="dxa"/>
        <w:tblLayout w:type="fixed"/>
        <w:tblCellMar>
          <w:top w:w="0" w:type="dxa"/>
          <w:left w:w="0" w:type="dxa"/>
          <w:bottom w:w="0" w:type="dxa"/>
          <w:right w:w="0" w:type="dxa"/>
        </w:tblCellMar>
      </w:tblPr>
      <w:tblGrid>
        <w:gridCol w:w="1846"/>
        <w:gridCol w:w="676"/>
        <w:gridCol w:w="414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172210" cy="175260"/>
                      <wp:effectExtent l="0" t="0" r="0" b="0"/>
                      <wp:wrapNone/>
                      <wp:docPr id="255" name="Frame25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29260" cy="175260"/>
                      <wp:effectExtent l="0" t="0" r="0" b="0"/>
                      <wp:wrapNone/>
                      <wp:docPr id="256" name="Frame2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629535" cy="175260"/>
                      <wp:effectExtent l="0" t="0" r="0" b="0"/>
                      <wp:wrapNone/>
                      <wp:docPr id="257" name="Frame257"/>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4218/000110465925057066/tm2517205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20146</Words>
  <Characters>111380</Characters>
  <CharactersWithSpaces>132076</CharactersWithSpaces>
  <Paragraphs>4119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