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5218430</wp:posOffset>
            </wp:positionH>
            <wp:positionV relativeFrom="paragraph">
              <wp:posOffset>-614680</wp:posOffset>
            </wp:positionV>
            <wp:extent cx="57785" cy="6280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3941445</wp:posOffset>
            </wp:positionH>
            <wp:positionV relativeFrom="paragraph">
              <wp:posOffset>-614680</wp:posOffset>
            </wp:positionV>
            <wp:extent cx="57785" cy="628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727710</wp:posOffset>
            </wp:positionV>
            <wp:extent cx="7047865" cy="45148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514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5" w:right="359" w:bottom="1440" w:gutter="0" w:footer="0" w:header="0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Marucci Anthony S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CELLDEX THERAPEUTICS,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53 FRONTAGE ROAD, SUITE 220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jc w:val="center"/>
        <w:ind w:right="241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Celldex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CLDX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5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5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8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PRESIDENT &amp; CEO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21" w:space="720"/>
            <w:col w:w="3339"/>
          </w:cols>
          <w:pgMar w:left="460" w:top="215" w:right="359" w:bottom="1440" w:gutter="0" w:footer="0" w:header="0"/>
          <w:type w:val="continuous"/>
        </w:sectPr>
      </w:pPr>
    </w:p>
    <w:p>
      <w:pPr>
        <w:spacing w:after="0" w:line="20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HAMPTON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NJ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08827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375,000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34.09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375,000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06/25/2036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375,000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option granted by the Issuer pursuant to its 2021 Omnibus Equity Incentive Plan.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vest on June 25, 2027 and the remainder vest quarterly (in equal amounts) over the subsequent 12 quarters.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Sam Martin, attorney-in-fact 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220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for Anthony S. Marucci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-15240</wp:posOffset>
            </wp:positionV>
            <wp:extent cx="9975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-79375</wp:posOffset>
            </wp:positionV>
            <wp:extent cx="4756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40" w:hanging="1"/>
        <w:spacing w:after="0" w:line="329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29933" TargetMode="External"/><Relationship Id="rId14" Type="http://schemas.openxmlformats.org/officeDocument/2006/relationships/hyperlink" Target="http://www.sec.gov/cgi-bin/browse-edgar?action=getcompany&amp;CIK=00007442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2026-06-29T15:29:15Z</dcterms:created>
  <dcterms:modified xsi:type="dcterms:W3CDTF">2026-06-29T15:29:15Z</dcterms:modified>
</cp:coreProperties>
</file>