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80" w:right="1440" w:hanging="3548"/>
        <w:spacing w:after="0" w:line="500" w:lineRule="auto"/>
        <w:tabs>
          <w:tab w:leader="none" w:pos="6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-520700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200" w:right="1420" w:hanging="3868"/>
        <w:spacing w:after="0" w:line="498" w:lineRule="auto"/>
        <w:tabs>
          <w:tab w:leader="none" w:pos="65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000-15006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-518160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CELLDEX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56" w:right="3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No. 13-3191702</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756"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Perryville III Building, 53 Frontage Road, Suite 220, Hampton, New Jersey 08827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(908) 200-7500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p>
        </w:tc>
        <w:tc>
          <w:tcPr>
            <w:tcW w:w="4420" w:type="dxa"/>
            <w:vAlign w:val="bottom"/>
            <w:gridSpan w:val="5"/>
          </w:tcPr>
          <w:p>
            <w:pPr>
              <w:ind w:left="2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500" w:type="dxa"/>
            <w:vAlign w:val="bottom"/>
          </w:tcPr>
          <w:p>
            <w:pPr>
              <w:spacing w:after="0"/>
              <w:rPr>
                <w:sz w:val="20"/>
                <w:szCs w:val="20"/>
                <w:color w:val="auto"/>
              </w:rPr>
            </w:pPr>
          </w:p>
        </w:tc>
      </w:tr>
      <w:tr>
        <w:trPr>
          <w:trHeight w:val="432"/>
        </w:trPr>
        <w:tc>
          <w:tcPr>
            <w:tcW w:w="332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Title of each class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320" w:type="dxa"/>
            <w:vAlign w:val="bottom"/>
            <w:tcBorders>
              <w:top w:val="single" w:sz="8" w:color="auto"/>
            </w:tcBorders>
          </w:tcPr>
          <w:p>
            <w:pPr>
              <w:jc w:val="center"/>
              <w:ind w:left="430"/>
              <w:spacing w:after="0"/>
              <w:rPr>
                <w:sz w:val="20"/>
                <w:szCs w:val="20"/>
                <w:color w:val="auto"/>
              </w:rPr>
            </w:pPr>
            <w:r>
              <w:rPr>
                <w:rFonts w:ascii="Arial" w:cs="Arial" w:eastAsia="Arial" w:hAnsi="Arial"/>
                <w:sz w:val="18"/>
                <w:szCs w:val="18"/>
                <w:color w:val="auto"/>
                <w:w w:val="90"/>
              </w:rPr>
              <w:t>Common Stock, par value $.001</w:t>
            </w: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CLDX</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56" w:right="339" w:bottom="1440" w:gutter="0" w:footer="0" w:header="0"/>
          <w:type w:val="continuous"/>
        </w:sectPr>
      </w:pPr>
    </w:p>
    <w:p>
      <w:pPr>
        <w:spacing w:after="0" w:line="151"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7000" w:space="720"/>
            <w:col w:w="3520"/>
          </w:cols>
          <w:pgMar w:left="320" w:top="756" w:right="339" w:bottom="1440" w:gutter="0" w:footer="0" w:header="0"/>
          <w:type w:val="continuous"/>
        </w:sectPr>
      </w:pPr>
    </w:p>
    <w:p>
      <w:pPr>
        <w:spacing w:after="0" w:line="48" w:lineRule="exact"/>
        <w:rPr>
          <w:sz w:val="24"/>
          <w:szCs w:val="24"/>
          <w:color w:val="auto"/>
        </w:rPr>
      </w:pPr>
    </w:p>
    <w:p>
      <w:pPr>
        <w:ind w:left="196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620" w:space="720"/>
            <w:col w:w="3900"/>
          </w:cols>
          <w:pgMar w:left="320" w:top="756" w:right="339" w:bottom="1440" w:gutter="0" w:footer="0" w:header="0"/>
          <w:type w:val="continuous"/>
        </w:sectPr>
      </w:pPr>
    </w:p>
    <w:p>
      <w:pPr>
        <w:spacing w:after="0" w:line="48" w:lineRule="exact"/>
        <w:rPr>
          <w:sz w:val="24"/>
          <w:szCs w:val="24"/>
          <w:color w:val="auto"/>
        </w:rPr>
      </w:pPr>
    </w:p>
    <w:p>
      <w:pPr>
        <w:ind w:left="73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756" w:right="339" w:bottom="1440" w:gutter="0" w:footer="0" w:header="0"/>
          <w:type w:val="continuous"/>
        </w:sectPr>
      </w:pP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July 31, 2020, 39,126,448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580" w:type="dxa"/>
            <w:vAlign w:val="bottom"/>
          </w:tcPr>
          <w:p>
            <w:pPr>
              <w:jc w:val="center"/>
              <w:ind w:left="570"/>
              <w:spacing w:after="0"/>
              <w:rPr>
                <w:sz w:val="20"/>
                <w:szCs w:val="20"/>
                <w:color w:val="auto"/>
              </w:rPr>
            </w:pPr>
            <w:r>
              <w:rPr>
                <w:rFonts w:ascii="Arial" w:cs="Arial" w:eastAsia="Arial" w:hAnsi="Arial"/>
                <w:sz w:val="18"/>
                <w:szCs w:val="18"/>
                <w:b w:val="1"/>
                <w:bCs w:val="1"/>
                <w:color w:val="auto"/>
              </w:rPr>
              <w:t>CELLDEX THERAPEUTICS, INC.</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80" w:type="dxa"/>
            <w:vAlign w:val="bottom"/>
          </w:tcPr>
          <w:p>
            <w:pPr>
              <w:jc w:val="center"/>
              <w:ind w:left="590"/>
              <w:spacing w:after="0"/>
              <w:rPr>
                <w:sz w:val="20"/>
                <w:szCs w:val="20"/>
                <w:color w:val="auto"/>
              </w:rPr>
            </w:pPr>
            <w:r>
              <w:rPr>
                <w:rFonts w:ascii="Arial" w:cs="Arial" w:eastAsia="Arial" w:hAnsi="Arial"/>
                <w:sz w:val="18"/>
                <w:szCs w:val="18"/>
                <w:b w:val="1"/>
                <w:bCs w:val="1"/>
                <w:color w:val="auto"/>
                <w:w w:val="99"/>
              </w:rPr>
              <w:t>FORM 10-Q</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8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For the Quarterly Period Ended June 30, 2020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8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Table of Contents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80" w:type="dxa"/>
            <w:vAlign w:val="bottom"/>
          </w:tcPr>
          <w:p>
            <w:pPr>
              <w:spacing w:after="0"/>
              <w:rPr>
                <w:sz w:val="24"/>
                <w:szCs w:val="24"/>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580" w:type="dxa"/>
            <w:vAlign w:val="bottom"/>
            <w:tcBorders>
              <w:top w:val="single" w:sz="8" w:color="CCEEFF"/>
            </w:tcBorders>
            <w:shd w:val="clear" w:color="auto" w:fill="CCEEFF"/>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Unaudited Financial Statements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June 30, 2020 and December 31, 2019</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340"/>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Condensed Consolidated Statements of Operations and Comprehensive Loss for the Three and Six Months Ended June 30, 2020 and 2019</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Cash Flows for the Six Months Ended June 30, 2020 and 2019</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Notes to Unaudited Condensed Consolidated Financial Statements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2. Management’s Discussion and Analysis of Financial Condition and Results of Operations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Quantitative and Qualitative Disclosures About Market Risk</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Controls and Procedures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Part II — Other Information</w:t>
              </w:r>
            </w:hyperlink>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1A. Risk Factors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5. Other Information</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ind w:left="1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6. Exhibits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Exhibit Index</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80" w:type="dxa"/>
            <w:vAlign w:val="bottom"/>
            <w:shd w:val="clear" w:color="auto" w:fill="CCEEFF"/>
          </w:tcPr>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Signatures</w:t>
              </w:r>
            </w:hyperlink>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058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2</w:t>
            </w: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09"/>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11,232</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138,888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53,151</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and Other Receivables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r>
      <w:tr>
        <w:trPr>
          <w:trHeight w:val="229"/>
        </w:trPr>
        <w:tc>
          <w:tcPr>
            <w:tcW w:w="838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r>
      <w:tr>
        <w:trPr>
          <w:trHeight w:val="210"/>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45,190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48,690</w:t>
            </w:r>
          </w:p>
        </w:tc>
      </w:tr>
      <w:tr>
        <w:trPr>
          <w:trHeight w:val="229"/>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63"/>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261,401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122,933</w:t>
            </w:r>
          </w:p>
        </w:tc>
        <w:tc>
          <w:tcPr>
            <w:tcW w:w="100" w:type="dxa"/>
            <w:vAlign w:val="bottom"/>
            <w:tcBorders>
              <w:bottom w:val="single" w:sz="8" w:color="CCEEFF"/>
            </w:tcBorders>
          </w:tcPr>
          <w:p>
            <w:pPr>
              <w:spacing w:after="0"/>
              <w:rPr>
                <w:sz w:val="22"/>
                <w:szCs w:val="22"/>
                <w:color w:val="auto"/>
              </w:rPr>
            </w:pPr>
          </w:p>
        </w:tc>
      </w:tr>
      <w:tr>
        <w:trPr>
          <w:trHeight w:val="197"/>
        </w:trPr>
        <w:tc>
          <w:tcPr>
            <w:tcW w:w="8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6,499</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Current Portion of Other Long-Term Liabilities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2,026</w:t>
            </w:r>
          </w:p>
        </w:tc>
      </w:tr>
      <w:tr>
        <w:trPr>
          <w:trHeight w:val="209"/>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80" w:type="dxa"/>
            <w:vAlign w:val="bottom"/>
          </w:tcPr>
          <w:p>
            <w:pPr>
              <w:spacing w:after="0"/>
              <w:rPr>
                <w:sz w:val="20"/>
                <w:szCs w:val="20"/>
                <w:color w:val="auto"/>
              </w:rPr>
            </w:pPr>
            <w:r>
              <w:rPr>
                <w:rFonts w:ascii="Arial" w:cs="Arial" w:eastAsia="Arial" w:hAnsi="Arial"/>
                <w:sz w:val="18"/>
                <w:szCs w:val="18"/>
                <w:color w:val="auto"/>
              </w:rPr>
              <w:t>Long-Term Portion of Operating Lease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r>
      <w:tr>
        <w:trPr>
          <w:trHeight w:val="23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15,551</w:t>
            </w:r>
          </w:p>
        </w:tc>
      </w:tr>
      <w:tr>
        <w:trPr>
          <w:trHeight w:val="210"/>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28,907</w:t>
            </w:r>
          </w:p>
        </w:tc>
        <w:tc>
          <w:tcPr>
            <w:tcW w:w="100" w:type="dxa"/>
            <w:vAlign w:val="bottom"/>
            <w:tcBorders>
              <w:bottom w:val="single" w:sz="8" w:color="CCEEFF"/>
            </w:tcBorders>
          </w:tcPr>
          <w:p>
            <w:pPr>
              <w:spacing w:after="0"/>
              <w:rPr>
                <w:sz w:val="18"/>
                <w:szCs w:val="18"/>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Convertible Preferred Stock, $.01 Par Value; 3,000,000 Shares Authorized; No Shares Issued and Outstanding at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2020 and December 31, 2019</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80" w:type="dxa"/>
            <w:vAlign w:val="bottom"/>
          </w:tcPr>
          <w:p>
            <w:pPr>
              <w:ind w:left="180"/>
              <w:spacing w:after="0" w:line="201" w:lineRule="exact"/>
              <w:rPr>
                <w:sz w:val="20"/>
                <w:szCs w:val="20"/>
                <w:color w:val="auto"/>
              </w:rPr>
            </w:pPr>
            <w:r>
              <w:rPr>
                <w:rFonts w:ascii="Arial" w:cs="Arial" w:eastAsia="Arial" w:hAnsi="Arial"/>
                <w:sz w:val="18"/>
                <w:szCs w:val="18"/>
                <w:color w:val="auto"/>
                <w:w w:val="89"/>
              </w:rPr>
              <w:t>Common Stock, $.001 Par Value; 297,000,000 Shares Authorized; 39,093,868 and 16,972,077 Shares Issued and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80" w:type="dxa"/>
            <w:vAlign w:val="bottom"/>
          </w:tcPr>
          <w:p>
            <w:pPr>
              <w:ind w:left="340"/>
              <w:spacing w:after="0"/>
              <w:rPr>
                <w:sz w:val="20"/>
                <w:szCs w:val="20"/>
                <w:color w:val="auto"/>
              </w:rPr>
            </w:pPr>
            <w:r>
              <w:rPr>
                <w:rFonts w:ascii="Arial" w:cs="Arial" w:eastAsia="Arial" w:hAnsi="Arial"/>
                <w:sz w:val="18"/>
                <w:szCs w:val="18"/>
                <w:color w:val="auto"/>
              </w:rPr>
              <w:t>Outstanding at June 30, 2020 and December 31, 2019, Respectively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1,272,783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1,104,706</w:t>
            </w: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2,619</w:t>
            </w: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(1,036,972)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(1,013,316)</w:t>
            </w:r>
          </w:p>
        </w:tc>
      </w:tr>
      <w:tr>
        <w:trPr>
          <w:trHeight w:val="210"/>
        </w:trPr>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94,026</w:t>
            </w:r>
          </w:p>
        </w:tc>
        <w:tc>
          <w:tcPr>
            <w:tcW w:w="100" w:type="dxa"/>
            <w:vAlign w:val="bottom"/>
            <w:tcBorders>
              <w:bottom w:val="single" w:sz="8" w:color="CCEEFF"/>
            </w:tcBorders>
          </w:tcPr>
          <w:p>
            <w:pPr>
              <w:spacing w:after="0"/>
              <w:rPr>
                <w:sz w:val="18"/>
                <w:szCs w:val="18"/>
                <w:color w:val="auto"/>
              </w:rPr>
            </w:pPr>
          </w:p>
        </w:tc>
      </w:tr>
      <w:tr>
        <w:trPr>
          <w:trHeight w:val="223"/>
        </w:trPr>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261,401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gridSpan w:val="8"/>
          </w:tcPr>
          <w:p>
            <w:pPr>
              <w:ind w:left="4040"/>
              <w:spacing w:after="0"/>
              <w:rPr>
                <w:sz w:val="20"/>
                <w:szCs w:val="20"/>
                <w:color w:val="auto"/>
              </w:rPr>
            </w:pPr>
            <w:r>
              <w:rPr>
                <w:rFonts w:ascii="Arial" w:cs="Arial" w:eastAsia="Arial" w:hAnsi="Arial"/>
                <w:sz w:val="18"/>
                <w:szCs w:val="18"/>
                <w:b w:val="1"/>
                <w:bCs w:val="1"/>
                <w:color w:val="auto"/>
              </w:rPr>
              <w:t>(In thousands, except per share amounts)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w w:val="93"/>
              </w:rPr>
              <w:t>Three Months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24"/>
                <w:szCs w:val="24"/>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1"/>
              </w:rPr>
              <w:t>Six Months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Six Months</w:t>
            </w: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0"/>
              </w:rPr>
              <w:t>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88"/>
              </w:rPr>
              <w:t>June 30, 2020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87"/>
              </w:rPr>
              <w:t>June 30, 2019</w:t>
            </w:r>
          </w:p>
        </w:tc>
        <w:tc>
          <w:tcPr>
            <w:tcW w:w="100" w:type="dxa"/>
            <w:vAlign w:val="bottom"/>
          </w:tcPr>
          <w:p>
            <w:pPr>
              <w:spacing w:after="0"/>
              <w:rPr>
                <w:sz w:val="20"/>
                <w:szCs w:val="20"/>
                <w:color w:val="auto"/>
              </w:rPr>
            </w:pPr>
          </w:p>
        </w:tc>
        <w:tc>
          <w:tcPr>
            <w:tcW w:w="134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88"/>
              </w:rPr>
              <w:t>June 30,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June 30, 2019</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2,285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80" w:type="dxa"/>
            <w:vAlign w:val="bottom"/>
            <w:shd w:val="clear" w:color="auto" w:fill="CCEEFF"/>
          </w:tcPr>
          <w:p>
            <w:pPr>
              <w:spacing w:after="0"/>
              <w:rPr>
                <w:sz w:val="19"/>
                <w:szCs w:val="19"/>
                <w:color w:val="auto"/>
              </w:rPr>
            </w:pPr>
          </w:p>
        </w:tc>
      </w:tr>
      <w:tr>
        <w:trPr>
          <w:trHeight w:val="210"/>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9,705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21,400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21,232</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3,528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3,908</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7,194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8,804</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Impairment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Asset Impairment</w:t>
            </w:r>
          </w:p>
        </w:tc>
        <w:tc>
          <w:tcPr>
            <w:tcW w:w="10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6"/>
              </w:rPr>
              <w:t>(Gain) Loss on Fair Value Remeasurement of Contingent Consideration</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9"/>
                <w:szCs w:val="19"/>
                <w:color w:val="auto"/>
              </w:rPr>
            </w:pPr>
          </w:p>
        </w:tc>
      </w:tr>
      <w:tr>
        <w:trPr>
          <w:trHeight w:val="209"/>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12,972</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(11,365)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(24,231)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(30,198)</w:t>
            </w: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9"/>
                <w:szCs w:val="19"/>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100" w:type="dxa"/>
            <w:vAlign w:val="bottom"/>
            <w:gridSpan w:val="2"/>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5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552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(0.84)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(1.20)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(2.21)</w:t>
            </w:r>
          </w:p>
        </w:tc>
      </w:tr>
      <w:tr>
        <w:trPr>
          <w:trHeight w:val="197"/>
        </w:trPr>
        <w:tc>
          <w:tcPr>
            <w:tcW w:w="5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83"/>
        </w:trPr>
        <w:tc>
          <w:tcPr>
            <w:tcW w:w="5520" w:type="dxa"/>
            <w:vAlign w:val="bottom"/>
          </w:tcPr>
          <w:p>
            <w:pPr>
              <w:spacing w:after="0"/>
              <w:rPr>
                <w:sz w:val="20"/>
                <w:szCs w:val="20"/>
                <w:color w:val="auto"/>
              </w:rPr>
            </w:pPr>
            <w:r>
              <w:rPr>
                <w:rFonts w:ascii="Arial" w:cs="Arial" w:eastAsia="Arial" w:hAnsi="Arial"/>
                <w:sz w:val="18"/>
                <w:szCs w:val="18"/>
                <w:color w:val="auto"/>
              </w:rPr>
              <w:t>Shares Used in Calculating Basic and Diluted Net Loss Per Share</w:t>
            </w:r>
          </w:p>
        </w:tc>
        <w:tc>
          <w:tcPr>
            <w:tcW w:w="100" w:type="dxa"/>
            <w:vAlign w:val="bottom"/>
          </w:tcPr>
          <w:p>
            <w:pPr>
              <w:spacing w:after="0"/>
              <w:rPr>
                <w:sz w:val="24"/>
                <w:szCs w:val="24"/>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22,082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13,952</w:t>
            </w:r>
          </w:p>
        </w:tc>
        <w:tc>
          <w:tcPr>
            <w:tcW w:w="100" w:type="dxa"/>
            <w:vAlign w:val="bottom"/>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19,744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13,129</w:t>
            </w:r>
          </w:p>
        </w:tc>
        <w:tc>
          <w:tcPr>
            <w:tcW w:w="80" w:type="dxa"/>
            <w:vAlign w:val="bottom"/>
          </w:tcPr>
          <w:p>
            <w:pPr>
              <w:spacing w:after="0"/>
              <w:rPr>
                <w:sz w:val="24"/>
                <w:szCs w:val="24"/>
                <w:color w:val="auto"/>
              </w:rPr>
            </w:pPr>
          </w:p>
        </w:tc>
      </w:tr>
      <w:tr>
        <w:trPr>
          <w:trHeight w:val="196"/>
        </w:trPr>
        <w:tc>
          <w:tcPr>
            <w:tcW w:w="5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(11,779)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(23,656)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(29,018)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506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5"/>
              </w:rPr>
              <w:t>Six Months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5"/>
              </w:rPr>
              <w:t>Six Months</w:t>
            </w:r>
          </w:p>
        </w:tc>
      </w:tr>
      <w:tr>
        <w:trPr>
          <w:trHeight w:val="216"/>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Ended</w:t>
            </w:r>
          </w:p>
        </w:tc>
      </w:tr>
      <w:tr>
        <w:trPr>
          <w:trHeight w:val="234"/>
        </w:trPr>
        <w:tc>
          <w:tcPr>
            <w:tcW w:w="7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87"/>
              </w:rPr>
              <w:t>June 30,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w w:val="87"/>
              </w:rPr>
              <w:t>June 30, 2019</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(23,656)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(29,018)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2,505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and Premium of Marketable Securities,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(Gain) Loss on Sale or Disposal of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 Impairment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 Asset Impairment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1,800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Fair Value Remeasurement of Contingent Consideration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Non-Cash Income Tax Benefit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3,157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and Other Receivables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1,992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(2,833)</w:t>
            </w:r>
          </w:p>
        </w:tc>
      </w:tr>
      <w:tr>
        <w:trPr>
          <w:trHeight w:val="209"/>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47,000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67,386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(132,439)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(58,565)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or Disposal of Assets</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Investing Activities</w:t>
            </w:r>
          </w:p>
        </w:tc>
        <w:tc>
          <w:tcPr>
            <w:tcW w:w="1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(86,564</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8,337</w:t>
            </w:r>
          </w:p>
        </w:tc>
        <w:tc>
          <w:tcPr>
            <w:tcW w:w="100" w:type="dxa"/>
            <w:vAlign w:val="bottom"/>
            <w:tcBorders>
              <w:bottom w:val="single" w:sz="8" w:color="CCEEFF"/>
            </w:tcBorders>
          </w:tcPr>
          <w:p>
            <w:pPr>
              <w:spacing w:after="0"/>
              <w:rPr>
                <w:sz w:val="18"/>
                <w:szCs w:val="18"/>
                <w:color w:val="auto"/>
              </w:rPr>
            </w:pPr>
          </w:p>
        </w:tc>
      </w:tr>
      <w:tr>
        <w:trPr>
          <w:trHeight w:val="210"/>
        </w:trPr>
        <w:tc>
          <w:tcPr>
            <w:tcW w:w="7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Stock Issuances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166,667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11,363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Issuance of Stock from Employee Benefit Plans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Term Loan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Payment of Term Loan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56,795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(4,566)</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11,232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24,310</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Non-cash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Accrued construction in progress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55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6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2019, which are included in the Company’s Annual Report on Form 10-K filed with the Securities and Exchange Commission on March 26, 2020.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2020.</w:t>
      </w:r>
    </w:p>
    <w:p>
      <w:pPr>
        <w:spacing w:after="0" w:line="170"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At June 30, 2020, the Company had cash, cash equivalents and marketable securities of $206.9 million. The Company has had recurring losses and incurred a loss of $23.7 million for the six months ended June 30, 2020. Net cash used in operations for the six months ended June 30, 2020 was $23.3 million. The Company believes that the cash, cash equivalents and marketable securities at August 6, 2020 will be sufficient to meet estimated working capital requirements and fund planned operations for at least the next twelve months from the date of issuance of these financial statements.</w:t>
      </w:r>
    </w:p>
    <w:p>
      <w:pPr>
        <w:spacing w:after="0" w:line="15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the next twelve months and beyond, the Company may take further steps to raise additional capital to meet its long-term liquidity needs including, but may not be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into and beyond twelve months from the issuance date is also dependent on the timing and manner of payment of contingent milestones from the Kolltan acquisition, in the event that the Company achieves the drug candidate milestones related to those payments. The Company, at its option, may decide to pay those milestone payments in cash, shares of its common stock or a combination thereof.</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ind w:right="20" w:firstLine="648"/>
        <w:spacing w:after="0" w:line="287" w:lineRule="auto"/>
        <w:rPr>
          <w:sz w:val="20"/>
          <w:szCs w:val="20"/>
          <w:color w:val="auto"/>
        </w:rPr>
      </w:pPr>
      <w:r>
        <w:rPr>
          <w:rFonts w:ascii="Arial" w:cs="Arial" w:eastAsia="Arial" w:hAnsi="Arial"/>
          <w:sz w:val="16"/>
          <w:szCs w:val="16"/>
          <w:color w:val="auto"/>
        </w:rPr>
        <w:t>In December 2019, a novel strain of coronavirus, now referred to as COVID-19, surfaced in Wuhan, China. The virus continues to spread globally, has been declared a pandemic by the World Health Organization and has spread to hundreds of countries, including the United States. The impact of this pandemic has been and will likely continue to be extensive in many aspects of society, which has resulted in and will likely continue to result in significant disruptions to the global economy, as well as businesses and capital markets around the world. In an effort to halt the outbreak of COVID-19, various states, including New Jersey, Massachusetts and Connecticut, where the Company has office, research and manufacturing facilities, have placed significant restrictions on travel and many businesses have announced extended closures which could adversely impact our operations. To date, the Company has not experienced significant delays or disruptions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other third-party service providers, temporary closures of our facilities, disruptions or restrictions on our employees’ ability to travel, and delays in manufacturing and/or shipments to and from third party suppliers and contract manufacturers for APIs and drug product. Any prolonged negative impacts to our business could materially impact our operating results and could lead to impairments of our Intangible (IPR&amp;D) assets with a carrying value of $45.2 million at June 30,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240" w:firstLine="630"/>
        <w:spacing w:after="0" w:line="311" w:lineRule="auto"/>
        <w:rPr>
          <w:sz w:val="20"/>
          <w:szCs w:val="20"/>
          <w:color w:val="auto"/>
        </w:rPr>
      </w:pPr>
      <w:r>
        <w:rPr>
          <w:rFonts w:ascii="Arial" w:cs="Arial" w:eastAsia="Arial" w:hAnsi="Arial"/>
          <w:sz w:val="16"/>
          <w:szCs w:val="16"/>
          <w:color w:val="auto"/>
        </w:rPr>
        <w:t>The significant accounting policies used in preparation of these condensed consolidated financial statements on Form 10-Q for the three and six months ended June 30, 2020 are consistent with those discussed in Note 2 to the financial statements in our Annual Report on Form 10-K for the year ended December 31, 2019, except as it relates to the adoption of new accounting standards during the first six months of 2020 as discussed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Adopted Accounting Pronouncements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January 1, 2020, the Company adopted a new accounting standard that modifies certain disclosure requirements for fair value measurements. For instance, the Company is required to disclose weighted average information for significant unobservable inputs for all Level 3 fair value measurements. The adoption of this new guidance did not have a material impact on the Company’s consolidated financial statements and related disclosures. Refer to Note 3 for the disclosures related to the Company’s level 3 fair value measurements.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January 1, 2020, the Company adopted a new accounting standard that clarifies the interaction between the accounting guidance for collaborative arrangements and revenue from contracts with customers. The amendments clarify that certain transactions between collaborative arrangement participants should be accounted for as revenue under ASC 606, when the collaborative arrangement participant is a customer in the context of a unit of account. The adoption of this standard did not have a material impact on our consolidated financial statements, as we have no arrangements within the scope of ASC 808.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We are currently evaluating the potential impact that this standard may have on the Company’s consolidated financial statements and related disclosures.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Arial" w:cs="Arial" w:eastAsia="Arial" w:hAnsi="Arial"/>
                <w:sz w:val="18"/>
                <w:szCs w:val="18"/>
                <w:b w:val="1"/>
                <w:bCs w:val="1"/>
                <w:color w:val="auto"/>
              </w:rPr>
              <w:t>(3) Fair Value Measurements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40" w:type="dxa"/>
            <w:vAlign w:val="bottom"/>
            <w:gridSpan w:val="13"/>
          </w:tcPr>
          <w:p>
            <w:pPr>
              <w:ind w:left="660"/>
              <w:spacing w:after="0"/>
              <w:rPr>
                <w:sz w:val="20"/>
                <w:szCs w:val="20"/>
                <w:color w:val="auto"/>
              </w:rPr>
            </w:pPr>
            <w:r>
              <w:rPr>
                <w:rFonts w:ascii="Arial" w:cs="Arial" w:eastAsia="Arial" w:hAnsi="Arial"/>
                <w:sz w:val="18"/>
                <w:szCs w:val="18"/>
                <w:color w:val="auto"/>
                <w:w w:val="91"/>
              </w:rPr>
              <w:t>The following tables set forth the Company’s financial assets and liabilities subject to fair value measurements:</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June 30, 2020</w:t>
            </w:r>
          </w:p>
        </w:tc>
        <w:tc>
          <w:tcPr>
            <w:tcW w:w="40" w:type="dxa"/>
            <w:vAlign w:val="bottom"/>
          </w:tcPr>
          <w:p>
            <w:pPr>
              <w:spacing w:after="0"/>
              <w:rPr>
                <w:sz w:val="20"/>
                <w:szCs w:val="20"/>
                <w:color w:val="auto"/>
              </w:rPr>
            </w:pPr>
          </w:p>
        </w:tc>
        <w:tc>
          <w:tcPr>
            <w:tcW w:w="1400" w:type="dxa"/>
            <w:vAlign w:val="bottom"/>
            <w:gridSpan w:val="3"/>
          </w:tcPr>
          <w:p>
            <w:pPr>
              <w:ind w:left="30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8"/>
              </w:rPr>
              <w:t>Level 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0"/>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8"/>
          </w:tcPr>
          <w:p>
            <w:pPr>
              <w:ind w:left="7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54,597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138,888</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138,888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3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193,485</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193,485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438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7,587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7,587</w:t>
            </w:r>
          </w:p>
        </w:tc>
      </w:tr>
      <w:tr>
        <w:trPr>
          <w:trHeight w:val="223"/>
        </w:trPr>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4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300"/>
              <w:spacing w:after="0"/>
              <w:rPr>
                <w:sz w:val="20"/>
                <w:szCs w:val="20"/>
                <w:color w:val="auto"/>
              </w:rPr>
            </w:pPr>
            <w:r>
              <w:rPr>
                <w:rFonts w:ascii="Arial" w:cs="Arial" w:eastAsia="Arial" w:hAnsi="Arial"/>
                <w:sz w:val="18"/>
                <w:szCs w:val="18"/>
                <w:b w:val="1"/>
                <w:bCs w:val="1"/>
                <w:color w:val="auto"/>
              </w:rPr>
              <w:t>As of</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4380" w:type="dxa"/>
            <w:vAlign w:val="bottom"/>
          </w:tcPr>
          <w:p>
            <w:pPr>
              <w:spacing w:after="0"/>
              <w:rPr>
                <w:sz w:val="20"/>
                <w:szCs w:val="20"/>
                <w:color w:val="auto"/>
              </w:rPr>
            </w:pPr>
          </w:p>
        </w:tc>
        <w:tc>
          <w:tcPr>
            <w:tcW w:w="2640" w:type="dxa"/>
            <w:vAlign w:val="bottom"/>
            <w:gridSpan w:val="6"/>
          </w:tcPr>
          <w:p>
            <w:pPr>
              <w:ind w:left="1020"/>
              <w:spacing w:after="0"/>
              <w:rPr>
                <w:sz w:val="20"/>
                <w:szCs w:val="20"/>
                <w:color w:val="auto"/>
              </w:rPr>
            </w:pPr>
            <w:r>
              <w:rPr>
                <w:rFonts w:ascii="Arial" w:cs="Arial" w:eastAsia="Arial" w:hAnsi="Arial"/>
                <w:sz w:val="18"/>
                <w:szCs w:val="18"/>
                <w:b w:val="1"/>
                <w:bCs w:val="1"/>
                <w:color w:val="auto"/>
                <w:w w:val="98"/>
              </w:rPr>
              <w:t>December 31, 2019</w:t>
            </w:r>
          </w:p>
        </w:tc>
        <w:tc>
          <w:tcPr>
            <w:tcW w:w="40" w:type="dxa"/>
            <w:vAlign w:val="bottom"/>
          </w:tcPr>
          <w:p>
            <w:pPr>
              <w:spacing w:after="0"/>
              <w:rPr>
                <w:sz w:val="20"/>
                <w:szCs w:val="20"/>
                <w:color w:val="auto"/>
              </w:rPr>
            </w:pPr>
          </w:p>
        </w:tc>
        <w:tc>
          <w:tcPr>
            <w:tcW w:w="1400" w:type="dxa"/>
            <w:vAlign w:val="bottom"/>
            <w:gridSpan w:val="3"/>
          </w:tcPr>
          <w:p>
            <w:pPr>
              <w:ind w:left="320"/>
              <w:spacing w:after="0"/>
              <w:rPr>
                <w:sz w:val="20"/>
                <w:szCs w:val="20"/>
                <w:color w:val="auto"/>
              </w:rPr>
            </w:pPr>
            <w:r>
              <w:rPr>
                <w:rFonts w:ascii="Arial" w:cs="Arial" w:eastAsia="Arial" w:hAnsi="Arial"/>
                <w:sz w:val="18"/>
                <w:szCs w:val="18"/>
                <w:b w:val="1"/>
                <w:bCs w:val="1"/>
                <w:color w:val="auto"/>
              </w:rPr>
              <w:t>Level 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09"/>
        </w:trPr>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8"/>
          </w:tcPr>
          <w:p>
            <w:pPr>
              <w:ind w:left="6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Money market funds and cash equivalents</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4,024</w:t>
            </w:r>
          </w:p>
        </w:tc>
        <w:tc>
          <w:tcPr>
            <w:tcW w:w="40" w:type="dxa"/>
            <w:vAlign w:val="bottom"/>
          </w:tcPr>
          <w:p>
            <w:pPr>
              <w:spacing w:after="0"/>
              <w:rPr>
                <w:sz w:val="18"/>
                <w:szCs w:val="18"/>
                <w:color w:val="auto"/>
              </w:rPr>
            </w:pPr>
          </w:p>
        </w:tc>
        <w:tc>
          <w:tcPr>
            <w:tcW w:w="14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53,151</w:t>
            </w:r>
          </w:p>
        </w:tc>
        <w:tc>
          <w:tcPr>
            <w:tcW w:w="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43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57,175</w:t>
            </w:r>
          </w:p>
        </w:tc>
        <w:tc>
          <w:tcPr>
            <w:tcW w:w="1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8"/>
                <w:szCs w:val="18"/>
                <w:color w:val="auto"/>
                <w:w w:val="77"/>
              </w:rPr>
              <w:t>—</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57,175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Kolltan acquisition contingent consideration</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12,485</w:t>
            </w:r>
          </w:p>
        </w:tc>
        <w:tc>
          <w:tcPr>
            <w:tcW w:w="40" w:type="dxa"/>
            <w:vAlign w:val="bottom"/>
          </w:tcPr>
          <w:p>
            <w:pPr>
              <w:spacing w:after="0"/>
              <w:rPr>
                <w:sz w:val="19"/>
                <w:szCs w:val="19"/>
                <w:color w:val="auto"/>
              </w:rPr>
            </w:pPr>
          </w:p>
        </w:tc>
        <w:tc>
          <w:tcPr>
            <w:tcW w:w="14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12,485</w:t>
            </w:r>
          </w:p>
        </w:tc>
      </w:tr>
      <w:tr>
        <w:trPr>
          <w:trHeight w:val="223"/>
        </w:trPr>
        <w:tc>
          <w:tcPr>
            <w:tcW w:w="43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gridSpan w:val="2"/>
            <w:shd w:val="clear" w:color="auto" w:fill="CCEEFF"/>
          </w:tcPr>
          <w:p>
            <w:pPr>
              <w:ind w:left="1040"/>
              <w:spacing w:after="0"/>
              <w:rPr>
                <w:sz w:val="20"/>
                <w:szCs w:val="20"/>
                <w:color w:val="auto"/>
              </w:rPr>
            </w:pPr>
            <w:r>
              <w:rPr>
                <w:rFonts w:ascii="Arial" w:cs="Arial" w:eastAsia="Arial" w:hAnsi="Arial"/>
                <w:sz w:val="18"/>
                <w:szCs w:val="18"/>
                <w:color w:val="auto"/>
                <w:w w:val="77"/>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reflects the activity for the Company’s contingent consideration liabilities measured at fair value using Level 3 inputs for the six months ended June 30,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9"/>
              </w:rPr>
              <w:t>Other Liabilities:</w:t>
            </w:r>
          </w:p>
        </w:tc>
      </w:tr>
      <w:tr>
        <w:trPr>
          <w:trHeight w:val="216"/>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Contingent</w:t>
            </w:r>
          </w:p>
        </w:tc>
      </w:tr>
      <w:tr>
        <w:trPr>
          <w:trHeight w:val="234"/>
        </w:trPr>
        <w:tc>
          <w:tcPr>
            <w:tcW w:w="9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Consideration</w:t>
            </w:r>
          </w:p>
        </w:tc>
      </w:tr>
      <w:tr>
        <w:trPr>
          <w:trHeight w:val="210"/>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800" w:type="dxa"/>
            <w:vAlign w:val="bottom"/>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(4,898)</w:t>
            </w:r>
          </w:p>
        </w:tc>
      </w:tr>
      <w:tr>
        <w:trPr>
          <w:trHeight w:val="223"/>
        </w:trPr>
        <w:tc>
          <w:tcPr>
            <w:tcW w:w="9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valuation technique used to measure fair value of the Company’s Level 3 liabilities, which consist of contingent consideration related to the acquisition of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 As of June 30, 2020, the weighted average discount rate used in calculating the fair value of contingent consideration was 11.6% (with a range of 11.5% to 12.2%) and the weighted average amount of time until the conditions of the milestone payments are met was 3 years.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right="40" w:firstLine="648"/>
        <w:spacing w:after="0" w:line="293" w:lineRule="auto"/>
        <w:rPr>
          <w:sz w:val="20"/>
          <w:szCs w:val="20"/>
          <w:color w:val="auto"/>
        </w:rPr>
      </w:pPr>
      <w:r>
        <w:rPr>
          <w:rFonts w:ascii="Arial" w:cs="Arial" w:eastAsia="Arial" w:hAnsi="Arial"/>
          <w:sz w:val="16"/>
          <w:szCs w:val="16"/>
          <w:color w:val="auto"/>
        </w:rPr>
        <w:t>During the three and six months ended June 30, 2020, the Company recorded a $5.1 million and $4.9 million gain on fair value remeasurement of contingent consideration, respectively, primarily due to updated assumptions for CDX-3379 related milestones due to the discontinuation of the CDX-3379 program and the passage of time. During the three and six months ended June 30, 2019, the Company recorded a $1.0 million gain and $0.5 million loss on fair value remeasurement of contingent consideration, respectively, primarily due to changes in discount rates and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have any transfers in or out of Level 3 assets or liabilities during the six months ended June 30,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Gross Unrealized</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Gains</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Losses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320" w:type="dxa"/>
            <w:vAlign w:val="bottom"/>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 year or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less)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79,937</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79,937</w:t>
            </w: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58,951</w:t>
            </w:r>
          </w:p>
        </w:tc>
      </w:tr>
      <w:tr>
        <w:trPr>
          <w:trHeight w:val="263"/>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79"/>
              </w:rPr>
              <w:t>10</w:t>
            </w:r>
          </w:p>
        </w:tc>
        <w:tc>
          <w:tcPr>
            <w:tcW w:w="22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138,888</w:t>
            </w:r>
          </w:p>
        </w:tc>
        <w:tc>
          <w:tcPr>
            <w:tcW w:w="100" w:type="dxa"/>
            <w:vAlign w:val="bottom"/>
            <w:tcBorders>
              <w:bottom w:val="single" w:sz="8" w:color="CCEEFF"/>
            </w:tcBorders>
          </w:tcPr>
          <w:p>
            <w:pPr>
              <w:spacing w:after="0"/>
              <w:rPr>
                <w:sz w:val="22"/>
                <w:szCs w:val="22"/>
                <w:color w:val="auto"/>
              </w:rPr>
            </w:pPr>
          </w:p>
        </w:tc>
      </w:tr>
      <w:tr>
        <w:trPr>
          <w:trHeight w:val="197"/>
        </w:trPr>
        <w:tc>
          <w:tcPr>
            <w:tcW w:w="5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U.S. government and municipal obligations (maturing in one year or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18,509</w:t>
            </w: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18,522</w:t>
            </w: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Corporate debt securities (maturing in one year or less)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34,619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19"/>
                <w:szCs w:val="19"/>
                <w:color w:val="auto"/>
              </w:rPr>
            </w:pPr>
          </w:p>
        </w:tc>
        <w:tc>
          <w:tcPr>
            <w:tcW w:w="440" w:type="dxa"/>
            <w:vAlign w:val="bottom"/>
            <w:gridSpan w:val="2"/>
          </w:tcPr>
          <w:p>
            <w:pPr>
              <w:jc w:val="right"/>
              <w:ind w:right="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34,629</w:t>
            </w:r>
          </w:p>
        </w:tc>
      </w:tr>
      <w:tr>
        <w:trPr>
          <w:trHeight w:val="223"/>
        </w:trPr>
        <w:tc>
          <w:tcPr>
            <w:tcW w:w="5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holds investment-grade marketable securities, and none were in a continuous unrealized loss position for more than twelve months as of June 30, 2020 and December 31, 2019. The unrealized losses are attributable to changes in interest rates and the Company does not believe any unrealized losses represent other-than-temporary impairments. Marketable securities include $0.2 million in accrued interest at June 30, 2020 and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At June 30, 2020 and December 31, 2019, the Company recorded indefinite-lived intangible assets of $45.2 million and $48.7 million, respectively. Indefinite-lived intangible assets consist of acquired in-process research and development (“IPR&amp;D”) related to the development of CDX-3379, the anti-KIT program (including CDX-0159) and the TAM program. The Company evaluated the CDX-3379 IPR&amp;D asset for potential impairment as a result of the discontinuation of the CDX-3379 program. The Company concluded that the CDX-3379 IPR&amp;D asset was fully impaired, and a non-cash impairment charge of $3.5 million was recorded for the three months ended June 30, 2020. CDX-0159 is in Phase 1 development and the TAM program is in preclinical development. As of June 30, 2020, none of the Company’s IPR&amp;D assets had reached technological feasibility nor did any have alternative future uses.</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(6) Other Assets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2016, the Company entered into a research and collaboration agreement with an undisclosed private company to access novel technologies and paid $3.5 million to support research activities and make an investment in the private company. The Company recorded $1.8 million to other assets related to this investment and $1.7 million was recorded to research and development expense over the term of the research activities. The stock of the private company does not have a readily determinable fair value, and therefore it is measured at cost less impairment, if any. Based on information received in April 2019, it was determined that there was a deterioration of the private company’s financial condition due to a working capital deficiency and an inability to secure additional funding as of March 31, 2019. Therefore, the Company concluded that the investment was impaired, and a non-cash impairment charge of $1.8 million was recorded during the first quarter of 2019. The Company assesses the private company’s financial condition on a quarterly basis. There was no change in the value of the investment during the six months ended June 30, 2020.</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(7) Other Long-Term Liabilities</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00" w:type="dxa"/>
            <w:vAlign w:val="bottom"/>
          </w:tcPr>
          <w:p>
            <w:pPr>
              <w:ind w:left="660"/>
              <w:spacing w:after="0"/>
              <w:rPr>
                <w:sz w:val="20"/>
                <w:szCs w:val="20"/>
                <w:color w:val="auto"/>
              </w:rPr>
            </w:pPr>
            <w:r>
              <w:rPr>
                <w:rFonts w:ascii="Arial" w:cs="Arial" w:eastAsia="Arial" w:hAnsi="Arial"/>
                <w:sz w:val="18"/>
                <w:szCs w:val="18"/>
                <w:color w:val="auto"/>
              </w:rPr>
              <w:t>Other long-term liabilities include the following:</w:t>
            </w: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3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June 30,</w:t>
            </w:r>
          </w:p>
        </w:tc>
        <w:tc>
          <w:tcPr>
            <w:tcW w:w="80" w:type="dxa"/>
            <w:vAlign w:val="bottom"/>
          </w:tcPr>
          <w:p>
            <w:pPr>
              <w:spacing w:after="0"/>
              <w:rPr>
                <w:sz w:val="24"/>
                <w:szCs w:val="2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6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12)</w:t>
            </w:r>
          </w:p>
        </w:tc>
        <w:tc>
          <w:tcPr>
            <w:tcW w:w="2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2,779</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1,831</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3)</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12,485</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Deferred Revenue (Note 11)</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Less Current Portion</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(2,026)</w:t>
            </w: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In November 2015, the Company received approval from the New Jersey Economic Development Authority and agreed to sell New Jersey tax benefits of $9.8 million to an independent third party for $9.2 million. Under the agreement, the Company must maintain a base of operations in New Jersey for five years or the tax benefits must be paid back on a pro-rata basis based on the number of years completed. The Company recognized $0.0 million in other income related to the sale of these tax benefits during the three and six months ended June 30, 2020 and $0.0 million and $0.2 million during the three and six months ended June 30,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May 2016, the Company entered into a controlled equity offering sales agreement (the “Cantor Agreement”) with Cantor Fitzgerald &amp; Co. (“Cantor”) to allow the Company to issue and sell shares of its common stock from time to time through Cantor, acting as agent. During the six months ended June 30, 2020, the Company issued 6.7 million shares of common stock pursuant to the Cantor Agreement resulting in net proceeds of $25.3 million after deducting commission and offering expenses. At June 30, 2020, the Company had $18.3 million remaining in aggregate gross offering price available under a prospectus supplement filed pursuant to the agreement.</w:t>
      </w:r>
    </w:p>
    <w:p>
      <w:pPr>
        <w:spacing w:after="0" w:line="188"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During the three months ended June 30, 2020, the Company issued 15,384,614 shares of its common stock in an underwritten public offering resulting in net proceeds to the Company of $141.4 million, after deducting underwriting fees and offering expenses.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changes in Stockholders’ Equity during the three and six months ended June 30, 2020 and 2019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8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Stock Par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Paid-In</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Comprehensive</w:t>
            </w:r>
          </w:p>
        </w:tc>
        <w:tc>
          <w:tcPr>
            <w:tcW w:w="1300" w:type="dxa"/>
            <w:vAlign w:val="bottom"/>
            <w:gridSpan w:val="4"/>
          </w:tcPr>
          <w:p>
            <w:pPr>
              <w:jc w:val="center"/>
              <w:ind w:right="41"/>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80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Deficit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09"/>
        </w:trPr>
        <w:tc>
          <w:tcPr>
            <w:tcW w:w="38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10"/>
          </w:tcPr>
          <w:p>
            <w:pPr>
              <w:jc w:val="right"/>
              <w:ind w:right="47"/>
              <w:spacing w:after="0"/>
              <w:rPr>
                <w:sz w:val="20"/>
                <w:szCs w:val="20"/>
                <w:color w:val="auto"/>
              </w:rPr>
            </w:pPr>
            <w:r>
              <w:rPr>
                <w:rFonts w:ascii="Arial" w:cs="Arial" w:eastAsia="Arial" w:hAnsi="Arial"/>
                <w:sz w:val="18"/>
                <w:szCs w:val="18"/>
                <w:b w:val="1"/>
                <w:bCs w:val="1"/>
                <w:color w:val="auto"/>
                <w:w w:val="88"/>
              </w:rPr>
              <w:t>(In thousands, except share amounts)</w:t>
            </w: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December 31, 2019</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16,972,077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1,104,706</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2,619</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5"/>
              </w:rPr>
              <w:t>(1,013,316)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94,026</w:t>
            </w: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w w:val="95"/>
              </w:rPr>
              <w:t>Shares Issued under Stock Option and Employee</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Stock Purchase Plans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12,573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 Cantor</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746,152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(12,625)</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(12,625)</w:t>
            </w: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March 31, 2020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17,730,802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(1,025,941)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Shares Issued in Connection with Cantor</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5,978,452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23,686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23,692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Underwritten Offering</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15,384,614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141,361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722</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(11,031)</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(11,031)</w:t>
            </w: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June 30, 2020</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39,093,868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(1,036,972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3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Common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38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Stock Par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Paid-In</w:t>
            </w:r>
          </w:p>
        </w:tc>
        <w:tc>
          <w:tcPr>
            <w:tcW w:w="14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Comprehensive</w:t>
            </w:r>
          </w:p>
        </w:tc>
        <w:tc>
          <w:tcPr>
            <w:tcW w:w="1300" w:type="dxa"/>
            <w:vAlign w:val="bottom"/>
            <w:gridSpan w:val="4"/>
          </w:tcPr>
          <w:p>
            <w:pPr>
              <w:jc w:val="center"/>
              <w:ind w:right="41"/>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4"/>
        </w:trPr>
        <w:tc>
          <w:tcPr>
            <w:tcW w:w="380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4"/>
              </w:rPr>
              <w:t>Deficit</w:t>
            </w:r>
          </w:p>
        </w:tc>
        <w:tc>
          <w:tcPr>
            <w:tcW w:w="18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8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10"/>
          </w:tcPr>
          <w:p>
            <w:pPr>
              <w:jc w:val="right"/>
              <w:ind w:right="47"/>
              <w:spacing w:after="0"/>
              <w:rPr>
                <w:sz w:val="20"/>
                <w:szCs w:val="20"/>
                <w:color w:val="auto"/>
              </w:rPr>
            </w:pPr>
            <w:r>
              <w:rPr>
                <w:rFonts w:ascii="Arial" w:cs="Arial" w:eastAsia="Arial" w:hAnsi="Arial"/>
                <w:sz w:val="18"/>
                <w:szCs w:val="18"/>
                <w:b w:val="1"/>
                <w:bCs w:val="1"/>
                <w:color w:val="auto"/>
                <w:w w:val="88"/>
              </w:rPr>
              <w:t>(In thousands, except share amounts)</w:t>
            </w: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December 31, 2018</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11,957,635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1,083,903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2,583</w:t>
            </w: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(962,438)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124,060</w:t>
            </w: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w w:val="95"/>
              </w:rPr>
              <w:t>Shares Issued under Stock Option and Employee</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Stock Purchase Plans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 Cantor</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883,569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(17,239)</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(17,239)</w:t>
            </w: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March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12,844,711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1,089,755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(979,677)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3800" w:type="dxa"/>
            <w:vAlign w:val="bottom"/>
          </w:tcPr>
          <w:p>
            <w:pPr>
              <w:spacing w:after="0" w:line="201" w:lineRule="exact"/>
              <w:rPr>
                <w:sz w:val="20"/>
                <w:szCs w:val="20"/>
                <w:color w:val="auto"/>
              </w:rPr>
            </w:pPr>
            <w:r>
              <w:rPr>
                <w:rFonts w:ascii="Arial" w:cs="Arial" w:eastAsia="Arial" w:hAnsi="Arial"/>
                <w:sz w:val="18"/>
                <w:szCs w:val="18"/>
                <w:color w:val="auto"/>
              </w:rPr>
              <w:t>Shares Cancelled under Stock Option and</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00" w:type="dxa"/>
            <w:vAlign w:val="bottom"/>
          </w:tcPr>
          <w:p>
            <w:pPr>
              <w:ind w:left="180"/>
              <w:spacing w:after="0"/>
              <w:rPr>
                <w:sz w:val="20"/>
                <w:szCs w:val="20"/>
                <w:color w:val="auto"/>
              </w:rPr>
            </w:pPr>
            <w:r>
              <w:rPr>
                <w:rFonts w:ascii="Arial" w:cs="Arial" w:eastAsia="Arial" w:hAnsi="Arial"/>
                <w:sz w:val="18"/>
                <w:szCs w:val="18"/>
                <w:color w:val="auto"/>
              </w:rPr>
              <w:t>Employee Stock Purchase Plans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Connection with Cantor</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1,972,428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(11,779)</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(11,779)</w:t>
            </w: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June 30, 2019</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14,816,917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(991,456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(9) Stock-Based Compensation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20" w:type="dxa"/>
            <w:vAlign w:val="bottom"/>
            <w:gridSpan w:val="2"/>
          </w:tcPr>
          <w:p>
            <w:pPr>
              <w:ind w:left="660"/>
              <w:spacing w:after="0"/>
              <w:rPr>
                <w:sz w:val="20"/>
                <w:szCs w:val="20"/>
                <w:color w:val="auto"/>
              </w:rPr>
            </w:pPr>
            <w:r>
              <w:rPr>
                <w:rFonts w:ascii="Arial" w:cs="Arial" w:eastAsia="Arial" w:hAnsi="Arial"/>
                <w:sz w:val="18"/>
                <w:szCs w:val="18"/>
                <w:color w:val="auto"/>
                <w:w w:val="93"/>
              </w:rPr>
              <w:t>A summary of stock option activity for the six months ended June 30, 2020 is as follows: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Term (In Years)</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1,699,202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44.87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1,439,175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10.36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(53,090)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46.03</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2020</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3,085,287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4"/>
              </w:rPr>
              <w:t>28.76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2020</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2,875,684</w:t>
            </w:r>
          </w:p>
        </w:tc>
        <w:tc>
          <w:tcPr>
            <w:tcW w:w="22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ind w:left="660"/>
              <w:spacing w:after="0" w:line="196" w:lineRule="exact"/>
              <w:rPr>
                <w:sz w:val="20"/>
                <w:szCs w:val="20"/>
                <w:color w:val="auto"/>
              </w:rPr>
            </w:pPr>
            <w:r>
              <w:rPr>
                <w:rFonts w:ascii="Arial" w:cs="Arial" w:eastAsia="Arial" w:hAnsi="Arial"/>
                <w:sz w:val="18"/>
                <w:szCs w:val="18"/>
                <w:color w:val="auto"/>
                <w:w w:val="84"/>
              </w:rPr>
              <w:t>30.23</w:t>
            </w:r>
          </w:p>
        </w:tc>
        <w:tc>
          <w:tcPr>
            <w:tcW w:w="220" w:type="dxa"/>
            <w:vAlign w:val="bottom"/>
            <w:vMerge w:val="continue"/>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8.62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Exercisable at June 30, 2020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821,537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84.93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color w:val="auto"/>
              </w:rPr>
              <w:t>Shares Available for Grant Under the 2008 Plan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938,178</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weighted average grant-date fair value of stock options granted during the three and six month period ended June 30, 2020 was $7.96 and $7.95, respectively. Stock-based compensation expense for the three and six months ended June 30, 2020 and 2019 was recorded as follows:</w:t>
      </w:r>
    </w:p>
    <w:p>
      <w:pPr>
        <w:spacing w:after="0" w:line="13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0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5"/>
              </w:rPr>
              <w:t>Three months ended June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4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0"/>
        </w:trPr>
        <w:tc>
          <w:tcPr>
            <w:tcW w:w="4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0" w:type="dxa"/>
            <w:vAlign w:val="bottom"/>
            <w:gridSpan w:val="5"/>
          </w:tcPr>
          <w:p>
            <w:pPr>
              <w:jc w:val="right"/>
              <w:ind w:right="267"/>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90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w:t>
            </w: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756</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r>
      <w:tr>
        <w:trPr>
          <w:trHeight w:val="223"/>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fair values of employee and director stock options granted during the three and six months ended June 30, 2020 and 2019 were valued using the Black-Scholes option 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94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780" w:type="dxa"/>
            <w:vAlign w:val="bottom"/>
            <w:gridSpan w:val="3"/>
          </w:tcPr>
          <w:p>
            <w:pPr>
              <w:ind w:left="3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52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top w:val="single" w:sz="8" w:color="auto"/>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97%</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 – 97%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Expected option term</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6.0 Years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6.0 Years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6.0 Years</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6.0 Years</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1.9 – 2.4%</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0.5 – 0.6%</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 – 2.5%</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None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None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None</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w:t>
      </w:r>
    </w:p>
    <w:p>
      <w:pPr>
        <w:spacing w:after="0" w:line="229"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six months ended June 30, 2020 are summarized below:</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Balance at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2020</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1"/>
              <w:spacing w:after="0"/>
              <w:rPr>
                <w:sz w:val="20"/>
                <w:szCs w:val="20"/>
                <w:color w:val="auto"/>
              </w:rPr>
            </w:pPr>
            <w:r>
              <w:rPr>
                <w:rFonts w:ascii="Arial" w:cs="Arial" w:eastAsia="Arial" w:hAnsi="Arial"/>
                <w:sz w:val="18"/>
                <w:szCs w:val="18"/>
                <w:b w:val="1"/>
                <w:bCs w:val="1"/>
                <w:color w:val="auto"/>
                <w:w w:val="90"/>
              </w:rPr>
              <w:t>Gain/(Loss) 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5"/>
              </w:rPr>
              <w:t>Marketable</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5"/>
              </w:rPr>
              <w:t>Securities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Currency Items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ind w:left="40"/>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2,596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2,619</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1120" w:right="339" w:bottom="1440" w:gutter="0" w:footer="0" w:header="0"/>
          <w:type w:val="continuous"/>
        </w:sectPr>
      </w:pPr>
    </w:p>
    <w:p>
      <w:pPr>
        <w:spacing w:after="0" w:line="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 amounts were reclassified out of accumulated other comprehensive income during the six months ended June 30, 2020.</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(11)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Licensing Revenue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entered into an agreement with Rockefeller University in September 2013, as amended, (the “Rockefeller Agreement”) pursuant to which the Company performs manufacturing and development services for Rockefeller University for their portfolio of antibodies against HIV. This portfolio was licensed to Gilead Sciences in January 2020 from Rockefeller University (“Rockefeller Transaction”). Pursuant to the Rockefeller Agreement, the Company received an upfront payment of $1.8 million as a result of the Rockefeller Transaction which was recorded to revenue during the first quarter of 2020. The Company is eligible to receive additional payments from Rockefeller University if this portfolio progresses through clinical and commercial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has entered into the Rockefeller Agreement and an agreement with Duke University pursuant to which the Company performs manufacturing and research and development services on a time-and-materials basis or at a negotiated fixed-price. The Company recognized $0.2 million and $0.5 million in revenue under these agreements during the three and six months ended June 30, 2020, respectively, and $0.4 million and $1.5 million during the three and six months ended June 30,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At December 31, 2019 and June 30, 2020, the Company’s right to consideration under all contracts was considered unconditional, and as such, there were no recorded contract assets. At December 31, 2019 and June 30, 2020, the Company had $0.3 million in contract liabilities recorded. Revenue recognized from contract liabilities as of December 31, 2019 during the three and six months ended June 30, 2020 was $0.0 million and $0.1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right="360" w:firstLine="648"/>
        <w:spacing w:after="0" w:line="311"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2020 and December 31, 2019.</w:t>
      </w:r>
    </w:p>
    <w:p>
      <w:pPr>
        <w:spacing w:after="0" w:line="149" w:lineRule="exact"/>
        <w:rPr>
          <w:sz w:val="20"/>
          <w:szCs w:val="20"/>
          <w:color w:val="auto"/>
        </w:rPr>
      </w:pPr>
    </w:p>
    <w:p>
      <w:pPr>
        <w:jc w:val="both"/>
        <w:ind w:right="300" w:firstLine="648"/>
        <w:spacing w:after="0" w:line="311" w:lineRule="auto"/>
        <w:rPr>
          <w:sz w:val="20"/>
          <w:szCs w:val="20"/>
          <w:color w:val="auto"/>
        </w:rPr>
      </w:pPr>
      <w:r>
        <w:rPr>
          <w:rFonts w:ascii="Arial" w:cs="Arial" w:eastAsia="Arial" w:hAnsi="Arial"/>
          <w:sz w:val="16"/>
          <w:szCs w:val="16"/>
          <w:color w:val="auto"/>
        </w:rPr>
        <w:t>The net deferred tax liability of $2.8 million and $3.0 million at June 30, 2020 and December 31, 2019, respectively, relates to the temporary differences associated with the IPR&amp;D intangible assets acquired in previous business combinations and is not deductible for tax purposes. During the quarter ended June 30, 2020, a $0.2 million non-cash income tax benefit was recorded related to the impairment of the CDX-3379 IPR&amp;D asset.</w:t>
      </w:r>
    </w:p>
    <w:p>
      <w:pPr>
        <w:spacing w:after="0" w:line="14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(13) Net Loss Per Share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gridSpan w:val="4"/>
          </w:tcPr>
          <w:p>
            <w:pPr>
              <w:ind w:left="3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84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3,085,287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1,690,074</w:t>
            </w:r>
          </w:p>
        </w:tc>
        <w:tc>
          <w:tcPr>
            <w:tcW w:w="10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Restricted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r>
      <w:tr>
        <w:trPr>
          <w:trHeight w:val="223"/>
        </w:trPr>
        <w:tc>
          <w:tcPr>
            <w:tcW w:w="844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3,085,287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Kolltan Acquisition</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On November 29, 2016, the Company acquired all of the share and debt interests of Kolltan Pharmaceuticals, Inc. (“Kolltan”), a clinical-stage biopharmaceutical company, in exchange for 1,217,200 shares of the Company’s common stock plus contingent consideration in the form of development, regulatory approval and sales-based milestones (“Kolltan Milestones”) of up to $172.5 million. The Kolltan Milestone payments, if any, may be made, at Celldex’s sole election, in cash, in shares of Celldex’s common stock or a combination of both, subject to provisions of the Merger Agreement. Certain Kolltan Milestones have been abandoned consistent with the provisions of the Merger Agreement and, because of this, as of June 30, 2020, the Company believes that the adjusted amount we may be required to pay for future consideration is up to $107.5 million contingent upon the achievement of the Kolltan Milestones.</w:t>
      </w:r>
    </w:p>
    <w:p>
      <w:pPr>
        <w:spacing w:after="0" w:line="19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October 2019, the Company received a letter from the representative of Kolltan’s former stockholders notifying the Company that it objected to the Company’s abandonment of certain Kolltan Milestones relating to development, regulatory approval and sales-based milestones. The Company disagrees with their objection and believes their objection to be without merit. The Company is continuting to discuss with the representative of Kolltan’s former stockholders potential amendments to the Merger Agreement with respect to the Kolltan Milestones. There can be no assurances that an amendment to the Merger Agreement will be completed on terms acceptable to the Company or at all. At this time, the Company is unable to reasonably assess the ultimate outcome of the Company’s disagreement with the representative of Kolltan’s former stockholders over its objection to the Company’s abandonment of certain Kolltan Milestones or determine an estimate of potential losses, if any.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report on Form 10-Q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6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980" w:right="300" w:hanging="324"/>
        <w:spacing w:after="0" w:line="308"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complete research and further development, including animal, preclinical and clinical studies, and, if we obtain regulatory approval, commercialization of our drug candidates and the growth of the markets for those drug candidates;</w:t>
      </w:r>
    </w:p>
    <w:p>
      <w:pPr>
        <w:spacing w:after="0" w:line="146" w:lineRule="exact"/>
        <w:rPr>
          <w:rFonts w:ascii="Arial" w:cs="Arial" w:eastAsia="Arial" w:hAnsi="Arial"/>
          <w:sz w:val="17"/>
          <w:szCs w:val="17"/>
          <w:color w:val="auto"/>
        </w:rPr>
      </w:pPr>
    </w:p>
    <w:p>
      <w:pPr>
        <w:ind w:left="980" w:right="36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 outbreak of a novel strain of coronavirus on our business or on the economy generally;</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recent coronavirus outbreak will affect the timing of the completion of our planned and/or currently ongoing preclinical/clinical trials;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availability, cost, delivery and quality of clinical management services provided by our clinical research organization partners;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5" w:name="page16"/>
    <w:bookmarkEnd w:id="15"/>
    <w:p>
      <w:pPr>
        <w:ind w:left="980" w:right="8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immunotherapeutics;</w:t>
      </w:r>
    </w:p>
    <w:p>
      <w:pPr>
        <w:spacing w:after="0" w:line="123" w:lineRule="exact"/>
        <w:rPr>
          <w:rFonts w:ascii="Arial" w:cs="Arial" w:eastAsia="Arial" w:hAnsi="Arial"/>
          <w:sz w:val="16"/>
          <w:szCs w:val="16"/>
          <w:color w:val="auto"/>
        </w:rPr>
      </w:pPr>
    </w:p>
    <w:p>
      <w:pPr>
        <w:ind w:left="980" w:right="2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paying development, regulatory approval and sales-based milestones under the merger agreement by which we acquired Kolltan, including under any future amendment to that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the acquisition of Kolltan;</w:t>
      </w:r>
    </w:p>
    <w:p>
      <w:pPr>
        <w:spacing w:after="0" w:line="225" w:lineRule="exact"/>
        <w:rPr>
          <w:rFonts w:ascii="Arial" w:cs="Arial" w:eastAsia="Arial" w:hAnsi="Arial"/>
          <w:sz w:val="18"/>
          <w:szCs w:val="18"/>
          <w:color w:val="auto"/>
        </w:rPr>
      </w:pPr>
    </w:p>
    <w:p>
      <w:pPr>
        <w:ind w:left="980" w:right="40" w:hanging="324"/>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sufficient capital to fund our animal, preclinical and clinical studies and to meet our liquidity needs, on terms acceptable to us, or at all. If we are unable to raise the funds necessary to meet our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1" w:lineRule="exact"/>
        <w:rPr>
          <w:rFonts w:ascii="Arial" w:cs="Arial" w:eastAsia="Arial" w:hAnsi="Arial"/>
          <w:sz w:val="17"/>
          <w:szCs w:val="17"/>
          <w:color w:val="auto"/>
        </w:rPr>
      </w:pPr>
    </w:p>
    <w:p>
      <w:pPr>
        <w:ind w:left="980" w:right="3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without infringing the intellectual property rights of third parties; and</w:t>
      </w:r>
    </w:p>
    <w:p>
      <w:pPr>
        <w:spacing w:after="0" w:line="225" w:lineRule="exact"/>
        <w:rPr>
          <w:rFonts w:ascii="Arial" w:cs="Arial" w:eastAsia="Arial" w:hAnsi="Arial"/>
          <w:sz w:val="18"/>
          <w:szCs w:val="18"/>
          <w:color w:val="auto"/>
        </w:rPr>
      </w:pPr>
    </w:p>
    <w:p>
      <w:pPr>
        <w:jc w:val="both"/>
        <w:ind w:left="980" w:right="80" w:hanging="324"/>
        <w:spacing w:after="0" w:line="311"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factors set forth elsewhere in this quarterly report on Form 10-Q and the factors listed under the headings “Business,” “Risk Factors” and “Management’s Discussion and Analysis of Financial Condition and Results of Operations” in the Company’s annual report on Form 10-K for the year ended December 31, 2019 and other reports that we file with the Securities and Exchange Commission</w:t>
      </w:r>
      <w:r>
        <w:rPr>
          <w:rFonts w:ascii="Arial" w:cs="Arial" w:eastAsia="Arial" w:hAnsi="Arial"/>
          <w:sz w:val="16"/>
          <w:szCs w:val="16"/>
          <w:i w:val="1"/>
          <w:iCs w:val="1"/>
          <w:color w:val="auto"/>
        </w:rPr>
        <w:t>.</w:t>
      </w:r>
    </w:p>
    <w:p>
      <w:pPr>
        <w:spacing w:after="0" w:line="14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biopharmaceutical company focused on the development and commercialization of immunotherapies and other targeted biologics. Our drug candidates are derived from a broad set of human and bispecific antibodies which have the ability to engage the human immune system and/or directly inhibit tumors to treat specific types of cancer or other diseases. They are aimed at addressing market opportunities for which we believe current therapies are inadequate or non-existent.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980" w:right="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CDX-0159, a monoclonal antibody that specifically binds the KIT receptor and potently inhibits its activity, which recently completed a Phase 1a study in healthy subjects. We plan to study CDX-0159 in mast cell driven diseases, including, initially, initiating Phase 1b studies in chronic spontaneous urticaria (CSU) and chronic inducible urticarias (CIndUs) this fall; and,</w:t>
      </w:r>
    </w:p>
    <w:p>
      <w:pPr>
        <w:spacing w:after="0" w:line="183" w:lineRule="exact"/>
        <w:rPr>
          <w:rFonts w:ascii="Arial" w:cs="Arial" w:eastAsia="Arial" w:hAnsi="Arial"/>
          <w:sz w:val="18"/>
          <w:szCs w:val="18"/>
          <w:color w:val="auto"/>
        </w:rPr>
      </w:pPr>
    </w:p>
    <w:p>
      <w:pPr>
        <w:ind w:left="980" w:right="20" w:hanging="324"/>
        <w:spacing w:after="0" w:line="253"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CDX-1140, an agonist monoclonal antibody targeted to CD40, a key activator of immune response, currently being studied as a single-agent and in combination with CDX-301, a dendritic cell growth factor. Dose escalation was completed in a Phase 1 study in solid tumors and lymphoma and the recommended dose for further study was determined to be 1.5 mg/kg for both CDX-1140 monotherapy and in combination with CDX-301. Celldex has initiated multiple expansion cohorts within the study, including a combination cohort with KEYTRUDA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(pembrolizumab) in patients refractory to PD1/PDL1 treatment and plans to initiate a combination cohort with standard of care chemotherapy in patients with untreated metastatic pancreatic cancer later this year. The Company is exploring additional combination cohorts with mechanisms that we believe could be complementary or synergistic with CDX-1140;</w:t>
      </w:r>
    </w:p>
    <w:p>
      <w:pPr>
        <w:spacing w:after="0" w:line="192" w:lineRule="exact"/>
        <w:rPr>
          <w:rFonts w:ascii="Arial" w:cs="Arial" w:eastAsia="Arial" w:hAnsi="Arial"/>
          <w:sz w:val="17"/>
          <w:szCs w:val="17"/>
          <w:color w:val="auto"/>
        </w:rPr>
      </w:pPr>
    </w:p>
    <w:p>
      <w:pPr>
        <w:ind w:left="980" w:right="14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CDX-527, a bispecific antibody that uses our proprietary highly active anti-PD-L1 and CD27 human antibodies to couple CD27 co-stimulation with blockade of the PD-L1/PD-1 pathway, for which we plan to initiate a Phase 1 study in advanced solid tumors later this year.</w:t>
      </w:r>
    </w:p>
    <w:p>
      <w:pPr>
        <w:spacing w:after="0" w:line="124"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are discontinuing development of CDX-3379, an ErbB3 inhibitor, and directing the resources allocated to this program to expanded development of CDX-0159 and other assets in our pipeline. CDX-3379 was in an exploratory study designed to evaluate of the utility of biomarkers for patient selection in the treatment of cetuximab-refractory head and neck squamous cell carcinoma.</w:t>
      </w:r>
    </w:p>
    <w:p>
      <w:pPr>
        <w:spacing w:after="0" w:line="18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70"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Celldex.</w:t>
      </w:r>
    </w:p>
    <w:p>
      <w:pPr>
        <w:spacing w:after="0" w:line="15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Estimated</w:t>
            </w:r>
          </w:p>
        </w:tc>
      </w:tr>
      <w:tr>
        <w:trPr>
          <w:trHeight w:val="216"/>
        </w:trPr>
        <w:tc>
          <w:tcPr>
            <w:tcW w:w="33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Completion</w:t>
            </w:r>
          </w:p>
        </w:tc>
      </w:tr>
      <w:tr>
        <w:trPr>
          <w:trHeight w:val="234"/>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Clinical Phase</w:t>
            </w:r>
          </w:p>
        </w:tc>
        <w:tc>
          <w:tcPr>
            <w:tcW w:w="6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Phase 1</w:t>
            </w:r>
          </w:p>
        </w:tc>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Phase 2</w:t>
            </w: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r>
        <w:trPr>
          <w:trHeight w:val="648"/>
        </w:trPr>
        <w:tc>
          <w:tcPr>
            <w:tcW w:w="332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jc w:val="right"/>
              <w:ind w:right="42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7" w:name="page18"/>
    <w:bookmarkEnd w:id="17"/>
    <w:p>
      <w:pPr>
        <w:ind w:right="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Regulatory approval is required before we can market our drug candidates as therapeutic products. In order to proceed to subsequent clinical trial stages and to ultimately achieve regulatory approval, the regulatory agency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78"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During the past five years through December 31, 2019, we incurred an aggregate of $408.2 million in research and development expenses. The following table indicates the amount incurred for each of our significant research programs and for other identified research and development activities during the six months ended June 30, 2020 and 2019. The amounts disclosed in the following table reflect direct research and development costs, license fees associated with the underlying technology and an allocation of indirect research and development costs to each program.</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Six Months Ended</w:t>
            </w:r>
          </w:p>
        </w:tc>
        <w:tc>
          <w:tcPr>
            <w:tcW w:w="1520" w:type="dxa"/>
            <w:vAlign w:val="bottom"/>
            <w:gridSpan w:val="5"/>
          </w:tcPr>
          <w:p>
            <w:pPr>
              <w:spacing w:after="0"/>
              <w:rPr>
                <w:sz w:val="20"/>
                <w:szCs w:val="20"/>
                <w:color w:val="auto"/>
              </w:rPr>
            </w:pPr>
            <w:r>
              <w:rPr>
                <w:rFonts w:ascii="Arial" w:cs="Arial" w:eastAsia="Arial" w:hAnsi="Arial"/>
                <w:sz w:val="18"/>
                <w:szCs w:val="18"/>
                <w:b w:val="1"/>
                <w:bCs w:val="1"/>
                <w:color w:val="auto"/>
                <w:w w:val="96"/>
              </w:rPr>
              <w:t>Six Months Ended</w:t>
            </w:r>
          </w:p>
        </w:tc>
      </w:tr>
      <w:tr>
        <w:trPr>
          <w:trHeight w:val="234"/>
        </w:trPr>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2020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2019</w:t>
            </w:r>
          </w:p>
        </w:tc>
      </w:tr>
      <w:tr>
        <w:trPr>
          <w:trHeight w:val="209"/>
        </w:trPr>
        <w:tc>
          <w:tcPr>
            <w:tcW w:w="8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5"/>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CDX-0159/Anti-KIT Program</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2,896</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CDX-1140</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5,069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3,195</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CDX-527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3,412</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TAM Program</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2,571</w:t>
            </w:r>
          </w:p>
        </w:tc>
        <w:tc>
          <w:tcPr>
            <w:tcW w:w="80" w:type="dxa"/>
            <w:vAlign w:val="bottom"/>
          </w:tcPr>
          <w:p>
            <w:pPr>
              <w:spacing w:after="0"/>
              <w:rPr>
                <w:sz w:val="18"/>
                <w:szCs w:val="18"/>
                <w:color w:val="auto"/>
              </w:rPr>
            </w:pPr>
          </w:p>
        </w:tc>
      </w:tr>
      <w:tr>
        <w:trPr>
          <w:trHeight w:val="229"/>
        </w:trPr>
        <w:tc>
          <w:tcPr>
            <w:tcW w:w="8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Programs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10,080</w:t>
            </w:r>
          </w:p>
        </w:tc>
        <w:tc>
          <w:tcPr>
            <w:tcW w:w="80" w:type="dxa"/>
            <w:vAlign w:val="bottom"/>
            <w:shd w:val="clear" w:color="auto" w:fill="CCEEFF"/>
          </w:tcPr>
          <w:p>
            <w:pPr>
              <w:spacing w:after="0"/>
              <w:rPr>
                <w:sz w:val="19"/>
                <w:szCs w:val="19"/>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Total R&amp;D Expense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CDX-0159</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CDX-0159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In certain inflammatory diseases, such as chronic spontaneous urticaria (CSU), also known as chronic idiopathic urticaria (CIU) and chronic inducible urticarias (CIndUs), mast cell degranulation plays a central role in the onset and progression of the disease.</w:t>
      </w:r>
    </w:p>
    <w:p>
      <w:pPr>
        <w:spacing w:after="0" w:line="17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CDX-0159 is designed to block KIT activation by disrupting both SCF binding and KIT dimerization. Celldex believes that by targeting KIT, CDX-0159 may be able to inhibit mast cell activity and decrease mast cell numbers to provide potential clinical benefit in mast cell related diseases.</w:t>
      </w:r>
    </w:p>
    <w:p>
      <w:pPr>
        <w:spacing w:after="0" w:line="124" w:lineRule="exact"/>
        <w:rPr>
          <w:sz w:val="20"/>
          <w:szCs w:val="20"/>
          <w:color w:val="auto"/>
        </w:rPr>
      </w:pPr>
    </w:p>
    <w:p>
      <w:pPr>
        <w:ind w:right="80" w:firstLine="690"/>
        <w:spacing w:after="0" w:line="291" w:lineRule="auto"/>
        <w:rPr>
          <w:sz w:val="20"/>
          <w:szCs w:val="20"/>
          <w:color w:val="auto"/>
        </w:rPr>
      </w:pPr>
      <w:r>
        <w:rPr>
          <w:rFonts w:ascii="Arial" w:cs="Arial" w:eastAsia="Arial" w:hAnsi="Arial"/>
          <w:sz w:val="16"/>
          <w:szCs w:val="16"/>
          <w:color w:val="auto"/>
        </w:rPr>
        <w:t>We recently completed a randomized, double-blind, placebo-controlled, single ascending dose escalation Phase 1a study of CDX-0159 in healthy subjects (n=32; 8 subjects per cohort, 6 CDX-0159; 2 placebo). Subjects received a single intravenous infusion of CDX-0159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CDX-0159 demonstrated a favorable safety profile as well as profound and durable reductions of plasma tryptase, consistent with systemic mast cell suppression.</w:t>
      </w:r>
    </w:p>
    <w:p>
      <w:pPr>
        <w:spacing w:after="0" w:line="166" w:lineRule="exact"/>
        <w:rPr>
          <w:sz w:val="20"/>
          <w:szCs w:val="20"/>
          <w:color w:val="auto"/>
        </w:rPr>
      </w:pPr>
    </w:p>
    <w:p>
      <w:pPr>
        <w:ind w:left="660" w:right="8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Most common adverse events were mild infusion-related reactions, all of which spontaneously resolved without intervention. Mild and asymptomatic decreases in neutrophil and white blood cell count were observed in laboratory testing.</w:t>
      </w:r>
    </w:p>
    <w:p>
      <w:pPr>
        <w:spacing w:after="0" w:line="146" w:lineRule="exact"/>
        <w:rPr>
          <w:rFonts w:ascii="Arial" w:cs="Arial" w:eastAsia="Arial" w:hAnsi="Arial"/>
          <w:sz w:val="17"/>
          <w:szCs w:val="17"/>
          <w:color w:val="auto"/>
        </w:rPr>
      </w:pPr>
    </w:p>
    <w:p>
      <w:pPr>
        <w:ind w:left="660" w:right="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single dose of CDX-0159 suppressed plasma tryptase levels in a dose-dependent manner, indicative of systemic mast cell suppression. Tryptase suppression below the level of detection was observed after a single 1.0 mg/kg dose and was maintained for more than 2 months at single doses of both 3.0 and 9.0 mg/kg of CDX-0159. A subset of subjects from the 3mg/kg and 9 mg/kg cohorts agreed to continued follow up for tryptase suppression which remained below the level of detection for over 3 months (14 weeks) in 50% of subjects and over 4 months (18 weeks) in all subjects, respectively.</w:t>
      </w:r>
    </w:p>
    <w:p>
      <w:pPr>
        <w:spacing w:after="0" w:line="18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Dose dependent increases in plasma stem cell factor mirror decreases in tryptase, consistent with allosteric blockade of stem cell factor to KIT and demonstrate complete target engagement in vivo.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serum half-life and non-immunogenic profile support a convenient dosing schedule.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Enhanced PK profile and durable tryptase suppression at low doses support re-formulation for sub-cutaneous administration.</w:t>
      </w:r>
    </w:p>
    <w:p>
      <w:pPr>
        <w:spacing w:after="0" w:line="22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These data support expansion of the CDX-0159 program into mast cell driven diseases, including initially studies in forms of chronic urticaria (CU) given the central role mast cells are known to play in the etiology of CU. Celldex plans to initiate Phase 1b studies of CDX-0159 this fall in patients with chronic spontaneous urticaria (CSU) and chronic inducible urticaria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Celldex is exploring cold-induced and dermographism (scratch-induced) urticarias. Celldex is also exploring additional mast cell driven diseases for future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 the design of the Phase 1 study to identify the dose for characterizing single-agent and combination activity.</w:t>
      </w:r>
    </w:p>
    <w:p>
      <w:pPr>
        <w:spacing w:after="0" w:line="17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initiated a Phase 1 study of CDX-1140 in November 2017. This study is expected to enroll up to approximately 220 patients with recurrent, locally advanced or metastatic solid tumors and B cell lymphomas. The study is designed to determine the maximum tolerated dose, or MTD, during a dose-escalation phase (0.01 to 3.0 mg/kg once every four weeks until confirmed progression or intolerance) and to recommend a dose level for further study in a subsequent expansion phase. The expansion is designed to further evaluate the tolerability and biologic effects of selected dose(s) of CDX-1140 in specific tumor types. Secondary objectives include assessments of safety and tolerability, pharmacodynamics, pharmacokinetics, immunogenicity and additional measures of anti-tumor activity, including clinical benefit rate. We believe that the potential for CDX-1140 will be best defined in combination studies with other immunotherapies or conventional cancer treatments.</w:t>
      </w:r>
    </w:p>
    <w:p>
      <w:pPr>
        <w:spacing w:after="0" w:line="17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support of this, the Phase 1 study protocol also allows for the exploration of CDX-1140 in combination with CDX-301 at a fixed dose of CDX-301 and escalating doses of CDX-1140. Dendritic cells, which express CD40, are often rare or missing from the tumor microenvironment and are critical for initiating anti-tumor immunity. CDX-301, a recombinant FMS-like tyrosine kinase 3 ligand, or Flt3L, is a hematopoietic cytokine that uniquely expands dendritic cells and hematopoietic stem cells, and in combination with other agents may potentiate anti-tumor responses. CDX-301 is being utilized as a priming agent in this study to increase the number of dendritic cells in blood and tissue available for CDX-1140 activation. CDX-1140 should, in turn, activate and mature the dendritic cells, an important step for enhancing anti-tumor immune responses.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ind w:right="220" w:firstLine="648"/>
        <w:spacing w:after="0" w:line="272" w:lineRule="auto"/>
        <w:rPr>
          <w:sz w:val="20"/>
          <w:szCs w:val="20"/>
          <w:color w:val="auto"/>
        </w:rPr>
      </w:pPr>
      <w:r>
        <w:rPr>
          <w:rFonts w:ascii="Arial" w:cs="Arial" w:eastAsia="Arial" w:hAnsi="Arial"/>
          <w:sz w:val="17"/>
          <w:szCs w:val="17"/>
          <w:color w:val="auto"/>
        </w:rPr>
        <w:t>Interim data from this ongoing study were presented at the Society for Immunotherapy of Cancer’s (SITC) 34th Annual Meeting in November 2019. CDX-1140 monotherapy dose escalation in the study is complete and the maximum tolerated dose and recommended Phase 2 dose was defined as 1.5 mg/kg every four weeks. CDX-1140 monotherapy and combination with CDX-301 was generally well tolerated, with mostly grade 1 or grade 2 drug related adverse events reported. Two patients out of six experienced pneumonitis as dose limiting toxicities (DLTs) in the CDX-1140 3.0 mg/kg monotherapy cohort. There were no DLTs observed in the CDX-301 combination cohorts up to 0.72 mg/kg CDX-1140. A cohort of CDX-1140 at 1.5 mg/kg plus CDX-301, which was ongoing at the time of data release, has subsequently completed dose escalation with no DLTs observed; therefore, the recommended dose of CDX-1140 in combination with CDX-301 is 1.5mg/kg.</w:t>
      </w:r>
    </w:p>
    <w:p>
      <w:pPr>
        <w:spacing w:after="0" w:line="17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As of the cut-off date for data reporting for SITC, 62 patients with advanced refractory solid tumors or lymphoma were enrolled and 38 patients had pre- and post-treatment scans available. Patients were heavily pretreated (median of 4 prior therapies) and per protocol were required to have received all standard of care treatments prior to study entry. CDX-1140 demonstrated clinical and biological activity in the study.</w:t>
      </w:r>
    </w:p>
    <w:p>
      <w:pPr>
        <w:spacing w:after="0" w:line="165" w:lineRule="exact"/>
        <w:rPr>
          <w:sz w:val="20"/>
          <w:szCs w:val="20"/>
          <w:color w:val="auto"/>
        </w:rPr>
      </w:pPr>
    </w:p>
    <w:p>
      <w:pPr>
        <w:ind w:left="980" w:hanging="324"/>
        <w:spacing w:after="0" w:line="301"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Two of five patients with head and neck squamous cell carcinoma (HNSCC) treated with CDX-1140 doses of 0.72 mg/kg or higher experienced clinical activity. The first patient experienced dramatic shrinkage of a large, protruding neck mass on physical exam after two doses of CDX-1140 at 1.5 mg/kg with documented evidence of tumor necrosis/cavitation on CT scan. This patient also reported decreased tumor pain. A second patient experienced cavitation of greater than 50% of lung metastases on CT scan after one dose of CDX-1140 3 mg/kg.</w:t>
      </w:r>
    </w:p>
    <w:p>
      <w:pPr>
        <w:spacing w:after="0" w:line="157" w:lineRule="exact"/>
        <w:rPr>
          <w:rFonts w:ascii="Arial" w:cs="Arial" w:eastAsia="Arial" w:hAnsi="Arial"/>
          <w:sz w:val="16"/>
          <w:szCs w:val="16"/>
          <w:color w:val="auto"/>
        </w:rPr>
      </w:pPr>
    </w:p>
    <w:p>
      <w:pPr>
        <w:ind w:left="980" w:right="20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patient with gastroesophageal carcinoma experienced a RECIST response after two cycles of CDX-1140 0.36 mg/kg plus CDX-301 that included 41% shrinkage of liver and lymph node target lesions, with near complete resolution of the liver lesion. This response was durable for four months.</w:t>
      </w:r>
    </w:p>
    <w:p>
      <w:pPr>
        <w:spacing w:after="0" w:line="183"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 patients experienced stable disease (n=4 CDX-1140 monotherapy; n=2 CDX-1140/CDX-301 combination) with a duration of 1.8 months to 5.4 months.</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patient experienced immune unconfirmed progressive disease on their first scan and continued on treatment for 10+ months without confirmation of progressive disease at CDX-1140 0.09 mg/kg plus CDX-301.</w:t>
      </w:r>
    </w:p>
    <w:p>
      <w:pPr>
        <w:spacing w:after="0" w:line="170"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Potent pharmacological effects associated with immune activation were also observed, including transient induction of inflammatory cytokines and chemokines associated with dendritic cell and T cell activation at higher dose levels. Similar activation was observed with each cycle of therapy. Peripheral blood immune cells had upregulated immune activation markers and CDX-301 markedly increased the number of dendritic cells and was associated with higher IL-12p40 induction, a key molecule for inducing anti-tumor T cell responses.</w:t>
      </w:r>
    </w:p>
    <w:p>
      <w:pPr>
        <w:spacing w:after="0" w:line="171"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CDX-1140 monotherapy expansion cohorts in HNSCC, renal cell carcinoma and gastroesophageal adenocarcinoma have been added to the study, along with a combination cohort of CDX-1140 and CDX-301 in HNSCC. In addition, we have prioritized a cohort to evaluate CDX-1140 in combination</w:t>
      </w:r>
    </w:p>
    <w:p>
      <w:pPr>
        <w:spacing w:after="0" w:line="244" w:lineRule="auto"/>
        <w:rPr>
          <w:sz w:val="20"/>
          <w:szCs w:val="20"/>
          <w:color w:val="auto"/>
        </w:rPr>
      </w:pPr>
      <w:r>
        <w:rPr>
          <w:rFonts w:ascii="Arial" w:cs="Arial" w:eastAsia="Arial" w:hAnsi="Arial"/>
          <w:sz w:val="17"/>
          <w:szCs w:val="17"/>
          <w:color w:val="auto"/>
        </w:rPr>
        <w:t>with KEYTRUDA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(pembrolizumab), Merck’s anti-PD-1 therapy, under a clinical trial collaboration agreement with Merck (known as MSD outside of the U.S. and Canada). The cohort is designed to characterize the safety, pharmacodynamics and activity of CDX-1140 in combination with pembrolizumab in patients refractory to PD1/PDL1 treatment. Enrollment is ongoing. We also plan to initiate a cohort in combination with standard of care chemotherapy in patients with previously untreated metastatic pancreatic cancer later this year. The Company is exploring additional combination cohorts with mechanisms that we believe could be complementary or synergistic with CDX-1140.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CDX-527 is the first candidate from Celldex’s bispecific antibody platform. Bispecifics provide opportunities to engage two independent pathways involved in controlling immune responses to tumors. CDX-527 uses Celldex’s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 w:name="page22"/>
    <w:bookmarkEnd w:id="21"/>
    <w:p>
      <w:pPr>
        <w:ind w:right="160" w:firstLine="648"/>
        <w:spacing w:after="0" w:line="263" w:lineRule="auto"/>
        <w:rPr>
          <w:sz w:val="20"/>
          <w:szCs w:val="20"/>
          <w:color w:val="auto"/>
        </w:rPr>
      </w:pPr>
      <w:r>
        <w:rPr>
          <w:rFonts w:ascii="Arial" w:cs="Arial" w:eastAsia="Arial" w:hAnsi="Arial"/>
          <w:sz w:val="18"/>
          <w:szCs w:val="18"/>
          <w:color w:val="auto"/>
        </w:rPr>
        <w:t>Celldex’s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pacing w:after="0" w:line="18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Later this year, Celldex plans to initiate a Phase 1 dose-escalation study in up to ~90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biologic and anti-tumor effects of selected dose level(s) of CDX-527 in specific tumor types.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CDX-3379</w:t>
      </w:r>
    </w:p>
    <w:p>
      <w:pPr>
        <w:spacing w:after="0" w:line="225" w:lineRule="exact"/>
        <w:rPr>
          <w:sz w:val="20"/>
          <w:szCs w:val="20"/>
          <w:color w:val="auto"/>
        </w:rPr>
      </w:pPr>
    </w:p>
    <w:p>
      <w:pPr>
        <w:jc w:val="both"/>
        <w:ind w:right="40" w:firstLine="648"/>
        <w:spacing w:after="0" w:line="275" w:lineRule="auto"/>
        <w:rPr>
          <w:sz w:val="20"/>
          <w:szCs w:val="20"/>
          <w:color w:val="auto"/>
        </w:rPr>
      </w:pPr>
      <w:r>
        <w:rPr>
          <w:rFonts w:ascii="Arial" w:cs="Arial" w:eastAsia="Arial" w:hAnsi="Arial"/>
          <w:sz w:val="17"/>
          <w:szCs w:val="17"/>
          <w:color w:val="auto"/>
        </w:rPr>
        <w:t>CDX-3379 is a human monoclonal antibody with half-life extension designed to block the activity of ErbB3 (HER3). We believe ErbB3 may be an important receptor regulating cancer cell growth and survival as well as resistance to targeted therapies. ErbB3 is expressed in many cancers, including head and neck, thyroid, breast, lung and gastric cancers, as well as melanoma. CDX-3379 was recently evaluated in a Phase 2 open-label exploratory study in combination with Erbitux in patients with human papillomavirus (HPV) negative, Erbitux-resistant, advanced HNSCC who have previously been treated with an anti-PD1 checkpoint inhibitor, a population with limited options and a particularly poor prognosis.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study was initially designed as a Simon two-stage design with an interim futility analysis following enrollment of the first 13 patients. According to the study design, if at least one patient achieved an objective response in the first stage, enrollment could progress to the second stage. The primary endpoint of the study was objective response rate (ORR). Secondary endpoints included assessments of clinical benefit response (CBR), duration of response (DOR), progression-free survival (PFS), overall survival (OS), and safety and pharmacokinetics associated with the combination. Enrollment to the first stage of the Phase 2 study (n=15) was completed and interim data were presented at the 2019 ASCO Annual Meeting in June. A durable confirmed complete response (11+ months) and an unconfirmed partial response (uPR) in a patient that had not received cetuximab were observed; 7 patients experienced stable disease (47%; includes uPR). CDX-3379 in combination with cetuximab was generally associated with target-mediated adverse events of diarrhea and rash and dose reductions and/or delays to the combination therapy in the majority of patients were contemplated to have potentially impacted the magnitude of anti-tumor activity in the study. The analysis presented at ASCO also suggested that observed antitumor activity with CDX-3379 across the Phase 1 and Phase 2 studies might be associated with somatic mutations in the FAT1 and NOTCH1-3 genes—genes associated with tumor suppression.</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Based on these biomarker observations and the clinical activity observed in the Phase 2 study, the study was amended and expanded to add an additional 30 patients to allow for an evaluation of the utility of biomarkers for patient selection. Enrollment of the first 15 patients in this expansion cohort was recently completed. One patient experienced an ongoing objective response (7%) and 5 (33%) patients experienced stable disease on at least one tumor assessment. Consistent with the first cohort, the combination of CDX-3379 and cetuximab appears to result in synergistic toxicity with target mediated adverse events of diarrhea and rash. While diarrhea prophylaxis implemented in second cohort appeared to have been effective in ameliorating severity of symptoms it did not decrease the frequency and the incidence of severe rash increased, resulting in dose reductions and/or delays to the combination therapy in the majority of patients. When considered together, the emerging clinical activity data is not adequate to justify the significant toxicity of the combination and the results do not support continued development of the combination, regardless of pending biomarker data. As a result, Celldex is discontinuing development of CDX-3379 and the resources allocated to this program will be focused on expanded development of CDX-0159 and additional assets in our pipeline.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2019 for a discussion of our critical accounting policies. There have been no material changes to such critical accounting policies. We believe our most critical accounting policies include accounting for contingent consideration, revenue recognition, intangible and long-lived assets, research and development expenses and stock-based compensation expense.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with Three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661"/>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32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9"/>
              </w:rPr>
              <w:t>Increase/</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Increase/</w:t>
            </w:r>
          </w:p>
        </w:tc>
      </w:tr>
      <w:tr>
        <w:trPr>
          <w:trHeight w:val="234"/>
        </w:trPr>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21"/>
              <w:spacing w:after="0"/>
              <w:rPr>
                <w:sz w:val="20"/>
                <w:szCs w:val="20"/>
                <w:color w:val="auto"/>
              </w:rPr>
            </w:pPr>
            <w:r>
              <w:rPr>
                <w:rFonts w:ascii="Arial" w:cs="Arial" w:eastAsia="Arial" w:hAnsi="Arial"/>
                <w:sz w:val="18"/>
                <w:szCs w:val="18"/>
                <w:b w:val="1"/>
                <w:bCs w:val="1"/>
                <w:color w:val="auto"/>
                <w:w w:val="86"/>
              </w:rPr>
              <w:t>(Decrease)</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(Decrease)</w:t>
            </w:r>
          </w:p>
        </w:tc>
      </w:tr>
      <w:tr>
        <w:trPr>
          <w:trHeight w:val="223"/>
        </w:trPr>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0"/>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0" w:type="dxa"/>
            <w:vAlign w:val="bottom"/>
            <w:gridSpan w:val="5"/>
          </w:tcPr>
          <w:p>
            <w:pPr>
              <w:jc w:val="right"/>
              <w:ind w:right="941"/>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(195)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(284)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63"/>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420" w:type="dxa"/>
            <w:vAlign w:val="bottom"/>
            <w:tcBorders>
              <w:bottom w:val="single" w:sz="8" w:color="CCEEFF"/>
            </w:tcBorders>
            <w:gridSpan w:val="2"/>
          </w:tcPr>
          <w:p>
            <w:pPr>
              <w:jc w:val="right"/>
              <w:spacing w:after="0" w:line="223" w:lineRule="exact"/>
              <w:rPr>
                <w:sz w:val="20"/>
                <w:szCs w:val="20"/>
                <w:color w:val="auto"/>
              </w:rPr>
            </w:pPr>
            <w:r>
              <w:rPr>
                <w:rFonts w:ascii="Arial" w:cs="Arial" w:eastAsia="Arial" w:hAnsi="Arial"/>
                <w:sz w:val="14"/>
                <w:szCs w:val="14"/>
                <w:color w:val="auto"/>
              </w:rPr>
              <w:t>(67</w:t>
            </w:r>
            <w:r>
              <w:rPr>
                <w:rFonts w:ascii="Arial" w:cs="Arial" w:eastAsia="Arial" w:hAnsi="Arial"/>
                <w:sz w:val="25"/>
                <w:szCs w:val="25"/>
                <w:color w:val="auto"/>
                <w:vertAlign w:val="superscript"/>
              </w:rPr>
              <w:t>)%</w:t>
            </w:r>
          </w:p>
        </w:tc>
      </w:tr>
      <w:tr>
        <w:trPr>
          <w:trHeight w:val="197"/>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9,705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10,081</w:t>
            </w:r>
          </w:p>
        </w:tc>
        <w:tc>
          <w:tcPr>
            <w:tcW w:w="140" w:type="dxa"/>
            <w:vAlign w:val="bottom"/>
          </w:tcPr>
          <w:p>
            <w:pPr>
              <w:spacing w:after="0"/>
              <w:rPr>
                <w:sz w:val="18"/>
                <w:szCs w:val="18"/>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(376)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3,908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Intangible Asset Impairment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3,500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30"/>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Fair Value Remeasurement of Contingent Consideration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(1,017)</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4,115</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r>
      <w:tr>
        <w:trPr>
          <w:trHeight w:val="209"/>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12,972</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240" w:type="dxa"/>
            <w:vAlign w:val="bottom"/>
            <w:tcBorders>
              <w:bottom w:val="single" w:sz="8" w:color="CCEEFF"/>
            </w:tcBorders>
          </w:tcPr>
          <w:p>
            <w:pPr>
              <w:jc w:val="right"/>
              <w:ind w:right="101"/>
              <w:spacing w:after="0"/>
              <w:rPr>
                <w:sz w:val="20"/>
                <w:szCs w:val="20"/>
                <w:color w:val="auto"/>
              </w:rPr>
            </w:pPr>
            <w:r>
              <w:rPr>
                <w:rFonts w:ascii="Arial" w:cs="Arial" w:eastAsia="Arial" w:hAnsi="Arial"/>
                <w:sz w:val="16"/>
                <w:szCs w:val="16"/>
                <w:color w:val="auto"/>
                <w:w w:val="74"/>
              </w:rPr>
              <w:t>)</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9"/>
                <w:szCs w:val="19"/>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(372)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Before Income Tax Benefit</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61"/>
              <w:spacing w:after="0"/>
              <w:rPr>
                <w:sz w:val="20"/>
                <w:szCs w:val="20"/>
                <w:color w:val="auto"/>
              </w:rPr>
            </w:pPr>
            <w:r>
              <w:rPr>
                <w:rFonts w:ascii="Arial" w:cs="Arial" w:eastAsia="Arial" w:hAnsi="Arial"/>
                <w:sz w:val="18"/>
                <w:szCs w:val="18"/>
                <w:color w:val="auto"/>
              </w:rPr>
              <w:t>228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The $0.7 million decrease in net loss for the three months ended June 30, 2020, as compared to the three months ended June 30, 2019, was primarily the result of an increase in the gain on fair value remeasurement of contingent consideration, partially offset by the increase in non-cash intangible asset impairment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$0.2 million decrease in product development and licensing agreements revenue for the three months ended June 30, 2020, as compared to the three months ended June 30, 2019, was primarily due to a decrease in revenue under the Rockefeller Agreement. The $0.3 million decrease in contracts and grants revenue for the three months ended June 30, 2020, as compared to the three months ended June 30, 2019, was primarily related to a decrease in services performed under our manufacturing and research and development agreement with Duke University. We expect revenue to remain relatively consistent over the next twelve months, although there may be fluctuations on a quarterly basis.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2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rPr>
              <w:t>Increase/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310"/>
              <w:spacing w:after="0"/>
              <w:rPr>
                <w:sz w:val="20"/>
                <w:szCs w:val="20"/>
                <w:color w:val="auto"/>
              </w:rPr>
            </w:pPr>
            <w:r>
              <w:rPr>
                <w:rFonts w:ascii="Arial" w:cs="Arial" w:eastAsia="Arial" w:hAnsi="Arial"/>
                <w:sz w:val="18"/>
                <w:szCs w:val="18"/>
                <w:b w:val="1"/>
                <w:bCs w:val="1"/>
                <w:color w:val="auto"/>
                <w:w w:val="89"/>
              </w:rPr>
              <w:t>June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(Decrease)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0"/>
        </w:trPr>
        <w:tc>
          <w:tcPr>
            <w:tcW w:w="5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40" w:type="dxa"/>
            <w:vAlign w:val="bottom"/>
            <w:gridSpan w:val="4"/>
          </w:tcPr>
          <w:p>
            <w:pPr>
              <w:jc w:val="right"/>
              <w:ind w:right="258"/>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5,216</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5,408</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Laboratory Supplies</w:t>
            </w:r>
          </w:p>
        </w:tc>
        <w:tc>
          <w:tcPr>
            <w:tcW w:w="8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9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1,257</w:t>
            </w:r>
          </w:p>
        </w:tc>
        <w:tc>
          <w:tcPr>
            <w:tcW w:w="780" w:type="dxa"/>
            <w:vAlign w:val="bottom"/>
          </w:tcPr>
          <w:p>
            <w:pPr>
              <w:spacing w:after="0"/>
              <w:rPr>
                <w:sz w:val="18"/>
                <w:szCs w:val="18"/>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(482)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1,758</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1,558</w:t>
            </w:r>
          </w:p>
        </w:tc>
        <w:tc>
          <w:tcPr>
            <w:tcW w:w="7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Development</w:t>
            </w:r>
          </w:p>
        </w:tc>
        <w:tc>
          <w:tcPr>
            <w:tcW w:w="8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1,023</w:t>
            </w:r>
          </w:p>
        </w:tc>
        <w:tc>
          <w:tcPr>
            <w:tcW w:w="9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78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196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bl>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$0.2 million decrease in personnel expenses for the three months ended June 30, 2020, as compared to the three months ended June 30, 2019, was primarily due to lower stock-based compensation expense. We expect personnel expenses to remain relatively consistent over the next twelve months, although there may be fluctuations on a quarterly basis.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Laboratory supplies expenses include laboratory materials and supplies, services, and other related expenses incurred in the development of our technology. The $0.5 million decrease in laboratory supply expenses for the three months ended June 30, 2020, as compared to the three months ended June 30, 2019, was primarily due to lower laboratory materials and supplies purchases. We expect laboratory supplies expenses to remain relatively consistent over the next twelve months, although there may be fluctuations on a quarterly basis.</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$0.2 million increase in facility expenses for the three months ended June 30, 2020, as compared to the three months ended June 30, 2019, was primarily due to higher variable lease expense, including common area maintenance and utilities, in the second quarter of 2020. We expect facility expenses to decrease over the next twelve months as a result of the consolidation our Massachusetts lab and manufacturing facilities in the second quarter of 2020. In July 2020, we extended the term of its Fall River lease through July 2023.</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$0.2 million increase in product development expenses for the three months ended June 30, 2020, as compared to the three months ended June 30, 2019, was primarily due to an increase in contract manufacturing and clinical trial expenses of $0.4 million, partially offset by a decrease in contract research expenses of $0.2 million. We expect product development expenses to increase over the next twelve months, although there may be fluctuations on a quarterly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$0.4 million decrease in general and administrative expenses for the three months ended June 30, 2020, as compared to the three months ended June 30, 2019, was primarily due to lower stock-based compensation expense. We expect general and administrative expenses to remain relatively consistent over the next twelve months, although there may be fluctuations on a quarterly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evaluated the CDX-3379 IPR&amp;D asset for potential impairment as a result of the discontinuation of the CDX-3379 program. We concluded that the CDX-3379 IPR&amp;D asset was fully impaired, and a non-cash impairment charge of $3.5 million was recorded for the three months ended June 30,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$5.1 million gain on fair value remeasurement of contingent consideration for the three months ended June 30, 2020 was primarily due to updated assumptions for CDX-3379 related milestones due to the discontinuation of the CDX-3379 program. The $1.0 million gain on fair value remeasurement of contingent consideration for the three months ended June 30, 2019 was primarily due to changes in discount rates and the passage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$0.4 million decrease in investment and other income, net for the three months ended June 30, 2020, as compared to the three months ended June 30, 2019, was primarily due to lower levels of cash and investment balances. We anticipate investment income to increase over the next twelve months due to higher levels of cash and investment balances and higher other income related to our sale of New Jersey tax benefits.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the quarter ended June 30, 2020, a $0.2 million non-cash income tax benefit was recorded related to the impairment of the CDX-3379 IPR&amp;D asset.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with Six Months Ended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781"/>
              <w:spacing w:after="0"/>
              <w:rPr>
                <w:sz w:val="20"/>
                <w:szCs w:val="20"/>
                <w:color w:val="auto"/>
              </w:rPr>
            </w:pPr>
            <w:r>
              <w:rPr>
                <w:rFonts w:ascii="Arial" w:cs="Arial" w:eastAsia="Arial" w:hAnsi="Arial"/>
                <w:sz w:val="18"/>
                <w:szCs w:val="18"/>
                <w:b w:val="1"/>
                <w:bCs w:val="1"/>
                <w:color w:val="auto"/>
              </w:rPr>
              <w:t>Six Months Ended</w:t>
            </w:r>
          </w:p>
        </w:tc>
        <w:tc>
          <w:tcPr>
            <w:tcW w:w="140" w:type="dxa"/>
            <w:vAlign w:val="bottom"/>
          </w:tcPr>
          <w:p>
            <w:pPr>
              <w:spacing w:after="0"/>
              <w:rPr>
                <w:sz w:val="18"/>
                <w:szCs w:val="18"/>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Increase/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Increase/</w:t>
            </w:r>
          </w:p>
        </w:tc>
      </w:tr>
      <w:tr>
        <w:trPr>
          <w:trHeight w:val="234"/>
        </w:trPr>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(Decrease)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r>
      <w:tr>
        <w:trPr>
          <w:trHeight w:val="223"/>
        </w:trPr>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09"/>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2,285</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325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603%</w:t>
            </w:r>
          </w:p>
        </w:tc>
      </w:tr>
      <w:tr>
        <w:trPr>
          <w:trHeight w:val="229"/>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1,815</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63"/>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gridSpan w:val="2"/>
          </w:tcPr>
          <w:p>
            <w:pPr>
              <w:jc w:val="right"/>
              <w:ind w:right="60"/>
              <w:spacing w:after="0" w:line="223" w:lineRule="exact"/>
              <w:rPr>
                <w:sz w:val="20"/>
                <w:szCs w:val="20"/>
                <w:color w:val="auto"/>
              </w:rPr>
            </w:pPr>
            <w:r>
              <w:rPr>
                <w:rFonts w:ascii="Arial" w:cs="Arial" w:eastAsia="Arial" w:hAnsi="Arial"/>
                <w:sz w:val="14"/>
                <w:szCs w:val="14"/>
                <w:color w:val="auto"/>
              </w:rPr>
              <w:t>39</w:t>
            </w:r>
            <w:r>
              <w:rPr>
                <w:rFonts w:ascii="Arial" w:cs="Arial" w:eastAsia="Arial" w:hAnsi="Arial"/>
                <w:sz w:val="25"/>
                <w:szCs w:val="25"/>
                <w:color w:val="auto"/>
                <w:vertAlign w:val="superscript"/>
              </w:rPr>
              <w:t>%</w:t>
            </w:r>
          </w:p>
        </w:tc>
      </w:tr>
      <w:tr>
        <w:trPr>
          <w:trHeight w:val="197"/>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21,400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21,232</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8,804</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(1,610)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460" w:type="dxa"/>
            <w:vAlign w:val="bottom"/>
          </w:tcPr>
          <w:p>
            <w:pPr>
              <w:ind w:left="180"/>
              <w:spacing w:after="0"/>
              <w:rPr>
                <w:sz w:val="20"/>
                <w:szCs w:val="20"/>
                <w:color w:val="auto"/>
              </w:rPr>
            </w:pPr>
            <w:r>
              <w:rPr>
                <w:rFonts w:ascii="Arial" w:cs="Arial" w:eastAsia="Arial" w:hAnsi="Arial"/>
                <w:sz w:val="18"/>
                <w:szCs w:val="18"/>
                <w:color w:val="auto"/>
              </w:rPr>
              <w:t>Intangible Asset Impairment</w:t>
            </w:r>
          </w:p>
        </w:tc>
        <w:tc>
          <w:tcPr>
            <w:tcW w:w="260" w:type="dxa"/>
            <w:vAlign w:val="bottom"/>
          </w:tcPr>
          <w:p>
            <w:pPr>
              <w:spacing w:after="0"/>
              <w:rPr>
                <w:sz w:val="18"/>
                <w:szCs w:val="18"/>
                <w:color w:val="auto"/>
              </w:rPr>
            </w:pP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6"/>
        </w:trPr>
        <w:tc>
          <w:tcPr>
            <w:tcW w:w="5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Impairment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2"/>
        </w:trPr>
        <w:tc>
          <w:tcPr>
            <w:tcW w:w="5460" w:type="dxa"/>
            <w:vAlign w:val="bottom"/>
          </w:tcPr>
          <w:p>
            <w:pPr>
              <w:ind w:left="180"/>
              <w:spacing w:after="0" w:line="201" w:lineRule="exact"/>
              <w:rPr>
                <w:sz w:val="20"/>
                <w:szCs w:val="20"/>
                <w:color w:val="auto"/>
              </w:rPr>
            </w:pPr>
            <w:r>
              <w:rPr>
                <w:rFonts w:ascii="Arial" w:cs="Arial" w:eastAsia="Arial" w:hAnsi="Arial"/>
                <w:sz w:val="18"/>
                <w:szCs w:val="18"/>
                <w:color w:val="auto"/>
              </w:rPr>
              <w:t>(Gain) Loss on Fair Value Remeasurement of Contingent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4"/>
        </w:trPr>
        <w:tc>
          <w:tcPr>
            <w:tcW w:w="5460" w:type="dxa"/>
            <w:vAlign w:val="bottom"/>
          </w:tcPr>
          <w:p>
            <w:pPr>
              <w:ind w:left="380"/>
              <w:spacing w:after="0"/>
              <w:rPr>
                <w:sz w:val="20"/>
                <w:szCs w:val="20"/>
                <w:color w:val="auto"/>
              </w:rPr>
            </w:pPr>
            <w:r>
              <w:rPr>
                <w:rFonts w:ascii="Arial" w:cs="Arial" w:eastAsia="Arial" w:hAnsi="Arial"/>
                <w:sz w:val="18"/>
                <w:szCs w:val="18"/>
                <w:color w:val="auto"/>
              </w:rPr>
              <w:t>Consideration</w:t>
            </w: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(4,898)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20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1,076%</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22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(5,967)</w:t>
            </w:r>
          </w:p>
        </w:tc>
        <w:tc>
          <w:tcPr>
            <w:tcW w:w="220" w:type="dxa"/>
            <w:vAlign w:val="bottom"/>
            <w:gridSpan w:val="2"/>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1,180</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9"/>
        </w:trPr>
        <w:tc>
          <w:tcPr>
            <w:tcW w:w="5460" w:type="dxa"/>
            <w:vAlign w:val="bottom"/>
          </w:tcPr>
          <w:p>
            <w:pPr>
              <w:spacing w:after="0"/>
              <w:rPr>
                <w:sz w:val="20"/>
                <w:szCs w:val="20"/>
                <w:color w:val="auto"/>
              </w:rPr>
            </w:pPr>
            <w:r>
              <w:rPr>
                <w:rFonts w:ascii="Arial" w:cs="Arial" w:eastAsia="Arial" w:hAnsi="Arial"/>
                <w:sz w:val="18"/>
                <w:szCs w:val="18"/>
                <w:color w:val="auto"/>
              </w:rPr>
              <w:t>Net Loss Before Income Tax Benefit</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220" w:type="dxa"/>
            <w:vAlign w:val="bottom"/>
            <w:gridSpan w:val="2"/>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(29,018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$5.4 million decrease in net loss for the six months ended June 30, 2020, as compared to the six months ended June 30, 2019, was primarily the result of an increase in the gain on fair value remeasurement of contingent consideration and a decrease in non-cash other asset impairment expense, partially offset by an increase in intangible asset impairment expense.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$2.0 million increase in product development and licensing agreements revenue for the six months ended June 30, 2020, as compared to the six months ended June 30, 2019, was primarily due to the $1.8 million received from the Rockefeller Transaction. The $1.1 million decrease in contracts and grants revenue for the six months ended June 30, 2020, as compared to the six months ended June 30, 2019, was primarily related to a decrease in services performed under our manufacturing and research and development agreement with Duke University.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0"/>
              </w:rPr>
              <w:t>Six Months Ended</w:t>
            </w:r>
          </w:p>
        </w:tc>
        <w:tc>
          <w:tcPr>
            <w:tcW w:w="78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Increase/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0"/>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ind w:right="258"/>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11,162</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Laboratory Supplies</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2,053</w:t>
            </w: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4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3,454</w:t>
            </w: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2,522</w:t>
            </w:r>
          </w:p>
        </w:tc>
        <w:tc>
          <w:tcPr>
            <w:tcW w:w="7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4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bl>
    <w:p>
      <w:pPr>
        <w:spacing w:after="0" w:line="187" w:lineRule="exact"/>
        <w:rPr>
          <w:sz w:val="20"/>
          <w:szCs w:val="20"/>
          <w:color w:val="auto"/>
        </w:rPr>
      </w:pPr>
    </w:p>
    <w:p>
      <w:pPr>
        <w:ind w:right="620" w:firstLine="648"/>
        <w:spacing w:after="0" w:line="263"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$0.3 million decrease in personnel expenses for the six months ended June 30, 2020, as compared to the six months ended June 30, 2019, was primarily due to lower stock-based compensation expense.</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$0.2 million increase in laboratory supply expenses for the six months ended June 30, 2020, as compared to the six months ended June 30, 2019, was primarily due to higher laboratory materials and supplies purchases.</w:t>
      </w:r>
    </w:p>
    <w:p>
      <w:pPr>
        <w:spacing w:after="0" w:line="18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Facility expenses for the six months ended June 30, 2020 were consistent with the six months ended June 30, 2019.</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$0.3 million increase in product development expenses for the six months ended June 30, 2020, as compared to the six months ended June 30, 2019, was primarily due to an increase in clinical trial and contract manufacturing expenses of $0.9 million, partially offset by a decrease in contract research expenses of $0.6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$1.6 million decrease in general and administrative expenses for the six months ended June 30, 2020, as compared to the six months ended June 30, 2019, was primarily due to lower stock-based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Impairment</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We evaluated the CDX-3379 IPR&amp;D asset for potential impairment as a result of the discontinuation of the CDX-3379 program. We concluded that the CDX-3379 IPR&amp;D asset was fully impaired, and a non-cash impairment charge of $3.5 million was recorded for the three months ended June 30,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Other Asset Impairment</w:t>
      </w:r>
    </w:p>
    <w:p>
      <w:pPr>
        <w:spacing w:after="0" w:line="225"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We concluded that the Company’s investment in an undisclosed private company was impaired as a result of a deterioration in the private company’s financial condition and recorded a non-cash impairment charge of $1.8 million during the first quarter of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Fair Value Remeasurement of Contingent Consideration</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$4.9 million gain on fair value remeasurement of contingent consideration for the six months ended June 30, 2020 was primarily due to updated assumptions for CDX-3379 related milestones due to the discontinuation of the CDX-3379 program and the passage of time. The $0.5 million loss on fair value remeasurement of contingent consideration for the six months ended June 30, 2019 was primarily due to changes in discount rates and the passage of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$0.8 million decrease in investment and other income, net for the six months ended June 30, 2020, as compared to the six months ended June 30, 2019, was primarily due to lower levels of cash and investment balances and lower other income related to our sale of New Jersey tax benefits.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During the quarter ended June 30, 2020, a $0.2 million non-cash income tax benefit was recorded related to the impairment of the CDX-3379 IPR&amp;D asset.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9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At June 30, 2020, our principal sources of liquidity consisted of cash, cash equivalents and marketable securities of $206.9 million. We have had recurring losses and incurred a loss of $23.7 million for the six months ended June 30, 2020. Net cash used in operations for the six months ended June 30, 2020 was $23.3 million. We believe that the cash, cash equivalents and marketable securities at June 30, 2020 are sufficient to meet estimated working capital requirements and fund planned operations through 2023. This could be impacted if we elected to pay Kolltan contingent milestones, if any, in cash.</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ind w:right="40" w:firstLine="648"/>
        <w:spacing w:after="0" w:line="286" w:lineRule="auto"/>
        <w:rPr>
          <w:sz w:val="20"/>
          <w:szCs w:val="20"/>
          <w:color w:val="auto"/>
        </w:rPr>
      </w:pPr>
      <w:r>
        <w:rPr>
          <w:rFonts w:ascii="Arial" w:cs="Arial" w:eastAsia="Arial" w:hAnsi="Arial"/>
          <w:sz w:val="16"/>
          <w:szCs w:val="16"/>
          <w:color w:val="auto"/>
        </w:rPr>
        <w:t>During the next twelve months, we may take further steps to raise additional capital to meet our long-term liquidity needs including, but may not be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future contingent milestones from the Kolltan acquisition, in the event that we achieve the drug candidate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Net cash used in operating activities was $23.3 million for the six months ended June 30, 2020 as compared to $24.3 million for the six months ended June 30, 2019. The decrease in net cash used in operating activities was primarily due to a decrease in general and administrative expenses and an increase in cash received related to product development and licensing agreements. We expect that cash used in operating activities will remain relatively consistent over the next twelve months, although there may be fluctuations on a quarterly basis.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studies and clinical trials, as our drug candidates are developed. We plan to spend significant amounts to progress our current drug candidates through the clinical trial and commercialization process as well as to develop additional drug candidates. As our drug candidates progress through the clinical trial process, we may be obligated to make significant milestone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used in investing activities was $86.6 million for the six months ended June 30, 2020 as compared to net cash provided by investing activities of $8.3 million for the six months ended June 30, 2019. The increase in net cash used in investing activities was primarily due to net purchases of marketable securities for the six months ended June 30, 2020 of $85.4 million as compared to net sales and maturities of marketable securities of $8.8 million for the six months ended June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Net cash provided by financing activities was $166.7 million for the six months ended June 30, 2020 as compared to $11.4 million for the six months ended June 30, 2019.</w:t>
      </w:r>
    </w:p>
    <w:p>
      <w:pPr>
        <w:spacing w:after="0" w:line="17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six months ended June 30, 2020, we issued 6.7 million shares of common stock under our Cantor Agreement resulting in net proceeds of $25.3 million after deducting commission and offering expenses. At June 30, 2020, we had $18.3 million remaining in aggregate gross offering price available under the agreement.</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During the three months ended June 30, 2020, the Company issued 15,384,614 shares of its common stock in an underwritten public offering resulting in net proceeds to the Company of $141.4 million, after deducting underwriting fees and offering expenses.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Aggregate Contractual Obligations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disclosures relating to our contractual obligations reported in our Annual Report on Form 10-K for the year ended December 31, 2019 which was filed with the SEC on March 26, 2020 have not materially changed since we filed that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 fair value at June 30, 2020 due to the short-term maturities of these instruments.</w:t>
      </w:r>
    </w:p>
    <w:p>
      <w:pPr>
        <w:spacing w:after="0" w:line="120"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of June 30, 2020,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2020.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2020 that have materially affected, or are reasonably likely to materially affect, our internal control over financial reporting.</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9" w:name="page30"/>
    <w:bookmarkEnd w:id="29"/>
    <w:p>
      <w:pPr>
        <w:jc w:val="center"/>
        <w:ind w:right="828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540"/>
        <w:spacing w:after="0"/>
        <w:tabs>
          <w:tab w:leader="none" w:pos="13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2019, which could materially affect our business, financial condition or future results. The risks described in our Annual Report on Form 10-K may not be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March 26, 2020.</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On August 4, 2020, we determined that a non-cash impairment charge of $3.5 million should be recorded for the three months ended June 30, 2020 related to our CDX-3379 program. The CDX-3379 program was acquired as part of our acquisition of Kolltan Pharmaceuticals, Inc. in the fourth quarter of 2016. We determined that the discontinuation of development of CDX-3379 constituted a triggering event that required us to evaluate the intangible asset for impairment. See Note 5 to the consolidated financial statements included elsewhere in this quarterly report on Form 10-Q for further discussion of this impairment charge.</w:t>
      </w:r>
    </w:p>
    <w:p>
      <w:pPr>
        <w:spacing w:after="0" w:line="184"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included herewith and are incorporated by reference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tcPr>
          <w:p>
            <w:pPr>
              <w:spacing w:after="0"/>
              <w:rPr>
                <w:sz w:val="24"/>
                <w:szCs w:val="24"/>
                <w:color w:val="auto"/>
              </w:rPr>
            </w:pPr>
          </w:p>
        </w:tc>
      </w:t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920" w:type="dxa"/>
            <w:vAlign w:val="bottom"/>
            <w:tcBorders>
              <w:top w:val="single" w:sz="8" w:color="auto"/>
            </w:tcBorders>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*10.1</w:t>
              </w:r>
            </w:hyperlink>
          </w:p>
        </w:tc>
        <w:tc>
          <w:tcPr>
            <w:tcW w:w="220" w:type="dxa"/>
            <w:vAlign w:val="bottom"/>
          </w:tcPr>
          <w:p>
            <w:pPr>
              <w:spacing w:after="0"/>
              <w:rPr>
                <w:sz w:val="19"/>
                <w:szCs w:val="19"/>
                <w:color w:val="auto"/>
              </w:rPr>
            </w:pPr>
          </w:p>
        </w:tc>
        <w:tc>
          <w:tcPr>
            <w:tcW w:w="10100" w:type="dxa"/>
            <w:vAlign w:val="bottom"/>
            <w:tcBorders>
              <w:top w:val="single" w:sz="8" w:color="auto"/>
            </w:tcBorders>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Extension of Lease Agreement between the Company and University of Massachusetts Dartmouth dated as of July 1, 2020</w:t>
              </w:r>
            </w:hyperlink>
          </w:p>
        </w:tc>
      </w:tr>
      <w:tr>
        <w:trPr>
          <w:trHeight w:val="418"/>
        </w:trPr>
        <w:tc>
          <w:tcPr>
            <w:tcW w:w="9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*31.1</w:t>
              </w:r>
            </w:hyperlink>
          </w:p>
        </w:tc>
        <w:tc>
          <w:tcPr>
            <w:tcW w:w="22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Certification of President and Chief Executive Officer</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*31.2</w:t>
              </w:r>
            </w:hyperlink>
          </w:p>
        </w:tc>
        <w:tc>
          <w:tcPr>
            <w:tcW w:w="22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Certification of Senior Vice President and Chief Financial Officer</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**32.1</w:t>
              </w:r>
            </w:hyperlink>
          </w:p>
        </w:tc>
        <w:tc>
          <w:tcPr>
            <w:tcW w:w="22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Section 1350 Certifications</w:t>
              </w:r>
            </w:hyperlink>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left="740" w:hanging="40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20" w:hanging="488"/>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505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14605</wp:posOffset>
            </wp:positionV>
            <wp:extent cx="3505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80285" cy="634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02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July 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Attn: Michael LaGrassa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Associate Vice Chancellor of Administrative Operations &amp;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UMass Dartmouth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285 Old Westport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Dartmouth, MA 02747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2.3 of the lease between UMass Dartmouth and Celldex Therapeutics (“Celldex”), as amended, (the “Lease”), Celldex is hereby providing notice of its exercise of its first two (2) year extension term option thereby extending the Lease for an additional 24-month term through July 31, 2023.</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Martin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SVP &amp;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Celldex Therapeutics,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LaGrassa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LaGrassa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Associate Vice Chancellor of Administrative Operations &amp;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UMass Dartmouth</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www.celldex.com</w:t>
            </w:r>
          </w:p>
        </w:tc>
        <w:tc>
          <w:tcPr>
            <w:tcW w:w="2560" w:type="dxa"/>
            <w:vAlign w:val="bottom"/>
            <w:tcBorders>
              <w:top w:val="single" w:sz="8" w:color="auto"/>
            </w:tcBorders>
          </w:tcPr>
          <w:p>
            <w:pPr>
              <w:spacing w:after="0"/>
              <w:rPr>
                <w:sz w:val="21"/>
                <w:szCs w:val="21"/>
                <w:color w:val="auto"/>
              </w:rPr>
            </w:pPr>
          </w:p>
        </w:tc>
        <w:tc>
          <w:tcPr>
            <w:tcW w:w="288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tcPr>
          <w:p>
            <w:pPr>
              <w:spacing w:after="0"/>
              <w:rPr>
                <w:sz w:val="21"/>
                <w:szCs w:val="21"/>
                <w:color w:val="auto"/>
              </w:rPr>
            </w:pPr>
          </w:p>
        </w:tc>
      </w:tr>
      <w:tr>
        <w:trPr>
          <w:trHeight w:val="403"/>
        </w:trPr>
        <w:tc>
          <w:tcPr>
            <w:tcW w:w="2460" w:type="dxa"/>
            <w:vAlign w:val="bottom"/>
          </w:tcPr>
          <w:p>
            <w:pPr>
              <w:spacing w:after="0"/>
              <w:rPr>
                <w:sz w:val="20"/>
                <w:szCs w:val="20"/>
                <w:color w:val="auto"/>
              </w:rPr>
            </w:pPr>
            <w:r>
              <w:rPr>
                <w:rFonts w:ascii="Arial" w:cs="Arial" w:eastAsia="Arial" w:hAnsi="Arial"/>
                <w:sz w:val="18"/>
                <w:szCs w:val="18"/>
                <w:color w:val="auto"/>
              </w:rPr>
              <w:t>53 Frontage Road, Suite 220</w:t>
            </w:r>
          </w:p>
        </w:tc>
        <w:tc>
          <w:tcPr>
            <w:tcW w:w="2560" w:type="dxa"/>
            <w:vAlign w:val="bottom"/>
          </w:tcPr>
          <w:p>
            <w:pPr>
              <w:ind w:left="360"/>
              <w:spacing w:after="0"/>
              <w:rPr>
                <w:sz w:val="20"/>
                <w:szCs w:val="20"/>
                <w:color w:val="auto"/>
              </w:rPr>
            </w:pPr>
            <w:r>
              <w:rPr>
                <w:rFonts w:ascii="Arial" w:cs="Arial" w:eastAsia="Arial" w:hAnsi="Arial"/>
                <w:sz w:val="18"/>
                <w:szCs w:val="18"/>
                <w:color w:val="auto"/>
              </w:rPr>
              <w:t>119 Fourth Avenue</w:t>
            </w:r>
          </w:p>
        </w:tc>
        <w:tc>
          <w:tcPr>
            <w:tcW w:w="2880" w:type="dxa"/>
            <w:vAlign w:val="bottom"/>
          </w:tcPr>
          <w:p>
            <w:pPr>
              <w:ind w:left="620"/>
              <w:spacing w:after="0"/>
              <w:rPr>
                <w:sz w:val="20"/>
                <w:szCs w:val="20"/>
                <w:color w:val="auto"/>
              </w:rPr>
            </w:pPr>
            <w:r>
              <w:rPr>
                <w:rFonts w:ascii="Arial" w:cs="Arial" w:eastAsia="Arial" w:hAnsi="Arial"/>
                <w:sz w:val="18"/>
                <w:szCs w:val="18"/>
                <w:color w:val="auto"/>
              </w:rPr>
              <w:t>151 Martine Street</w:t>
            </w:r>
          </w:p>
        </w:tc>
        <w:tc>
          <w:tcPr>
            <w:tcW w:w="3340" w:type="dxa"/>
            <w:vAlign w:val="bottom"/>
          </w:tcPr>
          <w:p>
            <w:pPr>
              <w:ind w:left="660"/>
              <w:spacing w:after="0"/>
              <w:rPr>
                <w:sz w:val="20"/>
                <w:szCs w:val="20"/>
                <w:color w:val="auto"/>
              </w:rPr>
            </w:pPr>
            <w:r>
              <w:rPr>
                <w:rFonts w:ascii="Arial" w:cs="Arial" w:eastAsia="Arial" w:hAnsi="Arial"/>
                <w:sz w:val="18"/>
                <w:szCs w:val="18"/>
                <w:color w:val="auto"/>
              </w:rPr>
              <w:t>300 George Street, Suite 530</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Hampton, NJ 08827</w:t>
            </w:r>
          </w:p>
        </w:tc>
        <w:tc>
          <w:tcPr>
            <w:tcW w:w="2560" w:type="dxa"/>
            <w:vAlign w:val="bottom"/>
          </w:tcPr>
          <w:p>
            <w:pPr>
              <w:ind w:left="360"/>
              <w:spacing w:after="0"/>
              <w:rPr>
                <w:sz w:val="20"/>
                <w:szCs w:val="20"/>
                <w:color w:val="auto"/>
              </w:rPr>
            </w:pPr>
            <w:r>
              <w:rPr>
                <w:rFonts w:ascii="Arial" w:cs="Arial" w:eastAsia="Arial" w:hAnsi="Arial"/>
                <w:sz w:val="18"/>
                <w:szCs w:val="18"/>
                <w:color w:val="auto"/>
              </w:rPr>
              <w:t>Needham, MA 02494</w:t>
            </w:r>
          </w:p>
        </w:tc>
        <w:tc>
          <w:tcPr>
            <w:tcW w:w="2880" w:type="dxa"/>
            <w:vAlign w:val="bottom"/>
          </w:tcPr>
          <w:p>
            <w:pPr>
              <w:ind w:left="620"/>
              <w:spacing w:after="0"/>
              <w:rPr>
                <w:sz w:val="20"/>
                <w:szCs w:val="20"/>
                <w:color w:val="auto"/>
              </w:rPr>
            </w:pPr>
            <w:r>
              <w:rPr>
                <w:rFonts w:ascii="Arial" w:cs="Arial" w:eastAsia="Arial" w:hAnsi="Arial"/>
                <w:sz w:val="18"/>
                <w:szCs w:val="18"/>
                <w:color w:val="auto"/>
              </w:rPr>
              <w:t>Fall River, MA 02723</w:t>
            </w:r>
          </w:p>
        </w:tc>
        <w:tc>
          <w:tcPr>
            <w:tcW w:w="3340" w:type="dxa"/>
            <w:vAlign w:val="bottom"/>
          </w:tcPr>
          <w:p>
            <w:pPr>
              <w:ind w:left="660"/>
              <w:spacing w:after="0"/>
              <w:rPr>
                <w:sz w:val="20"/>
                <w:szCs w:val="20"/>
                <w:color w:val="auto"/>
              </w:rPr>
            </w:pPr>
            <w:r>
              <w:rPr>
                <w:rFonts w:ascii="Arial" w:cs="Arial" w:eastAsia="Arial" w:hAnsi="Arial"/>
                <w:sz w:val="18"/>
                <w:szCs w:val="18"/>
                <w:color w:val="auto"/>
              </w:rPr>
              <w:t>New Haven, CT 06511</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Tel: 908-200-7500</w:t>
            </w:r>
          </w:p>
        </w:tc>
        <w:tc>
          <w:tcPr>
            <w:tcW w:w="2560" w:type="dxa"/>
            <w:vAlign w:val="bottom"/>
          </w:tcPr>
          <w:p>
            <w:pPr>
              <w:ind w:left="360"/>
              <w:spacing w:after="0"/>
              <w:rPr>
                <w:sz w:val="20"/>
                <w:szCs w:val="20"/>
                <w:color w:val="auto"/>
              </w:rPr>
            </w:pPr>
            <w:r>
              <w:rPr>
                <w:rFonts w:ascii="Arial" w:cs="Arial" w:eastAsia="Arial" w:hAnsi="Arial"/>
                <w:sz w:val="18"/>
                <w:szCs w:val="18"/>
                <w:color w:val="auto"/>
              </w:rPr>
              <w:t>Tel: 781-433-0771</w:t>
            </w:r>
          </w:p>
        </w:tc>
        <w:tc>
          <w:tcPr>
            <w:tcW w:w="2880" w:type="dxa"/>
            <w:vAlign w:val="bottom"/>
          </w:tcPr>
          <w:p>
            <w:pPr>
              <w:ind w:left="620"/>
              <w:spacing w:after="0"/>
              <w:rPr>
                <w:sz w:val="20"/>
                <w:szCs w:val="20"/>
                <w:color w:val="auto"/>
              </w:rPr>
            </w:pPr>
            <w:r>
              <w:rPr>
                <w:rFonts w:ascii="Arial" w:cs="Arial" w:eastAsia="Arial" w:hAnsi="Arial"/>
                <w:sz w:val="18"/>
                <w:szCs w:val="18"/>
                <w:color w:val="auto"/>
              </w:rPr>
              <w:t>Tel: 508-742-4300</w:t>
            </w:r>
          </w:p>
        </w:tc>
        <w:tc>
          <w:tcPr>
            <w:tcW w:w="3340" w:type="dxa"/>
            <w:vAlign w:val="bottom"/>
          </w:tcPr>
          <w:p>
            <w:pPr>
              <w:ind w:left="660"/>
              <w:spacing w:after="0"/>
              <w:rPr>
                <w:sz w:val="20"/>
                <w:szCs w:val="20"/>
                <w:color w:val="auto"/>
              </w:rPr>
            </w:pPr>
            <w:r>
              <w:rPr>
                <w:rFonts w:ascii="Arial" w:cs="Arial" w:eastAsia="Arial" w:hAnsi="Arial"/>
                <w:sz w:val="18"/>
                <w:szCs w:val="18"/>
                <w:color w:val="auto"/>
              </w:rPr>
              <w:t>Tel: 203-483-3500</w:t>
            </w: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Fax: 908-454-1911</w:t>
            </w:r>
          </w:p>
        </w:tc>
        <w:tc>
          <w:tcPr>
            <w:tcW w:w="2560" w:type="dxa"/>
            <w:vAlign w:val="bottom"/>
          </w:tcPr>
          <w:p>
            <w:pPr>
              <w:ind w:left="360"/>
              <w:spacing w:after="0"/>
              <w:rPr>
                <w:sz w:val="20"/>
                <w:szCs w:val="20"/>
                <w:color w:val="auto"/>
              </w:rPr>
            </w:pPr>
            <w:r>
              <w:rPr>
                <w:rFonts w:ascii="Arial" w:cs="Arial" w:eastAsia="Arial" w:hAnsi="Arial"/>
                <w:sz w:val="18"/>
                <w:szCs w:val="18"/>
                <w:color w:val="auto"/>
              </w:rPr>
              <w:t>Fax: 781-433-0262</w:t>
            </w:r>
          </w:p>
        </w:tc>
        <w:tc>
          <w:tcPr>
            <w:tcW w:w="2880" w:type="dxa"/>
            <w:vAlign w:val="bottom"/>
          </w:tcPr>
          <w:p>
            <w:pPr>
              <w:ind w:left="620"/>
              <w:spacing w:after="0"/>
              <w:rPr>
                <w:sz w:val="20"/>
                <w:szCs w:val="20"/>
                <w:color w:val="auto"/>
              </w:rPr>
            </w:pPr>
            <w:r>
              <w:rPr>
                <w:rFonts w:ascii="Arial" w:cs="Arial" w:eastAsia="Arial" w:hAnsi="Arial"/>
                <w:sz w:val="18"/>
                <w:szCs w:val="18"/>
                <w:color w:val="auto"/>
              </w:rPr>
              <w:t>Fax: 508-742-4309</w:t>
            </w:r>
          </w:p>
        </w:tc>
        <w:tc>
          <w:tcPr>
            <w:tcW w:w="3340" w:type="dxa"/>
            <w:vAlign w:val="bottom"/>
          </w:tcPr>
          <w:p>
            <w:pPr>
              <w:ind w:left="660"/>
              <w:spacing w:after="0"/>
              <w:rPr>
                <w:sz w:val="20"/>
                <w:szCs w:val="20"/>
                <w:color w:val="auto"/>
              </w:rPr>
            </w:pPr>
            <w:r>
              <w:rPr>
                <w:rFonts w:ascii="Arial" w:cs="Arial" w:eastAsia="Arial" w:hAnsi="Arial"/>
                <w:sz w:val="18"/>
                <w:szCs w:val="18"/>
                <w:color w:val="auto"/>
              </w:rPr>
              <w:t>Fax: 203-208-1533</w:t>
            </w:r>
          </w:p>
        </w:tc>
      </w:tr>
      <w:tr>
        <w:trPr>
          <w:trHeight w:val="459"/>
        </w:trPr>
        <w:tc>
          <w:tcPr>
            <w:tcW w:w="24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920" w:hanging="575"/>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40" w:hanging="388"/>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40" w:hanging="388"/>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80" w:right="140" w:hanging="657"/>
        <w:spacing w:after="0" w:line="342" w:lineRule="auto"/>
        <w:tabs>
          <w:tab w:leader="none" w:pos="1380" w:val="left"/>
        </w:tabs>
        <w:numPr>
          <w:ilvl w:val="2"/>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80" w:right="140" w:hanging="657"/>
        <w:spacing w:after="0" w:line="263" w:lineRule="auto"/>
        <w:tabs>
          <w:tab w:leader="none" w:pos="13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00" w:hanging="388"/>
        <w:spacing w:after="0" w:line="34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380" w:hanging="657"/>
        <w:spacing w:after="0" w:line="342" w:lineRule="auto"/>
        <w:tabs>
          <w:tab w:leader="none" w:pos="138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80" w:right="80" w:hanging="657"/>
        <w:spacing w:after="0" w:line="277" w:lineRule="auto"/>
        <w:tabs>
          <w:tab w:leader="none" w:pos="13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0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jc w:val="both"/>
        <w:ind w:left="720" w:right="40" w:hanging="388"/>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20" w:right="20" w:hanging="388"/>
        <w:spacing w:after="0" w:line="308"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20" w:right="40" w:hanging="388"/>
        <w:spacing w:after="0" w:line="263"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80" w:right="60" w:hanging="657"/>
        <w:spacing w:after="0" w:line="263"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80" w:right="140" w:hanging="657"/>
        <w:spacing w:after="0" w:line="34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80" w:right="140" w:hanging="657"/>
        <w:spacing w:after="0" w:line="263"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20" w:right="200" w:hanging="388"/>
        <w:spacing w:after="0" w:line="342"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80" w:right="380" w:hanging="657"/>
        <w:spacing w:after="0" w:line="342" w:lineRule="auto"/>
        <w:tabs>
          <w:tab w:leader="none" w:pos="13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80" w:right="80" w:hanging="657"/>
        <w:spacing w:after="0" w:line="277" w:lineRule="auto"/>
        <w:tabs>
          <w:tab w:leader="none" w:pos="13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60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2"/>
        </w:trPr>
        <w:tc>
          <w:tcPr>
            <w:tcW w:w="36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60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August 6, 2020</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600" w:type="dxa"/>
            <w:vAlign w:val="bottom"/>
          </w:tcPr>
          <w:p>
            <w:pPr>
              <w:spacing w:after="0"/>
              <w:rPr>
                <w:sz w:val="16"/>
                <w:szCs w:val="16"/>
                <w:color w:val="auto"/>
              </w:rPr>
            </w:pPr>
          </w:p>
        </w:tc>
        <w:tc>
          <w:tcPr>
            <w:tcW w:w="26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60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2">
    <w:nsid w:val="109CF92E"/>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2020-08-06T15:53:20Z</dcterms:created>
  <dcterms:modified xsi:type="dcterms:W3CDTF">2020-08-06T15:53:20Z</dcterms:modified>
</cp:coreProperties>
</file>