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306070</wp:posOffset>
            </wp:positionV>
            <wp:extent cx="61893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357505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UNITED STATES</w:t>
      </w:r>
    </w:p>
    <w:p>
      <w:pPr>
        <w:spacing w:after="0" w:line="23"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130" w:lineRule="exact"/>
        <w:rPr>
          <w:sz w:val="24"/>
          <w:szCs w:val="24"/>
          <w:color w:val="auto"/>
        </w:rPr>
      </w:pPr>
    </w:p>
    <w:p>
      <w:pPr>
        <w:ind w:left="4620"/>
        <w:spacing w:after="0"/>
        <w:rPr>
          <w:sz w:val="20"/>
          <w:szCs w:val="20"/>
          <w:color w:val="auto"/>
        </w:rPr>
      </w:pPr>
      <w:r>
        <w:rPr>
          <w:rFonts w:ascii="Arial" w:cs="Arial" w:eastAsia="Arial" w:hAnsi="Arial"/>
          <w:sz w:val="29"/>
          <w:szCs w:val="29"/>
          <w:b w:val="1"/>
          <w:bCs w:val="1"/>
          <w:color w:val="auto"/>
        </w:rPr>
        <w:t>FORM 10-K</w:t>
      </w:r>
    </w:p>
    <w:p>
      <w:pPr>
        <w:spacing w:after="0" w:line="27"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1140" w:right="160" w:hanging="395"/>
        <w:spacing w:after="0" w:line="243" w:lineRule="auto"/>
        <w:tabs>
          <w:tab w:leader="none" w:pos="11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5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1140" w:right="980" w:hanging="395"/>
        <w:spacing w:after="0" w:line="243" w:lineRule="auto"/>
        <w:tabs>
          <w:tab w:leader="none" w:pos="11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Commission File Number 000-15006</w:t>
      </w:r>
    </w:p>
    <w:p>
      <w:pPr>
        <w:spacing w:after="0" w:line="95"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CELLDEX THERAPEUTICS, INC.</w:t>
      </w:r>
    </w:p>
    <w:p>
      <w:pPr>
        <w:spacing w:after="0" w:line="49" w:lineRule="exact"/>
        <w:rPr>
          <w:sz w:val="24"/>
          <w:szCs w:val="24"/>
          <w:color w:val="auto"/>
        </w:rPr>
      </w:pPr>
    </w:p>
    <w:p>
      <w:pPr>
        <w:ind w:left="4000"/>
        <w:spacing w:after="0"/>
        <w:rPr>
          <w:sz w:val="20"/>
          <w:szCs w:val="20"/>
          <w:color w:val="auto"/>
        </w:rPr>
      </w:pPr>
      <w:r>
        <w:rPr>
          <w:rFonts w:ascii="Arial" w:cs="Arial" w:eastAsia="Arial" w:hAnsi="Arial"/>
          <w:sz w:val="13"/>
          <w:szCs w:val="13"/>
          <w:color w:val="auto"/>
        </w:rPr>
        <w:t>(Exact name of registrant as specified in its charter)</w:t>
      </w:r>
    </w:p>
    <w:p>
      <w:pPr>
        <w:spacing w:after="0" w:line="45" w:lineRule="exact"/>
        <w:rPr>
          <w:sz w:val="24"/>
          <w:szCs w:val="24"/>
          <w:color w:val="auto"/>
        </w:rPr>
      </w:pPr>
    </w:p>
    <w:tbl>
      <w:tblPr>
        <w:tblLayout w:type="fixed"/>
        <w:tblInd w:w="2080" w:type="dxa"/>
        <w:tblCellMar>
          <w:top w:w="0" w:type="dxa"/>
          <w:left w:w="0" w:type="dxa"/>
          <w:bottom w:w="0" w:type="dxa"/>
          <w:right w:w="0" w:type="dxa"/>
        </w:tblCellMar>
      </w:tblPr>
      <w:tr>
        <w:trPr>
          <w:trHeight w:val="184"/>
        </w:trPr>
        <w:tc>
          <w:tcPr>
            <w:tcW w:w="3420" w:type="dxa"/>
            <w:vAlign w:val="bottom"/>
          </w:tcPr>
          <w:p>
            <w:pPr>
              <w:jc w:val="center"/>
              <w:ind w:right="1771"/>
              <w:spacing w:after="0"/>
              <w:rPr>
                <w:sz w:val="20"/>
                <w:szCs w:val="20"/>
                <w:color w:val="auto"/>
              </w:rPr>
            </w:pPr>
            <w:r>
              <w:rPr>
                <w:rFonts w:ascii="Arial" w:cs="Arial" w:eastAsia="Arial" w:hAnsi="Arial"/>
                <w:sz w:val="16"/>
                <w:szCs w:val="16"/>
                <w:b w:val="1"/>
                <w:bCs w:val="1"/>
                <w:color w:val="auto"/>
                <w:w w:val="88"/>
              </w:rPr>
              <w:t>Delaware</w:t>
            </w:r>
          </w:p>
        </w:tc>
        <w:tc>
          <w:tcPr>
            <w:tcW w:w="2820" w:type="dxa"/>
            <w:vAlign w:val="bottom"/>
          </w:tcPr>
          <w:p>
            <w:pPr>
              <w:jc w:val="center"/>
              <w:ind w:left="1791"/>
              <w:spacing w:after="0"/>
              <w:rPr>
                <w:sz w:val="20"/>
                <w:szCs w:val="20"/>
                <w:color w:val="auto"/>
              </w:rPr>
            </w:pPr>
            <w:r>
              <w:rPr>
                <w:rFonts w:ascii="Arial" w:cs="Arial" w:eastAsia="Arial" w:hAnsi="Arial"/>
                <w:sz w:val="16"/>
                <w:szCs w:val="16"/>
                <w:b w:val="1"/>
                <w:bCs w:val="1"/>
                <w:color w:val="auto"/>
                <w:w w:val="88"/>
              </w:rPr>
              <w:t>13-3191702</w:t>
            </w:r>
          </w:p>
        </w:tc>
      </w:tr>
      <w:tr>
        <w:trPr>
          <w:trHeight w:val="135"/>
        </w:trPr>
        <w:tc>
          <w:tcPr>
            <w:tcW w:w="3420" w:type="dxa"/>
            <w:vAlign w:val="bottom"/>
          </w:tcPr>
          <w:p>
            <w:pPr>
              <w:jc w:val="center"/>
              <w:ind w:right="1811"/>
              <w:spacing w:after="0" w:line="135" w:lineRule="exact"/>
              <w:rPr>
                <w:sz w:val="20"/>
                <w:szCs w:val="20"/>
                <w:color w:val="auto"/>
              </w:rPr>
            </w:pPr>
            <w:r>
              <w:rPr>
                <w:rFonts w:ascii="Arial" w:cs="Arial" w:eastAsia="Arial" w:hAnsi="Arial"/>
                <w:sz w:val="13"/>
                <w:szCs w:val="13"/>
                <w:color w:val="auto"/>
                <w:w w:val="94"/>
              </w:rPr>
              <w:t>(State or other jurisdiction of</w:t>
            </w:r>
          </w:p>
        </w:tc>
        <w:tc>
          <w:tcPr>
            <w:tcW w:w="2820" w:type="dxa"/>
            <w:vAlign w:val="bottom"/>
          </w:tcPr>
          <w:p>
            <w:pPr>
              <w:jc w:val="center"/>
              <w:ind w:left="1751"/>
              <w:spacing w:after="0" w:line="135" w:lineRule="exact"/>
              <w:rPr>
                <w:sz w:val="20"/>
                <w:szCs w:val="20"/>
                <w:color w:val="auto"/>
              </w:rPr>
            </w:pPr>
            <w:r>
              <w:rPr>
                <w:rFonts w:ascii="Arial" w:cs="Arial" w:eastAsia="Arial" w:hAnsi="Arial"/>
                <w:sz w:val="13"/>
                <w:szCs w:val="13"/>
                <w:color w:val="auto"/>
                <w:w w:val="92"/>
              </w:rPr>
              <w:t>(I.R.S. Employer</w:t>
            </w:r>
          </w:p>
        </w:tc>
      </w:tr>
      <w:tr>
        <w:trPr>
          <w:trHeight w:val="174"/>
        </w:trPr>
        <w:tc>
          <w:tcPr>
            <w:tcW w:w="3420" w:type="dxa"/>
            <w:vAlign w:val="bottom"/>
          </w:tcPr>
          <w:p>
            <w:pPr>
              <w:jc w:val="center"/>
              <w:ind w:right="1771"/>
              <w:spacing w:after="0"/>
              <w:rPr>
                <w:sz w:val="20"/>
                <w:szCs w:val="20"/>
                <w:color w:val="auto"/>
              </w:rPr>
            </w:pPr>
            <w:r>
              <w:rPr>
                <w:rFonts w:ascii="Arial" w:cs="Arial" w:eastAsia="Arial" w:hAnsi="Arial"/>
                <w:sz w:val="13"/>
                <w:szCs w:val="13"/>
                <w:color w:val="auto"/>
                <w:w w:val="93"/>
              </w:rPr>
              <w:t>incorporation or organization)</w:t>
            </w:r>
          </w:p>
        </w:tc>
        <w:tc>
          <w:tcPr>
            <w:tcW w:w="2820" w:type="dxa"/>
            <w:vAlign w:val="bottom"/>
          </w:tcPr>
          <w:p>
            <w:pPr>
              <w:jc w:val="center"/>
              <w:ind w:left="1771"/>
              <w:spacing w:after="0"/>
              <w:rPr>
                <w:sz w:val="20"/>
                <w:szCs w:val="20"/>
                <w:color w:val="auto"/>
              </w:rPr>
            </w:pPr>
            <w:r>
              <w:rPr>
                <w:rFonts w:ascii="Arial" w:cs="Arial" w:eastAsia="Arial" w:hAnsi="Arial"/>
                <w:sz w:val="13"/>
                <w:szCs w:val="13"/>
                <w:color w:val="auto"/>
                <w:w w:val="96"/>
              </w:rPr>
              <w:t>Identification No.)</w:t>
            </w:r>
          </w:p>
        </w:tc>
      </w:tr>
    </w:tbl>
    <w:p>
      <w:pPr>
        <w:spacing w:after="0" w:line="178"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Perryville III Building, 53 Frontage Road, Suite 220, Hampton, New Jersey 08827</w:t>
      </w:r>
    </w:p>
    <w:p>
      <w:pPr>
        <w:spacing w:after="0" w:line="45" w:lineRule="exact"/>
        <w:rPr>
          <w:sz w:val="24"/>
          <w:szCs w:val="24"/>
          <w:color w:val="auto"/>
        </w:rPr>
      </w:pPr>
    </w:p>
    <w:p>
      <w:pPr>
        <w:jc w:val="center"/>
        <w:ind w:right="-499"/>
        <w:spacing w:after="0"/>
        <w:rPr>
          <w:sz w:val="20"/>
          <w:szCs w:val="20"/>
          <w:color w:val="auto"/>
        </w:rPr>
      </w:pPr>
      <w:r>
        <w:rPr>
          <w:rFonts w:ascii="Arial" w:cs="Arial" w:eastAsia="Arial" w:hAnsi="Arial"/>
          <w:sz w:val="13"/>
          <w:szCs w:val="13"/>
          <w:color w:val="auto"/>
        </w:rPr>
        <w:t>(Address of principal executive offices) (Zip Code)</w:t>
      </w:r>
    </w:p>
    <w:p>
      <w:pPr>
        <w:spacing w:after="0" w:line="40" w:lineRule="exact"/>
        <w:rPr>
          <w:sz w:val="24"/>
          <w:szCs w:val="24"/>
          <w:color w:val="auto"/>
        </w:rPr>
      </w:pPr>
    </w:p>
    <w:p>
      <w:pPr>
        <w:jc w:val="center"/>
        <w:ind w:right="-49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(908) 200-7500</w:t>
      </w:r>
    </w:p>
    <w:p>
      <w:pPr>
        <w:spacing w:after="0" w:line="63" w:lineRule="exact"/>
        <w:rPr>
          <w:sz w:val="24"/>
          <w:szCs w:val="24"/>
          <w:color w:val="auto"/>
        </w:rPr>
      </w:pPr>
    </w:p>
    <w:p>
      <w:pPr>
        <w:jc w:val="center"/>
        <w:ind w:right="-49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0" w:lineRule="exact"/>
        <w:rPr>
          <w:sz w:val="24"/>
          <w:szCs w:val="24"/>
          <w:color w:val="auto"/>
        </w:rPr>
      </w:pPr>
    </w:p>
    <w:tbl>
      <w:tblPr>
        <w:tblLayout w:type="fixed"/>
        <w:tblInd w:w="86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186"/>
        </w:trPr>
        <w:tc>
          <w:tcPr>
            <w:tcW w:w="4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Title of Each Class:</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Trading Symbol(s)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88"/>
              </w:rPr>
              <w:t>Where Registered:</w:t>
            </w:r>
          </w:p>
        </w:tc>
      </w:tr>
      <w:tr>
        <w:trPr>
          <w:trHeight w:val="25"/>
        </w:trPr>
        <w:tc>
          <w:tcPr>
            <w:tcW w:w="4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17"/>
        </w:trPr>
        <w:tc>
          <w:tcPr>
            <w:tcW w:w="490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Common Stock, par value $.001</w:t>
            </w: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color w:val="auto"/>
              </w:rPr>
              <w:t>CLDX</w:t>
            </w:r>
          </w:p>
        </w:tc>
        <w:tc>
          <w:tcPr>
            <w:tcW w:w="2600" w:type="dxa"/>
            <w:vAlign w:val="bottom"/>
          </w:tcPr>
          <w:p>
            <w:pPr>
              <w:jc w:val="center"/>
              <w:spacing w:after="0"/>
              <w:rPr>
                <w:sz w:val="20"/>
                <w:szCs w:val="20"/>
                <w:color w:val="auto"/>
              </w:rPr>
            </w:pPr>
            <w:r>
              <w:rPr>
                <w:rFonts w:ascii="Arial" w:cs="Arial" w:eastAsia="Arial" w:hAnsi="Arial"/>
                <w:sz w:val="16"/>
                <w:szCs w:val="16"/>
                <w:color w:val="auto"/>
              </w:rPr>
              <w:t>NASDAQ Capital Market</w:t>
            </w:r>
          </w:p>
        </w:tc>
      </w:tr>
    </w:tbl>
    <w:p>
      <w:pPr>
        <w:spacing w:after="0" w:line="195" w:lineRule="exact"/>
        <w:rPr>
          <w:sz w:val="24"/>
          <w:szCs w:val="24"/>
          <w:color w:val="auto"/>
        </w:rPr>
      </w:pPr>
    </w:p>
    <w:p>
      <w:pPr>
        <w:jc w:val="center"/>
        <w:ind w:right="-49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47" w:lineRule="exact"/>
        <w:rPr>
          <w:sz w:val="24"/>
          <w:szCs w:val="24"/>
          <w:color w:val="auto"/>
        </w:rPr>
      </w:pPr>
    </w:p>
    <w:p>
      <w:pPr>
        <w:ind w:left="860" w:right="200"/>
        <w:spacing w:after="0" w:line="24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left="500" w:right="320" w:firstLine="360"/>
        <w:spacing w:after="0" w:line="24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left="500" w:right="120" w:firstLine="360"/>
        <w:spacing w:after="0" w:line="19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jc w:val="both"/>
        <w:ind w:left="500" w:right="240" w:firstLine="36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0220"/>
          </w:cols>
          <w:pgMar w:left="580" w:top="239" w:right="1099" w:bottom="1440" w:gutter="0" w:footer="0" w:header="0"/>
        </w:sectPr>
      </w:pPr>
    </w:p>
    <w:p>
      <w:pPr>
        <w:spacing w:after="0" w:line="19" w:lineRule="exact"/>
        <w:rPr>
          <w:sz w:val="24"/>
          <w:szCs w:val="24"/>
          <w:color w:val="auto"/>
        </w:rPr>
      </w:pPr>
    </w:p>
    <w:p>
      <w:pPr>
        <w:ind w:left="50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jc w:val="both"/>
        <w:ind w:right="120" w:hanging="4"/>
        <w:spacing w:after="0" w:line="222"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181" w:lineRule="exact"/>
        <w:rPr>
          <w:sz w:val="24"/>
          <w:szCs w:val="24"/>
          <w:color w:val="auto"/>
        </w:rPr>
      </w:pPr>
    </w:p>
    <w:p>
      <w:pPr>
        <w:sectPr>
          <w:pgSz w:w="11900" w:h="16838" w:orient="portrait"/>
          <w:cols w:equalWidth="0" w:num="4">
            <w:col w:w="2260" w:space="720"/>
            <w:col w:w="1760" w:space="720"/>
            <w:col w:w="1880" w:space="720"/>
            <w:col w:w="2160"/>
          </w:cols>
          <w:pgMar w:left="580" w:top="239" w:right="1099" w:bottom="1440" w:gutter="0" w:footer="0" w:header="0"/>
          <w:type w:val="continuous"/>
        </w:sectPr>
      </w:pPr>
    </w:p>
    <w:p>
      <w:pPr>
        <w:ind w:left="500" w:right="640" w:firstLine="360"/>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9" w:lineRule="exact"/>
        <w:rPr>
          <w:sz w:val="24"/>
          <w:szCs w:val="24"/>
          <w:color w:val="auto"/>
        </w:rPr>
      </w:pPr>
    </w:p>
    <w:p>
      <w:pPr>
        <w:ind w:left="500" w:right="60" w:firstLine="360"/>
        <w:spacing w:after="0" w:line="192"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left="8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1" w:lineRule="exact"/>
        <w:rPr>
          <w:sz w:val="24"/>
          <w:szCs w:val="24"/>
          <w:color w:val="auto"/>
        </w:rPr>
      </w:pPr>
    </w:p>
    <w:p>
      <w:pPr>
        <w:ind w:left="500" w:right="180" w:firstLine="360"/>
        <w:spacing w:after="0" w:line="267" w:lineRule="auto"/>
        <w:rPr>
          <w:sz w:val="20"/>
          <w:szCs w:val="20"/>
          <w:color w:val="auto"/>
        </w:rPr>
      </w:pPr>
      <w:r>
        <w:rPr>
          <w:rFonts w:ascii="Arial" w:cs="Arial" w:eastAsia="Arial" w:hAnsi="Arial"/>
          <w:sz w:val="15"/>
          <w:szCs w:val="15"/>
          <w:color w:val="auto"/>
        </w:rPr>
        <w:t>The aggregate market value of the registrant’s common stock held by non -affiliates as of June 30, 2020 was $507 million.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18" w:lineRule="exact"/>
        <w:rPr>
          <w:sz w:val="24"/>
          <w:szCs w:val="24"/>
          <w:color w:val="auto"/>
        </w:rPr>
      </w:pPr>
    </w:p>
    <w:p>
      <w:pPr>
        <w:ind w:left="860"/>
        <w:spacing w:after="0"/>
        <w:rPr>
          <w:sz w:val="20"/>
          <w:szCs w:val="20"/>
          <w:color w:val="auto"/>
        </w:rPr>
      </w:pPr>
      <w:r>
        <w:rPr>
          <w:rFonts w:ascii="Arial" w:cs="Arial" w:eastAsia="Arial" w:hAnsi="Arial"/>
          <w:sz w:val="16"/>
          <w:szCs w:val="16"/>
          <w:color w:val="auto"/>
        </w:rPr>
        <w:t>The number of shares of common stock outstanding at March 22, 2021 was 39,614,638 shares.</w:t>
      </w:r>
    </w:p>
    <w:p>
      <w:pPr>
        <w:spacing w:after="0" w:line="136" w:lineRule="exact"/>
        <w:rPr>
          <w:sz w:val="24"/>
          <w:szCs w:val="24"/>
          <w:color w:val="auto"/>
        </w:rPr>
      </w:pPr>
    </w:p>
    <w:p>
      <w:pPr>
        <w:ind w:left="35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1" w:lineRule="exact"/>
        <w:rPr>
          <w:sz w:val="24"/>
          <w:szCs w:val="24"/>
          <w:color w:val="auto"/>
        </w:rPr>
      </w:pPr>
    </w:p>
    <w:p>
      <w:pPr>
        <w:ind w:left="500" w:firstLine="360"/>
        <w:spacing w:after="0" w:line="258" w:lineRule="auto"/>
        <w:rPr>
          <w:sz w:val="20"/>
          <w:szCs w:val="20"/>
          <w:color w:val="auto"/>
        </w:rPr>
      </w:pPr>
      <w:r>
        <w:rPr>
          <w:rFonts w:ascii="Arial" w:cs="Arial" w:eastAsia="Arial" w:hAnsi="Arial"/>
          <w:sz w:val="16"/>
          <w:szCs w:val="16"/>
          <w:color w:val="auto"/>
        </w:rPr>
        <w:t>Portions of the definitive Proxy Statement for our 2021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55245</wp:posOffset>
            </wp:positionV>
            <wp:extent cx="6189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89535</wp:posOffset>
            </wp:positionV>
            <wp:extent cx="61893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342265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239" w:right="109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0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9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Part I</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16"/>
        </w:trPr>
        <w:tc>
          <w:tcPr>
            <w:tcW w:w="180" w:type="dxa"/>
            <w:vAlign w:val="bottom"/>
          </w:tcPr>
          <w:p>
            <w:pPr>
              <w:spacing w:after="0"/>
              <w:rPr>
                <w:sz w:val="18"/>
                <w:szCs w:val="18"/>
                <w:color w:val="auto"/>
              </w:rPr>
            </w:pPr>
          </w:p>
        </w:tc>
        <w:tc>
          <w:tcPr>
            <w:tcW w:w="7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980" w:type="dxa"/>
            <w:vAlign w:val="bottom"/>
            <w:gridSpan w:val="26"/>
          </w:tcPr>
          <w:p>
            <w:pPr>
              <w:ind w:left="180"/>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0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tcPr>
          <w:p>
            <w:pPr>
              <w:spacing w:after="0"/>
              <w:rPr>
                <w:sz w:val="18"/>
                <w:szCs w:val="18"/>
                <w:color w:val="auto"/>
              </w:rPr>
            </w:pPr>
          </w:p>
        </w:tc>
      </w:tr>
      <w:tr>
        <w:trPr>
          <w:trHeight w:val="21"/>
        </w:trPr>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20" w:type="dxa"/>
            <w:vAlign w:val="bottom"/>
            <w:gridSpan w:val="6"/>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180" w:type="dxa"/>
            <w:vAlign w:val="bottom"/>
            <w:shd w:val="clear" w:color="auto" w:fill="CCEEFF"/>
          </w:tcPr>
          <w:p>
            <w:pPr>
              <w:spacing w:after="0"/>
              <w:rPr>
                <w:sz w:val="18"/>
                <w:szCs w:val="18"/>
                <w:color w:val="auto"/>
              </w:rPr>
            </w:pPr>
          </w:p>
        </w:tc>
        <w:tc>
          <w:tcPr>
            <w:tcW w:w="6800" w:type="dxa"/>
            <w:vAlign w:val="bottom"/>
            <w:gridSpan w:val="25"/>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300" w:type="dxa"/>
            <w:vAlign w:val="bottom"/>
            <w:gridSpan w:val="4"/>
            <w:shd w:val="clear" w:color="auto" w:fill="CCEEFF"/>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20" w:type="dxa"/>
            <w:vAlign w:val="bottom"/>
            <w:shd w:val="clear" w:color="auto" w:fill="CCEEFF"/>
          </w:tcPr>
          <w:p>
            <w:pPr>
              <w:spacing w:after="0"/>
              <w:rPr>
                <w:sz w:val="18"/>
                <w:szCs w:val="18"/>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20" w:type="dxa"/>
            <w:vAlign w:val="bottom"/>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1B.</w:t>
              </w:r>
            </w:hyperlink>
          </w:p>
        </w:tc>
        <w:tc>
          <w:tcPr>
            <w:tcW w:w="180" w:type="dxa"/>
            <w:vAlign w:val="bottom"/>
          </w:tcPr>
          <w:p>
            <w:pPr>
              <w:spacing w:after="0"/>
              <w:rPr>
                <w:sz w:val="19"/>
                <w:szCs w:val="19"/>
                <w:color w:val="auto"/>
              </w:rPr>
            </w:pPr>
          </w:p>
        </w:tc>
        <w:tc>
          <w:tcPr>
            <w:tcW w:w="6800" w:type="dxa"/>
            <w:vAlign w:val="bottom"/>
            <w:gridSpan w:val="2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Unresolved Staff Comments</w:t>
              </w:r>
            </w:hyperlink>
          </w:p>
        </w:tc>
        <w:tc>
          <w:tcPr>
            <w:tcW w:w="30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2.</w:t>
              </w:r>
            </w:hyperlink>
          </w:p>
        </w:tc>
        <w:tc>
          <w:tcPr>
            <w:tcW w:w="140" w:type="dxa"/>
            <w:vAlign w:val="bottom"/>
            <w:gridSpan w:val="5"/>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0" w:type="dxa"/>
            <w:vAlign w:val="bottom"/>
            <w:gridSpan w:val="25"/>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Properties</w:t>
              </w:r>
            </w:hyperlink>
          </w:p>
        </w:tc>
        <w:tc>
          <w:tcPr>
            <w:tcW w:w="300" w:type="dxa"/>
            <w:vAlign w:val="bottom"/>
            <w:gridSpan w:val="4"/>
            <w:shd w:val="clear" w:color="auto" w:fill="CCEEFF"/>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c>
          <w:tcPr>
            <w:tcW w:w="2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580" w:type="dxa"/>
            <w:vAlign w:val="bottom"/>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140" w:type="dxa"/>
            <w:vAlign w:val="bottom"/>
            <w:gridSpan w:val="5"/>
          </w:tcPr>
          <w:p>
            <w:pPr>
              <w:spacing w:after="0"/>
              <w:rPr>
                <w:sz w:val="19"/>
                <w:szCs w:val="19"/>
                <w:color w:val="auto"/>
              </w:rPr>
            </w:pPr>
          </w:p>
        </w:tc>
        <w:tc>
          <w:tcPr>
            <w:tcW w:w="180" w:type="dxa"/>
            <w:vAlign w:val="bottom"/>
          </w:tcPr>
          <w:p>
            <w:pPr>
              <w:spacing w:after="0"/>
              <w:rPr>
                <w:sz w:val="19"/>
                <w:szCs w:val="19"/>
                <w:color w:val="auto"/>
              </w:rPr>
            </w:pPr>
          </w:p>
        </w:tc>
        <w:tc>
          <w:tcPr>
            <w:tcW w:w="6800" w:type="dxa"/>
            <w:vAlign w:val="bottom"/>
            <w:gridSpan w:val="2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30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140" w:type="dxa"/>
            <w:vAlign w:val="bottom"/>
            <w:gridSpan w:val="5"/>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gridSpan w:val="11"/>
            <w:shd w:val="clear" w:color="auto" w:fill="CCEEFF"/>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Mine Safety Disclosures</w:t>
              </w:r>
            </w:hyperlink>
          </w:p>
        </w:tc>
        <w:tc>
          <w:tcPr>
            <w:tcW w:w="4940" w:type="dxa"/>
            <w:vAlign w:val="bottom"/>
            <w:gridSpan w:val="14"/>
            <w:shd w:val="clear" w:color="auto" w:fill="CCEEFF"/>
          </w:tcPr>
          <w:p>
            <w:pPr>
              <w:spacing w:after="0"/>
              <w:rPr>
                <w:sz w:val="19"/>
                <w:szCs w:val="19"/>
                <w:color w:val="auto"/>
              </w:rPr>
            </w:pPr>
          </w:p>
        </w:tc>
        <w:tc>
          <w:tcPr>
            <w:tcW w:w="300" w:type="dxa"/>
            <w:vAlign w:val="bottom"/>
            <w:gridSpan w:val="4"/>
            <w:shd w:val="clear" w:color="auto" w:fill="CCEEFF"/>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c>
          <w:tcPr>
            <w:tcW w:w="2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378"/>
        </w:trPr>
        <w:tc>
          <w:tcPr>
            <w:tcW w:w="900" w:type="dxa"/>
            <w:vAlign w:val="bottom"/>
            <w:gridSpan w:val="7"/>
          </w:tcPr>
          <w:p>
            <w:pPr>
              <w:spacing w:after="0"/>
              <w:rPr>
                <w:sz w:val="20"/>
                <w:szCs w:val="20"/>
                <w:color w:val="auto"/>
              </w:rPr>
            </w:pPr>
            <w:r>
              <w:rPr>
                <w:rFonts w:ascii="Arial" w:cs="Arial" w:eastAsia="Arial" w:hAnsi="Arial"/>
                <w:sz w:val="18"/>
                <w:szCs w:val="18"/>
                <w:color w:val="auto"/>
              </w:rPr>
              <w:t>Part II</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5.</w:t>
              </w:r>
            </w:hyperlink>
          </w:p>
        </w:tc>
        <w:tc>
          <w:tcPr>
            <w:tcW w:w="14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120" w:type="dxa"/>
            <w:vAlign w:val="bottom"/>
            <w:tcBorders>
              <w:bottom w:val="single" w:sz="8" w:color="0000EE"/>
            </w:tcBorders>
            <w:gridSpan w:val="24"/>
            <w:shd w:val="clear" w:color="auto" w:fill="CCEEFF"/>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Market for Registrant’s Common Equity, Related Stockholder Matters and Issuer</w:t>
              </w:r>
            </w:hyperlink>
          </w:p>
        </w:tc>
        <w:tc>
          <w:tcPr>
            <w:tcW w:w="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00" w:type="dxa"/>
            <w:vAlign w:val="bottom"/>
            <w:gridSpan w:val="14"/>
            <w:shd w:val="clear" w:color="auto" w:fill="CCEEFF"/>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Purchases of Equity Securities</w:t>
              </w:r>
            </w:hyperlink>
          </w:p>
        </w:tc>
        <w:tc>
          <w:tcPr>
            <w:tcW w:w="4500" w:type="dxa"/>
            <w:vAlign w:val="bottom"/>
            <w:gridSpan w:val="11"/>
            <w:shd w:val="clear" w:color="auto" w:fill="CCEEFF"/>
          </w:tcPr>
          <w:p>
            <w:pPr>
              <w:spacing w:after="0"/>
              <w:rPr>
                <w:sz w:val="17"/>
                <w:szCs w:val="17"/>
                <w:color w:val="auto"/>
              </w:rPr>
            </w:pPr>
          </w:p>
        </w:tc>
        <w:tc>
          <w:tcPr>
            <w:tcW w:w="300" w:type="dxa"/>
            <w:vAlign w:val="bottom"/>
            <w:gridSpan w:val="4"/>
            <w:shd w:val="clear" w:color="auto" w:fill="CCEEFF"/>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29"/>
        </w:trPr>
        <w:tc>
          <w:tcPr>
            <w:tcW w:w="180" w:type="dxa"/>
            <w:vAlign w:val="bottom"/>
          </w:tcPr>
          <w:p>
            <w:pPr>
              <w:spacing w:after="0"/>
              <w:rPr>
                <w:sz w:val="19"/>
                <w:szCs w:val="19"/>
                <w:color w:val="auto"/>
              </w:rPr>
            </w:pPr>
          </w:p>
        </w:tc>
        <w:tc>
          <w:tcPr>
            <w:tcW w:w="720" w:type="dxa"/>
            <w:vAlign w:val="bottom"/>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180" w:type="dxa"/>
            <w:vAlign w:val="bottom"/>
          </w:tcPr>
          <w:p>
            <w:pPr>
              <w:spacing w:after="0"/>
              <w:rPr>
                <w:sz w:val="19"/>
                <w:szCs w:val="19"/>
                <w:color w:val="auto"/>
              </w:rPr>
            </w:pPr>
          </w:p>
        </w:tc>
        <w:tc>
          <w:tcPr>
            <w:tcW w:w="2300" w:type="dxa"/>
            <w:vAlign w:val="bottom"/>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Selected Financial Data</w:t>
              </w:r>
            </w:hyperlink>
          </w:p>
        </w:tc>
        <w:tc>
          <w:tcPr>
            <w:tcW w:w="4500" w:type="dxa"/>
            <w:vAlign w:val="bottom"/>
            <w:gridSpan w:val="11"/>
          </w:tcPr>
          <w:p>
            <w:pPr>
              <w:spacing w:after="0"/>
              <w:rPr>
                <w:sz w:val="19"/>
                <w:szCs w:val="19"/>
                <w:color w:val="auto"/>
              </w:rPr>
            </w:pPr>
          </w:p>
        </w:tc>
        <w:tc>
          <w:tcPr>
            <w:tcW w:w="30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2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7.</w:t>
              </w:r>
            </w:hyperlink>
          </w:p>
        </w:tc>
        <w:tc>
          <w:tcPr>
            <w:tcW w:w="140" w:type="dxa"/>
            <w:vAlign w:val="bottom"/>
            <w:gridSpan w:val="5"/>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0" w:type="dxa"/>
            <w:vAlign w:val="bottom"/>
            <w:gridSpan w:val="25"/>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w:t>
              </w:r>
            </w:hyperlink>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8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Operations</w:t>
              </w:r>
            </w:hyperlink>
          </w:p>
        </w:tc>
        <w:tc>
          <w:tcPr>
            <w:tcW w:w="920" w:type="dxa"/>
            <w:vAlign w:val="bottom"/>
            <w:tcBorders>
              <w:top w:val="single" w:sz="8" w:color="CCEEFF"/>
            </w:tcBorders>
            <w:gridSpan w:val="4"/>
            <w:shd w:val="clear" w:color="auto" w:fill="CCEEFF"/>
          </w:tcPr>
          <w:p>
            <w:pPr>
              <w:spacing w:after="0"/>
              <w:rPr>
                <w:sz w:val="17"/>
                <w:szCs w:val="17"/>
                <w:color w:val="auto"/>
              </w:rPr>
            </w:pPr>
          </w:p>
        </w:tc>
        <w:tc>
          <w:tcPr>
            <w:tcW w:w="300" w:type="dxa"/>
            <w:vAlign w:val="bottom"/>
            <w:tcBorders>
              <w:top w:val="single" w:sz="8" w:color="CCEEFF"/>
            </w:tcBorders>
            <w:gridSpan w:val="4"/>
            <w:shd w:val="clear" w:color="auto" w:fill="CCEEFF"/>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30"/>
        </w:trPr>
        <w:tc>
          <w:tcPr>
            <w:tcW w:w="180" w:type="dxa"/>
            <w:vAlign w:val="bottom"/>
          </w:tcPr>
          <w:p>
            <w:pPr>
              <w:spacing w:after="0"/>
              <w:rPr>
                <w:sz w:val="19"/>
                <w:szCs w:val="19"/>
                <w:color w:val="auto"/>
              </w:rPr>
            </w:pPr>
          </w:p>
        </w:tc>
        <w:tc>
          <w:tcPr>
            <w:tcW w:w="720" w:type="dxa"/>
            <w:vAlign w:val="bottom"/>
            <w:gridSpan w:val="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7A.</w:t>
              </w:r>
            </w:hyperlink>
          </w:p>
        </w:tc>
        <w:tc>
          <w:tcPr>
            <w:tcW w:w="180" w:type="dxa"/>
            <w:vAlign w:val="bottom"/>
          </w:tcPr>
          <w:p>
            <w:pPr>
              <w:spacing w:after="0"/>
              <w:rPr>
                <w:sz w:val="19"/>
                <w:szCs w:val="19"/>
                <w:color w:val="auto"/>
              </w:rPr>
            </w:pPr>
          </w:p>
        </w:tc>
        <w:tc>
          <w:tcPr>
            <w:tcW w:w="6800" w:type="dxa"/>
            <w:vAlign w:val="bottom"/>
            <w:gridSpan w:val="2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300" w:type="dxa"/>
            <w:vAlign w:val="bottom"/>
            <w:gridSpan w:val="4"/>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8.</w:t>
              </w:r>
            </w:hyperlink>
          </w:p>
        </w:tc>
        <w:tc>
          <w:tcPr>
            <w:tcW w:w="140" w:type="dxa"/>
            <w:vAlign w:val="bottom"/>
            <w:gridSpan w:val="5"/>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80" w:type="dxa"/>
            <w:vAlign w:val="bottom"/>
            <w:gridSpan w:val="17"/>
            <w:shd w:val="clear" w:color="auto" w:fill="CCEEFF"/>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Financial Statements and Supplementary Data</w:t>
              </w:r>
            </w:hyperlink>
          </w:p>
        </w:tc>
        <w:tc>
          <w:tcPr>
            <w:tcW w:w="3320" w:type="dxa"/>
            <w:vAlign w:val="bottom"/>
            <w:gridSpan w:val="8"/>
            <w:shd w:val="clear" w:color="auto" w:fill="CCEEFF"/>
          </w:tcPr>
          <w:p>
            <w:pPr>
              <w:spacing w:after="0"/>
              <w:rPr>
                <w:sz w:val="19"/>
                <w:szCs w:val="19"/>
                <w:color w:val="auto"/>
              </w:rPr>
            </w:pPr>
          </w:p>
        </w:tc>
        <w:tc>
          <w:tcPr>
            <w:tcW w:w="300" w:type="dxa"/>
            <w:vAlign w:val="bottom"/>
            <w:gridSpan w:val="4"/>
            <w:shd w:val="clear" w:color="auto" w:fill="CCEEFF"/>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2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9.</w:t>
              </w:r>
            </w:hyperlink>
          </w:p>
        </w:tc>
        <w:tc>
          <w:tcPr>
            <w:tcW w:w="140" w:type="dxa"/>
            <w:vAlign w:val="bottom"/>
            <w:gridSpan w:val="5"/>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Changes in and Disagreements With Accountants on Accounting and Financial</w:t>
              </w:r>
            </w:hyperlink>
          </w:p>
        </w:tc>
        <w:tc>
          <w:tcPr>
            <w:tcW w:w="8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gridSpan w:val="26"/>
          </w:tcPr>
          <w:p>
            <w:pPr>
              <w:ind w:left="180"/>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Disclosure</w:t>
              </w:r>
            </w:hyperlink>
          </w:p>
        </w:tc>
        <w:tc>
          <w:tcPr>
            <w:tcW w:w="300" w:type="dxa"/>
            <w:vAlign w:val="bottom"/>
            <w:gridSpan w:val="4"/>
          </w:tcPr>
          <w:p>
            <w:pPr>
              <w:jc w:val="right"/>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180" w:type="dxa"/>
            <w:vAlign w:val="bottom"/>
            <w:shd w:val="clear" w:color="auto" w:fill="CCEEFF"/>
          </w:tcPr>
          <w:p>
            <w:pPr>
              <w:spacing w:after="0"/>
              <w:rPr>
                <w:sz w:val="19"/>
                <w:szCs w:val="19"/>
                <w:color w:val="auto"/>
              </w:rPr>
            </w:pPr>
          </w:p>
        </w:tc>
        <w:tc>
          <w:tcPr>
            <w:tcW w:w="720" w:type="dxa"/>
            <w:vAlign w:val="bottom"/>
            <w:gridSpan w:val="6"/>
            <w:shd w:val="clear" w:color="auto" w:fill="CCEEFF"/>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9A.</w:t>
              </w:r>
            </w:hyperlink>
          </w:p>
        </w:tc>
        <w:tc>
          <w:tcPr>
            <w:tcW w:w="180" w:type="dxa"/>
            <w:vAlign w:val="bottom"/>
            <w:shd w:val="clear" w:color="auto" w:fill="CCEEFF"/>
          </w:tcPr>
          <w:p>
            <w:pPr>
              <w:spacing w:after="0"/>
              <w:rPr>
                <w:sz w:val="19"/>
                <w:szCs w:val="19"/>
                <w:color w:val="auto"/>
              </w:rPr>
            </w:pPr>
          </w:p>
        </w:tc>
        <w:tc>
          <w:tcPr>
            <w:tcW w:w="1860" w:type="dxa"/>
            <w:vAlign w:val="bottom"/>
            <w:gridSpan w:val="11"/>
            <w:shd w:val="clear" w:color="auto" w:fill="CCEEFF"/>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Controls and Procedures</w:t>
              </w:r>
            </w:hyperlink>
          </w:p>
        </w:tc>
        <w:tc>
          <w:tcPr>
            <w:tcW w:w="4940" w:type="dxa"/>
            <w:vAlign w:val="bottom"/>
            <w:gridSpan w:val="14"/>
            <w:shd w:val="clear" w:color="auto" w:fill="CCEEFF"/>
          </w:tcPr>
          <w:p>
            <w:pPr>
              <w:spacing w:after="0"/>
              <w:rPr>
                <w:sz w:val="19"/>
                <w:szCs w:val="19"/>
                <w:color w:val="auto"/>
              </w:rPr>
            </w:pPr>
          </w:p>
        </w:tc>
        <w:tc>
          <w:tcPr>
            <w:tcW w:w="300" w:type="dxa"/>
            <w:vAlign w:val="bottom"/>
            <w:gridSpan w:val="4"/>
            <w:shd w:val="clear" w:color="auto" w:fill="CCEEFF"/>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20" w:type="dxa"/>
            <w:vAlign w:val="bottom"/>
            <w:gridSpan w:val="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9B.</w:t>
              </w:r>
            </w:hyperlink>
          </w:p>
        </w:tc>
        <w:tc>
          <w:tcPr>
            <w:tcW w:w="180" w:type="dxa"/>
            <w:vAlign w:val="bottom"/>
          </w:tcPr>
          <w:p>
            <w:pPr>
              <w:spacing w:after="0"/>
              <w:rPr>
                <w:sz w:val="19"/>
                <w:szCs w:val="19"/>
                <w:color w:val="auto"/>
              </w:rPr>
            </w:pPr>
          </w:p>
        </w:tc>
        <w:tc>
          <w:tcPr>
            <w:tcW w:w="1860" w:type="dxa"/>
            <w:vAlign w:val="bottom"/>
            <w:gridSpan w:val="1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Other Information</w:t>
              </w:r>
            </w:hyperlink>
          </w:p>
        </w:tc>
        <w:tc>
          <w:tcPr>
            <w:tcW w:w="4940" w:type="dxa"/>
            <w:vAlign w:val="bottom"/>
            <w:gridSpan w:val="14"/>
          </w:tcPr>
          <w:p>
            <w:pPr>
              <w:spacing w:after="0"/>
              <w:rPr>
                <w:sz w:val="19"/>
                <w:szCs w:val="19"/>
                <w:color w:val="auto"/>
              </w:rPr>
            </w:pPr>
          </w:p>
        </w:tc>
        <w:tc>
          <w:tcPr>
            <w:tcW w:w="300" w:type="dxa"/>
            <w:vAlign w:val="bottom"/>
            <w:gridSpan w:val="4"/>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c>
          <w:tcPr>
            <w:tcW w:w="2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8"/>
        </w:trPr>
        <w:tc>
          <w:tcPr>
            <w:tcW w:w="9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Part III</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29"/>
        </w:trPr>
        <w:tc>
          <w:tcPr>
            <w:tcW w:w="180" w:type="dxa"/>
            <w:vAlign w:val="bottom"/>
          </w:tcPr>
          <w:p>
            <w:pPr>
              <w:spacing w:after="0"/>
              <w:rPr>
                <w:sz w:val="19"/>
                <w:szCs w:val="19"/>
                <w:color w:val="auto"/>
              </w:rPr>
            </w:pPr>
          </w:p>
        </w:tc>
        <w:tc>
          <w:tcPr>
            <w:tcW w:w="720" w:type="dxa"/>
            <w:vAlign w:val="bottom"/>
            <w:gridSpan w:val="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10.</w:t>
              </w:r>
            </w:hyperlink>
          </w:p>
        </w:tc>
        <w:tc>
          <w:tcPr>
            <w:tcW w:w="6980" w:type="dxa"/>
            <w:vAlign w:val="bottom"/>
            <w:gridSpan w:val="26"/>
          </w:tcPr>
          <w:p>
            <w:pPr>
              <w:ind w:left="180"/>
              <w:spacing w:after="0"/>
              <w:rPr>
                <w:rFonts w:ascii="Arial" w:cs="Arial" w:eastAsia="Arial" w:hAnsi="Arial"/>
                <w:sz w:val="18"/>
                <w:szCs w:val="18"/>
                <w:color w:val="0000EE"/>
              </w:rPr>
            </w:pPr>
            <w:hyperlink w:anchor="page100">
              <w:r>
                <w:rPr>
                  <w:rFonts w:ascii="Arial" w:cs="Arial" w:eastAsia="Arial" w:hAnsi="Arial"/>
                  <w:sz w:val="18"/>
                  <w:szCs w:val="18"/>
                  <w:color w:val="0000EE"/>
                </w:rPr>
                <w:t>Directors, Executive Officers and Corporate Governance</w:t>
              </w:r>
            </w:hyperlink>
          </w:p>
        </w:tc>
        <w:tc>
          <w:tcPr>
            <w:tcW w:w="30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2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spacing w:after="0"/>
              <w:rPr>
                <w:rFonts w:ascii="Arial" w:cs="Arial" w:eastAsia="Arial" w:hAnsi="Arial"/>
                <w:sz w:val="18"/>
                <w:szCs w:val="18"/>
                <w:color w:val="0000EE"/>
                <w:w w:val="98"/>
              </w:rPr>
            </w:pPr>
            <w:hyperlink w:anchor="page100">
              <w:r>
                <w:rPr>
                  <w:rFonts w:ascii="Arial" w:cs="Arial" w:eastAsia="Arial" w:hAnsi="Arial"/>
                  <w:sz w:val="18"/>
                  <w:szCs w:val="18"/>
                  <w:color w:val="0000EE"/>
                  <w:w w:val="98"/>
                </w:rPr>
                <w:t>Item 11.</w:t>
              </w:r>
            </w:hyperlink>
          </w:p>
        </w:tc>
        <w:tc>
          <w:tcPr>
            <w:tcW w:w="60" w:type="dxa"/>
            <w:vAlign w:val="bottom"/>
            <w:gridSpan w:val="3"/>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gridSpan w:val="12"/>
            <w:shd w:val="clear" w:color="auto" w:fill="CCEEFF"/>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Executive Compensation</w:t>
              </w:r>
            </w:hyperlink>
          </w:p>
        </w:tc>
        <w:tc>
          <w:tcPr>
            <w:tcW w:w="4920" w:type="dxa"/>
            <w:vAlign w:val="bottom"/>
            <w:gridSpan w:val="13"/>
            <w:shd w:val="clear" w:color="auto" w:fill="CCEEFF"/>
          </w:tcPr>
          <w:p>
            <w:pPr>
              <w:spacing w:after="0"/>
              <w:rPr>
                <w:sz w:val="19"/>
                <w:szCs w:val="19"/>
                <w:color w:val="auto"/>
              </w:rPr>
            </w:pPr>
          </w:p>
        </w:tc>
        <w:tc>
          <w:tcPr>
            <w:tcW w:w="300" w:type="dxa"/>
            <w:vAlign w:val="bottom"/>
            <w:gridSpan w:val="4"/>
            <w:shd w:val="clear" w:color="auto" w:fill="CCEEFF"/>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EE"/>
                <w:w w:val="98"/>
              </w:rPr>
            </w:pPr>
            <w:hyperlink w:anchor="page100">
              <w:r>
                <w:rPr>
                  <w:rFonts w:ascii="Arial" w:cs="Arial" w:eastAsia="Arial" w:hAnsi="Arial"/>
                  <w:sz w:val="18"/>
                  <w:szCs w:val="18"/>
                  <w:color w:val="0000EE"/>
                  <w:w w:val="98"/>
                </w:rPr>
                <w:t>Item 12.</w:t>
              </w:r>
            </w:hyperlink>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gridSpan w:val="2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Security Ownership of Certain Beneficial Owners and Management and Related</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Stockholder Matters</w:t>
              </w:r>
            </w:hyperlink>
          </w:p>
        </w:tc>
        <w:tc>
          <w:tcPr>
            <w:tcW w:w="760" w:type="dxa"/>
            <w:vAlign w:val="bottom"/>
            <w:gridSpan w:val="2"/>
          </w:tcPr>
          <w:p>
            <w:pPr>
              <w:spacing w:after="0"/>
              <w:rPr>
                <w:sz w:val="17"/>
                <w:szCs w:val="17"/>
                <w:color w:val="auto"/>
              </w:rPr>
            </w:pPr>
          </w:p>
        </w:tc>
        <w:tc>
          <w:tcPr>
            <w:tcW w:w="300" w:type="dxa"/>
            <w:vAlign w:val="bottom"/>
            <w:gridSpan w:val="4"/>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4"/>
            <w:shd w:val="clear" w:color="auto" w:fill="CCEEFF"/>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13.</w:t>
              </w:r>
            </w:hyperlink>
          </w:p>
        </w:tc>
        <w:tc>
          <w:tcPr>
            <w:tcW w:w="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720" w:type="dxa"/>
            <w:vAlign w:val="bottom"/>
            <w:gridSpan w:val="20"/>
            <w:shd w:val="clear" w:color="auto" w:fill="CCEEFF"/>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Certain Relationships and Related Transactions, and Director Independence</w:t>
              </w:r>
            </w:hyperlink>
          </w:p>
        </w:tc>
        <w:tc>
          <w:tcPr>
            <w:tcW w:w="1080" w:type="dxa"/>
            <w:vAlign w:val="bottom"/>
            <w:gridSpan w:val="5"/>
            <w:shd w:val="clear" w:color="auto" w:fill="CCEEFF"/>
          </w:tcPr>
          <w:p>
            <w:pPr>
              <w:spacing w:after="0"/>
              <w:rPr>
                <w:sz w:val="19"/>
                <w:szCs w:val="19"/>
                <w:color w:val="auto"/>
              </w:rPr>
            </w:pPr>
          </w:p>
        </w:tc>
        <w:tc>
          <w:tcPr>
            <w:tcW w:w="300" w:type="dxa"/>
            <w:vAlign w:val="bottom"/>
            <w:gridSpan w:val="4"/>
            <w:shd w:val="clear" w:color="auto" w:fill="CCEEFF"/>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2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680" w:type="dxa"/>
            <w:vAlign w:val="bottom"/>
            <w:gridSpan w:val="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14.</w:t>
              </w:r>
            </w:hyperlink>
          </w:p>
        </w:tc>
        <w:tc>
          <w:tcPr>
            <w:tcW w:w="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572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Accountant Fees and Services</w:t>
              </w:r>
            </w:hyperlink>
          </w:p>
        </w:tc>
        <w:tc>
          <w:tcPr>
            <w:tcW w:w="1080" w:type="dxa"/>
            <w:vAlign w:val="bottom"/>
            <w:gridSpan w:val="5"/>
          </w:tcPr>
          <w:p>
            <w:pPr>
              <w:spacing w:after="0"/>
              <w:rPr>
                <w:sz w:val="19"/>
                <w:szCs w:val="19"/>
                <w:color w:val="auto"/>
              </w:rPr>
            </w:pPr>
          </w:p>
        </w:tc>
        <w:tc>
          <w:tcPr>
            <w:tcW w:w="30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8"/>
        </w:trPr>
        <w:tc>
          <w:tcPr>
            <w:tcW w:w="9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Part IV</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72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15.</w:t>
              </w:r>
            </w:hyperlink>
          </w:p>
        </w:tc>
        <w:tc>
          <w:tcPr>
            <w:tcW w:w="6980" w:type="dxa"/>
            <w:vAlign w:val="bottom"/>
            <w:gridSpan w:val="26"/>
          </w:tcPr>
          <w:p>
            <w:pPr>
              <w:ind w:left="180"/>
              <w:spacing w:after="0"/>
              <w:rPr>
                <w:rFonts w:ascii="Arial" w:cs="Arial" w:eastAsia="Arial" w:hAnsi="Arial"/>
                <w:sz w:val="18"/>
                <w:szCs w:val="18"/>
                <w:color w:val="0000EE"/>
              </w:rPr>
            </w:pPr>
            <w:hyperlink w:anchor="page101">
              <w:r>
                <w:rPr>
                  <w:rFonts w:ascii="Arial" w:cs="Arial" w:eastAsia="Arial" w:hAnsi="Arial"/>
                  <w:sz w:val="18"/>
                  <w:szCs w:val="18"/>
                  <w:color w:val="0000EE"/>
                </w:rPr>
                <w:t>Exhibits, Financial Statement Schedules</w:t>
              </w:r>
            </w:hyperlink>
          </w:p>
        </w:tc>
        <w:tc>
          <w:tcPr>
            <w:tcW w:w="300" w:type="dxa"/>
            <w:vAlign w:val="bottom"/>
            <w:gridSpan w:val="4"/>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0000EE"/>
            </w:tcBorders>
            <w:gridSpan w:val="4"/>
            <w:shd w:val="clear" w:color="auto" w:fill="CCEEFF"/>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16.</w:t>
              </w:r>
            </w:hyperlink>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5"/>
              </w:rPr>
            </w:pPr>
            <w:hyperlink w:anchor="page104">
              <w:r>
                <w:rPr>
                  <w:rFonts w:ascii="Arial" w:cs="Arial" w:eastAsia="Arial" w:hAnsi="Arial"/>
                  <w:sz w:val="18"/>
                  <w:szCs w:val="18"/>
                  <w:color w:val="0000EE"/>
                  <w:w w:val="95"/>
                </w:rPr>
                <w:t>Form 10-K Summary</w:t>
              </w:r>
            </w:hyperlink>
          </w:p>
        </w:tc>
        <w:tc>
          <w:tcPr>
            <w:tcW w:w="5180" w:type="dxa"/>
            <w:vAlign w:val="bottom"/>
            <w:tcBorders>
              <w:bottom w:val="single" w:sz="8" w:color="CCEEFF"/>
            </w:tcBorders>
            <w:gridSpan w:val="16"/>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8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Signatures</w:t>
              </w:r>
            </w:hyperlink>
          </w:p>
        </w:tc>
        <w:tc>
          <w:tcPr>
            <w:tcW w:w="100" w:type="dxa"/>
            <w:vAlign w:val="bottom"/>
            <w:gridSpan w:val="4"/>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102</w:t>
              </w:r>
            </w:hyperlink>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-5177155</wp:posOffset>
            </wp:positionV>
            <wp:extent cx="49974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Annual Report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 10-K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93"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color w:val="auto"/>
        </w:rPr>
        <w:t>There are a number of important factors that could cause the actual results to differ materially from those expressed in any forward-looking statement made by us. These factors include, but are not limited to:</w:t>
      </w:r>
    </w:p>
    <w:p>
      <w:pPr>
        <w:spacing w:after="0" w:line="52" w:lineRule="exact"/>
        <w:rPr>
          <w:sz w:val="20"/>
          <w:szCs w:val="20"/>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117"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preclinical and clinical studies, and, if we obtain regulatory approval, commercialization of our drug candidates and the growth of the markets for those drug candidates;</w:t>
      </w:r>
    </w:p>
    <w:p>
      <w:pPr>
        <w:spacing w:after="0" w:line="75"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or on the economy generally;</w:t>
      </w:r>
    </w:p>
    <w:p>
      <w:pPr>
        <w:spacing w:after="0" w:line="130"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COVID-19 pandemic will affect the timing of the completion of our planned and/or currently ongoing preclinical/clinical trials;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117"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130" w:lineRule="exact"/>
        <w:rPr>
          <w:rFonts w:ascii="Arial" w:cs="Arial" w:eastAsia="Arial" w:hAnsi="Arial"/>
          <w:sz w:val="18"/>
          <w:szCs w:val="18"/>
          <w:color w:val="auto"/>
        </w:rPr>
      </w:pPr>
    </w:p>
    <w:p>
      <w:pPr>
        <w:ind w:left="1800" w:right="14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117"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62" w:lineRule="exact"/>
        <w:rPr>
          <w:rFonts w:ascii="Arial" w:cs="Arial" w:eastAsia="Arial" w:hAnsi="Arial"/>
          <w:sz w:val="18"/>
          <w:szCs w:val="18"/>
          <w:color w:val="auto"/>
        </w:rPr>
      </w:pPr>
    </w:p>
    <w:p>
      <w:pPr>
        <w:ind w:left="1800" w:right="679" w:hanging="180"/>
        <w:spacing w:after="0" w:line="308"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cost, delivery and quality of clinical and commercial-grade materials produced by our own manufacturing facility or supplied by contract manufacturers, suppliers and partners;</w:t>
      </w:r>
    </w:p>
    <w:p>
      <w:pPr>
        <w:spacing w:after="0" w:line="51" w:lineRule="exact"/>
        <w:rPr>
          <w:rFonts w:ascii="Arial" w:cs="Arial" w:eastAsia="Arial" w:hAnsi="Arial"/>
          <w:sz w:val="17"/>
          <w:szCs w:val="17"/>
          <w:color w:val="auto"/>
        </w:rPr>
      </w:pPr>
    </w:p>
    <w:p>
      <w:pPr>
        <w:ind w:left="1800" w:right="10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before competitors that are superior to the alternatives developed by such competitors;</w:t>
      </w:r>
    </w:p>
    <w:p>
      <w:pPr>
        <w:spacing w:after="0" w:line="62"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75"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paying development, regulatory approval and sales-based milestones under the merger agreement by which we acquired Kolltan Pharmaceuticals, Inc. (“Kolltan”), and the cost, timing, and outcome of our declaratory judgment action against the Kolltan stockholder representative with respect to certain of those milestones;</w:t>
      </w:r>
    </w:p>
    <w:p>
      <w:pPr>
        <w:spacing w:after="0" w:line="9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55"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84"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without infringing the intellectual property rights of third parties;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“Risk Factors” in this Annual Report on Form 10-K.</w:t>
      </w:r>
    </w:p>
    <w:p>
      <w:pPr>
        <w:spacing w:after="0" w:line="144"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7"/>
          <w:szCs w:val="17"/>
          <w:color w:val="auto"/>
        </w:rPr>
        <w:t>Celldex Therapeutics, Inc., which we refer to as “Celldex,” “we,” “us,” “our” or the “Company,” is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spacing w:after="0" w:line="1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104" w:lineRule="exact"/>
        <w:rPr>
          <w:sz w:val="20"/>
          <w:szCs w:val="20"/>
          <w:color w:val="auto"/>
        </w:rPr>
      </w:pPr>
    </w:p>
    <w:p>
      <w:pPr>
        <w:ind w:left="1800" w:right="419" w:hanging="180"/>
        <w:spacing w:after="0" w:line="270" w:lineRule="auto"/>
        <w:tabs>
          <w:tab w:leader="none" w:pos="1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CDX-0159, a monoclonal antibody that specifically binds the KIT receptor and potently inhibits its activity, which completed a Phase 1a study in healthy subjects in summer 2020. We are studying CDX-0159 in mast cell driven diseases, including, initially, in urticarias and plan to initiate a study in prurigo nodularis in the fourth quarter of 2021. In October and December 2020 respectively, we announced that enrollment had opened and the first patients had been dosed in Phase 1b studies in chronic spontaneous urticaria (CSU) and chronic inducible urticaria (CIndU). Positive interim data to date from the Phase 1b study in CIndU were reported in late Q1 2021 in patients with cold contact urticaria and symptomatic dermographism and we announced that we would be expanding this study to also include patients with cholinergic urticaria;</w:t>
      </w:r>
    </w:p>
    <w:p>
      <w:pPr>
        <w:spacing w:after="0" w:line="72" w:lineRule="exact"/>
        <w:rPr>
          <w:rFonts w:ascii="Arial" w:cs="Arial" w:eastAsia="Arial" w:hAnsi="Arial"/>
          <w:sz w:val="17"/>
          <w:szCs w:val="17"/>
          <w:color w:val="auto"/>
        </w:rPr>
      </w:pPr>
    </w:p>
    <w:p>
      <w:pPr>
        <w:ind w:left="1800" w:right="439" w:hanging="180"/>
        <w:spacing w:after="0" w:line="242"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CDX-1140, an agonist monoclonal antibody targeted to CD40, a key activator of immune response, currently being studied in a Phase1 study. Dose escalation was completed in a Phase 1 study in solid tumors and lymphoma and the recommended dose for further study was determined to be 1.5 mg/kg for both CDX-1140 monotherapy and in combination with CDX-301, our dendritic cell growth factor. We have initiated multiple expansion cohorts within the study, including a combination cohort with KEYTRUDA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(pembrolizumab) in patients refractory to PD1/PDL1 treatment and a combination cohort with standard of care chemotherapy in patients with untreated metastatic pancreatic cancer. We are exploring additional combination cohorts with mechanisms that we believe could be complementary or synergistic with CDX-1140; and</w:t>
      </w:r>
    </w:p>
    <w:p>
      <w:pPr>
        <w:spacing w:after="0" w:line="80"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CDX-527, a bispecific antibody that uses our proprietary highly active anti-PD-L1 and CD27 human antibodies to couple CD27 co-stimulation with blockade of the PD-L1/PD-1 pathway, for which we initiated a Phase 1 study in advanced solid tumors in August 2020.</w:t>
      </w:r>
    </w:p>
    <w:p>
      <w:pPr>
        <w:spacing w:after="0" w:line="116"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 led studies, we also have an Investigator Initiated Research (IIR) program with multiple studies ongoing with our drug candidates.</w:t>
      </w:r>
    </w:p>
    <w:p>
      <w:pPr>
        <w:spacing w:after="0" w:line="101"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7"/>
          <w:szCs w:val="17"/>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0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Our future success depends upon many factors, including our ability, and that of any licensees and collaborators that we may have,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Clinical Development Programs</w:t>
      </w:r>
    </w:p>
    <w:p>
      <w:pPr>
        <w:spacing w:after="0" w:line="162"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While our clinical development programs have not been significantly, negatively impacted by COVID-19 to date, we continue to carefully monitor the evolving situation closely across all our development programs and work to minimize potential impact/disruptions.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CDX-0159</w:t>
      </w:r>
    </w:p>
    <w:p>
      <w:pPr>
        <w:spacing w:after="0" w:line="144"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In certain inflammatory diseases, such as chronic spontaneous urticaria (CSU), also known as chronic idiopathic urticaria (CIU) and chronic inducible urticaria (CIndU), mast cell degranulation plays a central role in the onset and progression of the disease.</w:t>
      </w:r>
    </w:p>
    <w:p>
      <w:pPr>
        <w:spacing w:after="0" w:line="122"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spacing w:after="0" w:line="9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In June 2020, we completed a randomized, double-blind, placebo-controlled, single ascending dose escalation Phase 1a study of CDX-0159 in healthy subjects (n=32; 8 subjects per cohort, 6 CDX-0159; 2 placebo) . Subjects received a single intravenous infusion of CDX-0159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CDX-0159 demonstrated a favorable safety profile as well as profound and durable reductions of plasma tryptase, consistent with systemic mast cell suppression.</w:t>
      </w:r>
    </w:p>
    <w:p>
      <w:pPr>
        <w:spacing w:after="0" w:line="59" w:lineRule="exact"/>
        <w:rPr>
          <w:sz w:val="20"/>
          <w:szCs w:val="20"/>
          <w:color w:val="auto"/>
        </w:rPr>
      </w:pPr>
    </w:p>
    <w:p>
      <w:pPr>
        <w:ind w:left="1800" w:right="59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Most common adverse events were mild infusion-related reactions, all of which spontaneously resolved without intervention. Mild and asymptomatic decreases in neutrophil and white blood cell count were observed in laboratory testing.</w:t>
      </w:r>
    </w:p>
    <w:p>
      <w:pPr>
        <w:spacing w:after="0" w:line="75"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single dose of CDX-0159 suppressed plasma tryptase levels in a dose-dependent manner, indicative of systemic mast cell suppression. Tryptase suppression below the level of detection was observed after a single 1.0 mg/kg dose and was maintained for more than 2 months at single doses of both 3.0 and 9.0 mg/kg of CDX-0159. A subset of subjects from the 3mg/kg and 9 mg/kg cohorts agreed to continued follow up for tryptase suppression which remained below the level of detection for over 3 months (14 weeks) in 50% of subjects and over 4 months (18 weeks) in all subjects, respectively.</w:t>
      </w:r>
    </w:p>
    <w:p>
      <w:pPr>
        <w:spacing w:after="0" w:line="86" w:lineRule="exact"/>
        <w:rPr>
          <w:rFonts w:ascii="Arial" w:cs="Arial" w:eastAsia="Arial" w:hAnsi="Arial"/>
          <w:sz w:val="18"/>
          <w:szCs w:val="18"/>
          <w:color w:val="auto"/>
        </w:rPr>
      </w:pPr>
    </w:p>
    <w:p>
      <w:pPr>
        <w:ind w:left="1800" w:right="599" w:hanging="180"/>
        <w:spacing w:after="0" w:line="308"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Dose dependent increases in plasma stem cell factor mirror decreases in tryptase, consistent with allosteric blockade of stem cell factor to KIT and demonstrate complete target engagement in vivo.</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 serum half-life and non-immunogenic profile support a convenient dosing schedule.</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Enhanced PK profile and durable tryptase suppression at low doses support re-formulation for sub-cutaneous administration.</w:t>
      </w:r>
    </w:p>
    <w:p>
      <w:pPr>
        <w:spacing w:after="0" w:line="103"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These data supported expansion of the CDX-0159 program into mast cell driven diseases, including initially in chronic spontaneous urticaria (CSU) and chronic inducible urticaria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Celldex is exploring cold-induced and dermographism (scratch-induced) urticarias.</w:t>
      </w:r>
    </w:p>
    <w:p>
      <w:pPr>
        <w:spacing w:after="0" w:line="112" w:lineRule="exact"/>
        <w:rPr>
          <w:sz w:val="20"/>
          <w:szCs w:val="20"/>
          <w:color w:val="auto"/>
        </w:rPr>
      </w:pPr>
    </w:p>
    <w:p>
      <w:pPr>
        <w:ind w:left="1260" w:right="599" w:firstLine="360"/>
        <w:spacing w:after="0" w:line="262" w:lineRule="auto"/>
        <w:rPr>
          <w:sz w:val="20"/>
          <w:szCs w:val="20"/>
          <w:color w:val="auto"/>
        </w:rPr>
      </w:pPr>
      <w:r>
        <w:rPr>
          <w:rFonts w:ascii="Arial" w:cs="Arial" w:eastAsia="Arial" w:hAnsi="Arial"/>
          <w:sz w:val="17"/>
          <w:szCs w:val="17"/>
          <w:color w:val="auto"/>
        </w:rPr>
        <w:t>In October 2020, we announced that enrollment had opened and the first patient had been dosed in a Phase 1b multi-center study of CDX-0159 in CSU. This study is a randomized, double-blind, placebo-controlled clinical trial designed to assess the safety of multiple ascending doses of CDX-0159 in up to 40 patients with CSU who remain symptomatic despite treatment with antihistamines. Secondary and</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79" w:lineRule="auto"/>
        <w:rPr>
          <w:sz w:val="20"/>
          <w:szCs w:val="20"/>
          <w:color w:val="auto"/>
        </w:rPr>
      </w:pPr>
      <w:r>
        <w:rPr>
          <w:rFonts w:ascii="Arial" w:cs="Arial" w:eastAsia="Arial" w:hAnsi="Arial"/>
          <w:sz w:val="16"/>
          <w:szCs w:val="16"/>
          <w:color w:val="auto"/>
        </w:rPr>
        <w:t>exploratory objectives include pharmacokinetic and pharmacodynamic assessments, including measurement of tryptase and stem cell factor levels and clinical activity outcomes (impact on urticaria symptoms, disease control, clinical response) as well as quality of life assessments. CDX-0159 is administered intravenously (0.5, 1.5, 3 and 4.5 mg/kg at varying dosing schedules) as add on treatment to H1-antihistamines, either alone or in combination with H2-antihistamines and/or leukotriene receptor agonists.</w:t>
      </w:r>
    </w:p>
    <w:p>
      <w:pPr>
        <w:spacing w:after="0" w:line="7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In December 2020, we announced that enrollment had opened and the first patient had been dosed in a second Phase 1b study in CIndU being conducted in Germany. This study is an open label clinical trial designed to evaluate the safety of a single dose of CDX -0159 in up to 20 patients with cold contact urticaria (n=10) or symptomatic dermographism (n=10) who are refractory to antihistamines.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CDX-0159 is administered intravenously (3.0 mg/kg) on Day 1 as add on treatment to H1-antihistamines.</w:t>
      </w:r>
    </w:p>
    <w:p>
      <w:pPr>
        <w:spacing w:after="0" w:line="113"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In March of 2021, we reported positive interim data from the Phase 1b study in CIndU in patients with cold contact urticaria and symptomatic dermographism. Fifteen out of 20 planned patients with antihistamine refractory CIndU had received a single intravenous infusion of CDX-0159 at 3 mg/kg, including nine patients with cold contact urticaria (ColdU) and six patients with symptomatic dermographism (SD) . Safety results were reported for all 15 patients; activity results were reported for all patients assessed for at least 15 days/2 weeks after treatment (n=10; 7 ColdU and 3 SD). Patients had high disease activity as assessed by provocation threshold testing. In ColdU and SD pts, baseline critical temperature thresholds were 18.7 +/- 2.7 °C (range: 5-27°C) and FricTest® thresholds were 3.7 +/- 0.3 (range: 3-4) of 4.</w:t>
      </w:r>
    </w:p>
    <w:p>
      <w:pPr>
        <w:spacing w:after="0" w:line="83" w:lineRule="exact"/>
        <w:rPr>
          <w:sz w:val="20"/>
          <w:szCs w:val="20"/>
          <w:color w:val="auto"/>
        </w:rPr>
      </w:pPr>
    </w:p>
    <w:p>
      <w:pPr>
        <w:ind w:left="1800" w:right="539" w:hanging="180"/>
        <w:spacing w:after="0" w:line="25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Eight of 10 patients (7 ColdU; 1 SD) experienced a complete response (CR) as assessed by provocation threshold testing. The remaining two patients (both with SD), had been recently treated and were followed for two weeks. One patient experienced a partial response (PR) thus far and one patient reported symptomatic improvement (decreased itching). All patients will continue to be assessed for response through week 12.</w:t>
      </w:r>
    </w:p>
    <w:p>
      <w:pPr>
        <w:spacing w:after="0" w:line="79"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 global assessment (Pat-GA) and physician global assessment (Phy-GA) results were consistent with provocation testing results.</w:t>
      </w:r>
    </w:p>
    <w:p>
      <w:pPr>
        <w:spacing w:after="0" w:line="62" w:lineRule="exact"/>
        <w:rPr>
          <w:rFonts w:ascii="Arial" w:cs="Arial" w:eastAsia="Arial" w:hAnsi="Arial"/>
          <w:sz w:val="18"/>
          <w:szCs w:val="18"/>
          <w:color w:val="auto"/>
        </w:rPr>
      </w:pPr>
    </w:p>
    <w:p>
      <w:pPr>
        <w:ind w:left="1800" w:right="479" w:hanging="180"/>
        <w:spacing w:after="0" w:line="286"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Measurements of serum tryptase levels are available for only the first six patients evaluated for activity, all with ColdU. The mean baseline was 3.3 +/- 0.2 ng/ml and levels on day 15 after treatment were at or below the limit of detection. These patients all experienced complete responses.</w:t>
      </w:r>
    </w:p>
    <w:p>
      <w:pPr>
        <w:spacing w:after="0" w:line="43" w:lineRule="exact"/>
        <w:rPr>
          <w:rFonts w:ascii="Arial" w:cs="Arial" w:eastAsia="Arial" w:hAnsi="Arial"/>
          <w:sz w:val="17"/>
          <w:szCs w:val="17"/>
          <w:color w:val="auto"/>
        </w:rPr>
      </w:pPr>
    </w:p>
    <w:p>
      <w:pPr>
        <w:ind w:left="1800" w:right="419" w:hanging="180"/>
        <w:spacing w:after="0" w:line="254"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CDX-0159 was generally well tolerated. Six of 15 patients had mild infusion reactions, generally areas of localized redness and itching, which resolved rapidly. A single severe infusion reaction was observed (brief loss of consciousness, followed by shaking and sweating). The patient was treated with antihistamines and steroids; no epinephrine was administered. The patient rapidly recovered and was hospitalized for observation with no further manifestations of this event. Importantly, there was no evidence of mast cell activation as measured by decreases in serum tryptase levels shortly after the infusion and further at a later time point.</w:t>
      </w:r>
    </w:p>
    <w:p>
      <w:pPr>
        <w:spacing w:after="0" w:line="86"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day 15, three patients had transient, mild decreases in hemoglobin, and no patients had meaningful declines in white blood cells.</w:t>
      </w:r>
    </w:p>
    <w:p>
      <w:pPr>
        <w:spacing w:after="0" w:line="62" w:lineRule="exact"/>
        <w:rPr>
          <w:rFonts w:ascii="Arial" w:cs="Arial" w:eastAsia="Arial" w:hAnsi="Arial"/>
          <w:sz w:val="18"/>
          <w:szCs w:val="18"/>
          <w:color w:val="auto"/>
        </w:rPr>
      </w:pPr>
    </w:p>
    <w:p>
      <w:pPr>
        <w:jc w:val="both"/>
        <w:ind w:left="1800" w:right="899" w:hanging="180"/>
        <w:spacing w:after="0" w:line="286"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Enrollment is currently being completed in the ColdU and SD cohorts (10 per cohort; 20 total). Based on these compelling results, the study is being expanded to also include 10 patients with cholinergic urticaria and is planned to begin enrolling these patients in May of 2021.</w:t>
      </w:r>
    </w:p>
    <w:p>
      <w:pPr>
        <w:spacing w:after="0" w:line="9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7"/>
          <w:szCs w:val="17"/>
          <w:color w:val="auto"/>
        </w:rPr>
        <w:t>We continue to assess potential opportunities for CDX-0159 in other diseases where mast cells play an important role, such as dermatologic, respiratory, allergic, gastrointestinal and ophthalmic conditions. In February of 2021, we announced that we plan to expand clinical development of CDX-0159 into prurigo nodularis (PN),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w:t>
      </w:r>
    </w:p>
    <w:p>
      <w:pPr>
        <w:sectPr>
          <w:pgSz w:w="11900" w:h="16838" w:orient="portrait"/>
          <w:cols w:equalWidth="0" w:num="1">
            <w:col w:w="9879"/>
          </w:cols>
          <w:pgMar w:left="580" w:top="131"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a hallmark of PN. There are currently no FDA approved therapies for PN, representing an area of significant unmet need. Celldex anticipates initiating the study in PN in the fourth quarter of 2021.</w:t>
      </w:r>
    </w:p>
    <w:p>
      <w:pPr>
        <w:spacing w:after="0" w:line="90"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Manufacturing activities are also progressing as planned to support the introduction of the CDX-0159 subcutaneous formulation into the clinical program in the third quarter of 2021.</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CDX-1140</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CDX -1140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 -1140 clearly demonstrate strong immune activation effects and low systemic toxicity and support the design of the Phase 1 study to identify the dose for characterizing single-agent and combination activity.</w:t>
      </w:r>
    </w:p>
    <w:p>
      <w:pPr>
        <w:spacing w:after="0" w:line="11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initiated a Phase 1 study of CDX-1140 in November 2017. This study is expected to enroll up to approximately 260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07"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In support of this, the Phase 1 study protocol also allows for the exploration of CDX-1140 in combination with CDX-301 at a fixed dose of CDX- 301 and escalating doses of CDX -1140. Dendritic cells, which express CD40, are often rare or missing from the tumor microenvironment and are critical for initiating anti- tumor immunity. CDX- 301, a recombinant FMS-like tyrosine kinase 3 ligand, or Flt3L, is a hematopoietic cytokine that uniquely expands dendritic cells and hematopoietic stem cells, and in combination with other agents may potentiate anti-tumor responses. CDX-301 is being utilized as a priming agent in this study to increase the number of dendritic cells in blood and tissue available for CDX-1140 activation. CDX-1140 should, in turn, activate and mature the dendritic cells, an important step for enhancing anti-tumor immune responses.</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Prior data presented at Society for Immunotherapy of Cancer’s (SITC) 34th Annual Meeting in November 2019. established the maximum tolerated dose (MTD) and recommended dose for continued study at 1.5 mg/kg — one of the highest systemic dose levels in the CD40 agonist class. Clinical activity both as a monotherapy and in combination with CDX-301 were also reported for CDX-1140 at varying doses, including an unconfirmed partial response (uPR) and tumor cavitation. At SITC 2020, analysis was focused on patients treated at the MTD and recommended dose of 1.5 mg/kg. 41 patients (n=25 monotherapy; n=16 in combination with CDX-301) had been treated at the 1.5 mg/kg dose at the time of data cutoff; 29 patients had post-treatment scans performed and five patients had not reached their first post-treatment response assessment. In addition, preliminary safety data from the combination cohort with pembrolizumab (n=9; 4 at 0.72 mg/kg and 5 at 1.5 mg/kg CDX-1140) were also presented. CDX -1140 monotherapy and in combination with CDX-301 or pembrolizumab was generally well tolerated with mostly grade 1 or grade 2 drug related adverse events. Activity at 1.5mg/kg dose of CDX-1140 to date included:</w:t>
      </w:r>
    </w:p>
    <w:p>
      <w:pPr>
        <w:spacing w:after="0" w:line="62" w:lineRule="exact"/>
        <w:rPr>
          <w:sz w:val="20"/>
          <w:szCs w:val="20"/>
          <w:color w:val="auto"/>
        </w:rPr>
      </w:pPr>
    </w:p>
    <w:p>
      <w:pPr>
        <w:ind w:left="1800" w:right="5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ongoing (6+ months) complete response (CR) in a patient with follicular lymphoma treated with CDX-1140 in combination with CDX-301;</w:t>
      </w:r>
    </w:p>
    <w:p>
      <w:pPr>
        <w:spacing w:after="0" w:line="62" w:lineRule="exact"/>
        <w:rPr>
          <w:rFonts w:ascii="Arial" w:cs="Arial" w:eastAsia="Arial" w:hAnsi="Arial"/>
          <w:sz w:val="18"/>
          <w:szCs w:val="18"/>
          <w:color w:val="auto"/>
        </w:rPr>
      </w:pPr>
    </w:p>
    <w:p>
      <w:pPr>
        <w:ind w:left="1800" w:right="699" w:hanging="180"/>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Notable tumor shrinkage and/or necrosis in 6 patients with squamous cell head and neck cancer (SCCHN), including extensive tumor cavitation/necrosis of a large baseline protruding neck mass associated with decreased tumor pain in a patient; and,</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Stable disease (n=10) for 11 to 32 weeks.</w:t>
      </w:r>
    </w:p>
    <w:p>
      <w:pPr>
        <w:spacing w:after="0" w:line="14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CDX-1140 at the recommended dose of 1.5 mg/kg provided good systemic exposure that enhanced the distribution into tissues and tumor and resulted in marked changes in the tumor microenvironment (TME) consistent with a more inflammatory and less immunosuppressive state as demonstrated by gene expression analysis. Interferon signaling and cytotoxicity pathways were most highly upregulated, while immunosuppression via TGFb signaling and metastatic pathways were downregulated, marking the first clear demonstration in patients of biological activity within the TME for a systemically administered agonist anti-CD40 mAb. Pre-treatment of patients with CDX-301 greatly increased the number of circulating dendritic cells prior to CDX-1140 administration and peripheral blood mononuclear cells (PBMCs) isolated from CDX-301 pretreated patients were more responsive to CDX-1140 than PBMCs from non-pretreated patients.</w:t>
      </w:r>
    </w:p>
    <w:p>
      <w:pPr>
        <w:spacing w:after="0" w:line="121"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Two combination cohorts are ongoing. A combination of CDX-1140 with pembrolizumab has completed the safety run-in and expansion cohorts in patients with checkpoint-refractory squamous cell head and neck cancer and non -small cell lung cancer is enrolling patients. A combination of CDX-1140 with gemcitabine/nab-paclitaxel in patients with previously untreated metastatic pancreatic adenocarcinoma is also enrolling patients. We are also exploring additional combination cohorts with mechanisms that we believe could be complementary or synergistic with CDX-1140.</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CDX-527</w:t>
      </w:r>
    </w:p>
    <w:p>
      <w:pPr>
        <w:spacing w:after="0" w:line="158"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CDX-527 is the first candidate from Celldex’s bispecific antibody platform. Bispecifics provide opportunities to engage two independent pathways involved in controlling immune responses to tumors. CDX-527 uses Celldex’s proprietary highly active anti-PD -L1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10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pacing w:after="0" w:line="120"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In August 2020, we announced the initiation of a Phase 1 dose-escalation study in up to ~90 patients with advanced or metastatic solid tumors that have progressed during or after standard of care therapy to be followed by tumor-specific expansion cohorts. The study is designed to determine the maximum tolerated dose, or MTD, during a dose-escalation phase and to recommend a dose level for further study in the subsequent expansion phase. The expansion is designed to further evaluate the tolerability, and biologic and anti-tumor effects of selected dose level(s) of CDX-527 in specific tumor types. Enrollment is ongoing.</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Partnerships</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We may enter into co-development and commercialization partnerships for any of our programs where appropriate.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10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businesses that we face. A delay or setback to a partner will, at a minimum, delay the commercialization of any affected drug candidates, and may ultimately prevent it. Moreover, any partner could breach its agreement with us or otherwise not use best efforts to promote our products. A partner may choose to pursue alternative technologies or products that compete with our</w:t>
      </w:r>
    </w:p>
    <w:p>
      <w:pPr>
        <w:sectPr>
          <w:pgSz w:w="11900" w:h="16838" w:orient="portrait"/>
          <w:cols w:equalWidth="0" w:num="1">
            <w:col w:w="9879"/>
          </w:cols>
          <w:pgMar w:left="580" w:top="131" w:right="1440" w:bottom="1440" w:gutter="0" w:footer="0" w:header="0"/>
        </w:sectPr>
      </w:pPr>
    </w:p>
    <w:p>
      <w:pPr>
        <w:spacing w:after="0" w:line="38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technologies or drug candidates. In either case, if a partner failed to successfully develop one of our drug candidates, we would need to find another partner. Our ability to do so would depend upon our legal right to do so at the time and whether the product remained commercially viable.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Collaboration and License Agreements</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Summarized below are our significant research collaboration and license agreements for our current clinical drug candidates.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15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Under a license agreement with Southampton, we acquired the rights to develop human antibodies towards CD27, a potentially important target for immunotherapy of various cancers. We may be required to pay Southampton milestones of up to approximately $1.0 million upon obtaining first approval for commercial sale in a first indication and royalty payments in the low-single digits on any net product sales with respect to development and commercialization of CDX-527.</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Amgen Inc. (Amgen)</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Under a license agreement with Amgen, we acquired the exclusive rights to CDX-301 and CD40 ligand, or CD40L. CDX-301 and CD40L are immune modulating molecules that increase the numbers and activity of immune cells that control immune responses. We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Yale University (Yale)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Under a license agreement with Yale, we may be required to make a one-time payment to Yale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$3.0 million with respect to each therapeutic or prophylactic receptor tyrosine kinase (RTK) royalty-bearing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product, including CDX-0159, that achieves a specified commercial milestone. In addition, we may be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required to pay a low single-digit royalty on annual worldwide net sales of each RTK royalty-bearing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product, including CDX-0159. Unless earlier terminated by us or Yale, the Yale license agreement is due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expire no later than May 2038 but may expire earlier on a country-by-country basis under specified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circumstances.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The biotechnology and pharmaceutical industry is intensely competitive and subject to rapid and significant technological change. Many of the products that we are attempting to develop and commercialize will be competing with existing therapies. Other 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vaccines, adjuvants, targeted therapies and immune modulators. Some of our competitors possess substantially greater financial, technical and human resources than we do.</w:t>
      </w:r>
    </w:p>
    <w:p>
      <w:pPr>
        <w:spacing w:after="0" w:line="111"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color w:val="auto"/>
        </w:rPr>
        <w:t>and commence commercial sales of our drug candidates, we also will compete with respect to manufacturing efficiency and sales and marketing capabilities, areas in which we currently have limited experience.</w:t>
      </w:r>
    </w:p>
    <w:p>
      <w:pPr>
        <w:spacing w:after="0" w:line="103"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29"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also face competition in recruiting and retaining highly qualified scientific personnel and consultants and in the development and acquisition of technologies.</w:t>
      </w:r>
    </w:p>
    <w:p>
      <w:pPr>
        <w:spacing w:after="0" w:line="103"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Our competitive position will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drug candidates, obtain the necessary regulatory approvals and successfully manufacture and market our drug candidates.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Manufacturing</w:t>
      </w:r>
    </w:p>
    <w:p>
      <w:pPr>
        <w:spacing w:after="0" w:line="14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We are a research and development company and have limited experience in commercial manufacturing. Our ability to conduct late-stage clinical trials, as well as manufacture and commercialize our drug candidates, depends on the ability of Contract Manufacturing Organizations (CMOs) to manufacture our drug candidates on a large scale at a competitive cost and in accordance with current Good Manufacturing Practices (cGMP) and U.S. and foreign regulatory requirements, as applicable. We also rely on CMOs for labeling and storage for studies outside the US. In order for us to establish our own commercial manufacturing facility, we would require substantial additional funds and would need to make facility modifications, hire and retain significant additional personnel and comply with cGMP regulations applicable to such a facility. The commercial manufacturing facility would also need to be licensed for the production of our drug candidates by the FDA and meet other regulatory standards. We therefore work with CMOs under established manufacturing arrangements that comply with the FDA’s requirements and other regulatory standards, although there is no assurance that the manufacturing will be successful.</w:t>
      </w:r>
    </w:p>
    <w:p>
      <w:pPr>
        <w:spacing w:after="0" w:line="111"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8"/>
          <w:szCs w:val="18"/>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and EU regulations, allowing us to distribute drug candidates to clinical sites in the U.S., EU and ROW for early-stage clinical trials. We currently manufacture CDX-0159, CDX-1140, CDX-301 and CDX-527 drug substance in our Fall River facility for our current and planned Phase 1 and Phase 2 clinical trials. Additional manufacturing options are under review and may involve utilization of the Fall River facility and/or a CMO. All products are then filled at CMOs. Any manufacturing failures or compliance issues at contract manufacturers could cause delays in our Phase 1 and Phase 2 clinical studies for these drug candidates.</w:t>
      </w:r>
    </w:p>
    <w:p>
      <w:pPr>
        <w:spacing w:after="0" w:line="127"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Our current CDX-0159 drug product is administered intravenously. In 2021, we plan to manufacture CDX-0159 in subcutaneous form to move forward with a potential self-administration at home setting versus the need for intravenous dosing in a hospital or clinic setting. The subcutaneous form should improve the patient experience if the product becomes available commercially. If we are unsuccessful in manufacturing</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79"/>
        <w:spacing w:after="0" w:line="261" w:lineRule="auto"/>
        <w:rPr>
          <w:sz w:val="20"/>
          <w:szCs w:val="20"/>
          <w:color w:val="auto"/>
        </w:rPr>
      </w:pPr>
      <w:r>
        <w:rPr>
          <w:rFonts w:ascii="Arial" w:cs="Arial" w:eastAsia="Arial" w:hAnsi="Arial"/>
          <w:sz w:val="18"/>
          <w:szCs w:val="18"/>
          <w:color w:val="auto"/>
        </w:rPr>
        <w:t>CDX-0159 in subcutaneous form, we will continue to produce the product in the current form for intravenous administration.</w:t>
      </w:r>
    </w:p>
    <w:p>
      <w:pPr>
        <w:spacing w:after="0" w:line="90" w:lineRule="exact"/>
        <w:rPr>
          <w:sz w:val="20"/>
          <w:szCs w:val="20"/>
          <w:color w:val="auto"/>
        </w:rPr>
      </w:pPr>
    </w:p>
    <w:p>
      <w:pPr>
        <w:ind w:left="1260" w:right="599" w:firstLine="360"/>
        <w:spacing w:after="0" w:line="262" w:lineRule="auto"/>
        <w:rPr>
          <w:sz w:val="20"/>
          <w:szCs w:val="20"/>
          <w:color w:val="auto"/>
        </w:rPr>
      </w:pPr>
      <w:r>
        <w:rPr>
          <w:rFonts w:ascii="Arial" w:cs="Arial" w:eastAsia="Arial" w:hAnsi="Arial"/>
          <w:sz w:val="17"/>
          <w:szCs w:val="17"/>
          <w:color w:val="auto"/>
        </w:rPr>
        <w:t>The manufacturing processes for our drug candidates and immunotherapeutic delivery systems utilize known technologies. We believe that the drug candidates we currently have under development can be scaled up to permit manufacturing in commercial quantities. However, there can be no assurance that we will not encounter difficulties in scaling up the manufacturing processes.</w:t>
      </w:r>
    </w:p>
    <w:p>
      <w:pPr>
        <w:spacing w:after="0" w:line="105"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While we believe that there is currently sufficient capacity worldwide for the production of our potential products through CMOs, establishing long-term relationships with contract manufacturers and securing multiple sources for the necessary quantities of clinical and commercial materials required can be a challenge due to increasing industry demand for CMO services. Qualifying the initial source of clinical and ultimately commercial material is a time consuming and expensive process due to the highly regulated nature of the pharmaceutical/biotech industry. These costs may be mitigated by the economies of scale realized in commercial manufacture and product sales. The key difficulty in qualifying more than one source for each product is the duplicated time and expense in doing so without the potential to mitigate these costs if the secondary source is never utilized.</w:t>
      </w:r>
    </w:p>
    <w:p>
      <w:pPr>
        <w:spacing w:after="0" w:line="12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Use of third-party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third-party manufacturers fail to meet our manufacturing needs in an acceptable manner or fail to comply with regulatory requirements, we would face delays and additional costs while we develop internal manufacturing capabilities or find alternate third-party manufacturers. It may not be possible to have multiple third-party manufacturers ready to supply us with needed material at all or without incurring significant costs.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Commercial Organization</w:t>
      </w:r>
    </w:p>
    <w:p>
      <w:pPr>
        <w:spacing w:after="0" w:line="148"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We have limited commercial experience in marketing, sales, distribution and product reimbursement. We have the capability to provide current and future market insights to our research and development organization regarding our potential drug candidates. In the future, we may choose to expand our commercial team and build a full-scale commercial organization which we believe could provide us the opportunity to retain marketing rights to our drug candidates and commercialize such products ourselves where we deem appropriate or pursue strategic partnerships to develop, sell, market and distribute our drug candidates where we deem appropriate.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162"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Patents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and antibody technologies.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00"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7"/>
          <w:szCs w:val="17"/>
          <w:color w:val="auto"/>
        </w:rPr>
        <w:t>We own or license rights under more than 50 granted patents and national and regional patent applications in the U.S. and in major international territories covering inventions relating to our business.</w:t>
      </w:r>
    </w:p>
    <w:p>
      <w:pPr>
        <w:spacing w:after="0" w:line="3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41" w:lineRule="auto"/>
        <w:rPr>
          <w:sz w:val="20"/>
          <w:szCs w:val="20"/>
          <w:color w:val="auto"/>
        </w:rPr>
      </w:pPr>
      <w:r>
        <w:rPr>
          <w:rFonts w:ascii="Arial" w:cs="Arial" w:eastAsia="Arial" w:hAnsi="Arial"/>
          <w:sz w:val="18"/>
          <w:szCs w:val="18"/>
          <w:color w:val="auto"/>
        </w:rPr>
        <w:t>The key patents and patent applications owned by us or licensed to us that we consider important to our current clinical programs include the following (the indicated and estimated patent expiry dates are the estimated normal expirations if all maintenance fees and annuities are paid when due, and do not include any possible additional terms for Patent Term Extensions (PTEs) or Supplementary Protection Certificates (SPCs), if these may be secured in due course):</w:t>
      </w:r>
    </w:p>
    <w:p>
      <w:pPr>
        <w:spacing w:after="0" w:line="68" w:lineRule="exact"/>
        <w:rPr>
          <w:sz w:val="20"/>
          <w:szCs w:val="20"/>
          <w:color w:val="auto"/>
        </w:rPr>
      </w:pPr>
    </w:p>
    <w:p>
      <w:pPr>
        <w:ind w:left="1800" w:right="499" w:hanging="180"/>
        <w:spacing w:after="0" w:line="25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own a portfolio of patents and patent applications directed to CDX-0159 and other anti-KIT receptor antibodies. These patents and patent applications include claims directed to particular anti-KIT antibody compositions of matter, including CDX-0159 compositions of matter, and methods of using such antibodies. A composition of matter patent has been issued in the U.S. which would have an estimated normal patent expiry date in 2034 (including additional term due to Patent Term Adjustment). Patents have also been issued in Europe, Japan, China, Australia, the Russian Federation and Singapore, and foreign counterparts are pending in Canada, India, Republic of Korea and certain other countries. If and where issued the foregoing would have estimated normal patent expiry dates ranging from 2032 to 2033.</w:t>
      </w:r>
    </w:p>
    <w:p>
      <w:pPr>
        <w:spacing w:after="0" w:line="88" w:lineRule="exact"/>
        <w:rPr>
          <w:rFonts w:ascii="Arial" w:cs="Arial" w:eastAsia="Arial" w:hAnsi="Arial"/>
          <w:sz w:val="18"/>
          <w:szCs w:val="18"/>
          <w:color w:val="auto"/>
        </w:rPr>
      </w:pPr>
    </w:p>
    <w:p>
      <w:pPr>
        <w:ind w:left="1800" w:right="539" w:hanging="180"/>
        <w:spacing w:after="0" w:line="254"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own a portfolio of patents and patent applications directed to CDX-1140 and certain other anti-CD40 antibodies. These include claims directed to particular anti-CD40 antibody compositions of matter, including CDX-1140 compositions of matter, and methods of using such antibodies. A composition of matter patent has been issued in the U.S. and patent applications in this portfolio are pending in Europe, Japan, Australia, Canada, China, India, New Zealand, Republic of Korea, Russian Federation and certain other countries. If and when issued the foregoing would have estimated normal patent expiry dates in 2037.</w:t>
      </w:r>
    </w:p>
    <w:p>
      <w:pPr>
        <w:spacing w:after="0" w:line="73" w:lineRule="exact"/>
        <w:rPr>
          <w:rFonts w:ascii="Arial" w:cs="Arial" w:eastAsia="Arial" w:hAnsi="Arial"/>
          <w:sz w:val="18"/>
          <w:szCs w:val="18"/>
          <w:color w:val="auto"/>
        </w:rPr>
      </w:pPr>
    </w:p>
    <w:p>
      <w:pPr>
        <w:ind w:left="1800" w:right="459" w:hanging="180"/>
        <w:spacing w:after="0" w:line="268"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own a portfolio of pending patent applications directed to antibody sequences used in CDX-527. These patent applications include claims directed to particular compositions of matter, including CDX-527 compositions of matter, and methods of use thereof. Patent applications in this portfolio are pending in the U.S., Europe, Japan, Australia, Canada, China, India, New Zealand, Republic of Korea, Russian Federation and certain other countries. If and when issued the foregoing would have estimated normal patent expiry dates in 2039. We have also licensed rights from the University of Southampton under issued U.S., European and Japanese patents and under a pending patent application in Canada relating to uses of certain anti-CD27 antibodies for the treatment of cancer. If and where issued and maintained to full term in due course, these would have estimated normal patent expiry dates in 2027. In September 2014, two European patent oppositions were filed against the University of Southampton European patent, and at a hearing on November 23, 2016 the European Patent Office (EPO) revoked the European patent on the ground of lack of inventive step. The University of Southampton has filed an appeal against this decision. This EPO decision does not affect the later filed Celldex patent applications relating to CDX-527.</w:t>
      </w:r>
    </w:p>
    <w:p>
      <w:pPr>
        <w:spacing w:after="0" w:line="117"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21"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08"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Third parties may have or may obtain valid and enforceable patents or proprietary rights that could block us from developing products using our technology, including:</w:t>
      </w:r>
    </w:p>
    <w:p>
      <w:pPr>
        <w:spacing w:after="0" w:line="63" w:lineRule="exact"/>
        <w:rPr>
          <w:sz w:val="20"/>
          <w:szCs w:val="20"/>
          <w:color w:val="auto"/>
        </w:rPr>
      </w:pPr>
    </w:p>
    <w:p>
      <w:pPr>
        <w:ind w:left="1800" w:right="539" w:hanging="180"/>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patents and pending patent applications in the United States and foreign countries relating to particular receptors, antigens and antigenic fragments targeted by our current drug candidates;</w:t>
      </w:r>
    </w:p>
    <w:p>
      <w:pPr>
        <w:spacing w:after="0" w:line="38" w:lineRule="exact"/>
        <w:rPr>
          <w:rFonts w:ascii="Arial" w:cs="Arial" w:eastAsia="Arial" w:hAnsi="Arial"/>
          <w:sz w:val="17"/>
          <w:szCs w:val="17"/>
          <w:color w:val="auto"/>
        </w:rPr>
      </w:pPr>
    </w:p>
    <w:p>
      <w:pPr>
        <w:ind w:left="1800" w:right="459" w:hanging="180"/>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patents and pending patent applications related to particular receptors and other molecules on T-cells, dendritic cells and macrophages that may be useful for generating monoclonal antibodies;</w:t>
      </w:r>
    </w:p>
    <w:p>
      <w:pPr>
        <w:spacing w:after="0" w:line="38" w:lineRule="exact"/>
        <w:rPr>
          <w:rFonts w:ascii="Arial" w:cs="Arial" w:eastAsia="Arial" w:hAnsi="Arial"/>
          <w:sz w:val="17"/>
          <w:szCs w:val="17"/>
          <w:color w:val="auto"/>
        </w:rPr>
      </w:pPr>
    </w:p>
    <w:p>
      <w:pPr>
        <w:ind w:left="1800" w:right="59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patents held by third parties relating to antibody expression in particular types of host cells; and</w:t>
      </w:r>
    </w:p>
    <w:p>
      <w:pPr>
        <w:spacing w:after="0" w:line="62"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patents and pending patent applications in the United States and foreign countries relating to anti-CD27 antibodies, anti-PD-L1 antibodies and certain other antibodies and their sequences and uses.</w:t>
      </w:r>
    </w:p>
    <w:p>
      <w:pPr>
        <w:spacing w:after="0" w:line="103"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Licenses</w:t>
      </w:r>
    </w:p>
    <w:p>
      <w:pPr>
        <w:spacing w:after="0" w:line="15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We have entered into several significant license agreements relating to technologies that are being developed by us.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and/or a specified period from first commercial sale on a territory-by-territory basis.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Proprietary Rights</w:t>
      </w:r>
    </w:p>
    <w:p>
      <w:pPr>
        <w:spacing w:after="0" w:line="158"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7" w:lineRule="auto"/>
        <w:rPr>
          <w:sz w:val="20"/>
          <w:szCs w:val="20"/>
          <w:color w:val="auto"/>
        </w:rPr>
      </w:pPr>
      <w:r>
        <w:rPr>
          <w:rFonts w:ascii="Arial" w:cs="Arial" w:eastAsia="Arial" w:hAnsi="Arial"/>
          <w:sz w:val="18"/>
          <w:szCs w:val="18"/>
          <w:color w:val="auto"/>
        </w:rPr>
        <w:t>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Our activities and products are significantly regulated by a number of governmental entities, including the U.S. Food and Drug Administration, or FDA, in the United States and by comparable authorities in other countries. These entities regulate, among other things, the manufacture, testing, safety, effectiveness, labeling, documentation, advertising and sale of our products. We must obtain regulatory approval from the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drug candidates that initially appear promising ultimately do not reach the market because they are found to be unsafe or ineffective when tested. Our inability to commercialize a product would impair our ability to earn future revenues.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FDA Approval Process</w:t>
      </w:r>
    </w:p>
    <w:p>
      <w:pPr>
        <w:spacing w:after="0" w:line="15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untitled or warning letters, product recalls, product seizures, total or partial suspension of production or distribution injunctions, fines, refusals of government contracts, restitution, disgorgement of profits, civil penalties and criminal prosecution.</w:t>
      </w:r>
    </w:p>
    <w:p>
      <w:pPr>
        <w:spacing w:after="0" w:line="11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process required by the FDA before a drug or biological product may be marketed in the United States generally involves the following:</w:t>
      </w:r>
    </w:p>
    <w:p>
      <w:pPr>
        <w:spacing w:after="0" w:line="62" w:lineRule="exact"/>
        <w:rPr>
          <w:sz w:val="20"/>
          <w:szCs w:val="20"/>
          <w:color w:val="auto"/>
        </w:rPr>
      </w:pPr>
    </w:p>
    <w:p>
      <w:pPr>
        <w:ind w:left="1800" w:right="105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studies and formulation studies in compliance with the FDA’s good laboratory practice, or GLP, regulations;</w:t>
      </w:r>
    </w:p>
    <w:p>
      <w:pPr>
        <w:spacing w:after="0" w:line="62"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or IND, application which must become effective before human clinical trials may begin;</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75" w:lineRule="exact"/>
        <w:rPr>
          <w:rFonts w:ascii="Arial" w:cs="Arial" w:eastAsia="Arial" w:hAnsi="Arial"/>
          <w:sz w:val="18"/>
          <w:szCs w:val="18"/>
          <w:color w:val="auto"/>
        </w:rPr>
      </w:pPr>
    </w:p>
    <w:p>
      <w:pPr>
        <w:jc w:val="both"/>
        <w:ind w:left="1800" w:right="53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or biological product for each indication;</w:t>
      </w:r>
    </w:p>
    <w:p>
      <w:pPr>
        <w:spacing w:after="0" w:line="75"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 or a biologics license application, or BLA, as applicable;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1800" w:right="539" w:hanging="180"/>
        <w:spacing w:after="0" w:line="286"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p>
      <w:pPr>
        <w:spacing w:after="0" w:line="70" w:lineRule="exact"/>
        <w:rPr>
          <w:rFonts w:ascii="Arial" w:cs="Arial" w:eastAsia="Arial" w:hAnsi="Arial"/>
          <w:sz w:val="17"/>
          <w:szCs w:val="17"/>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144"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We expect that all of our clinical drug candidates will be subject to review as biological products under BLA standards.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Clinical Trials</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FDA provides that human clinical trials may begin 30 days after receipt and review of an IND application, unless the FDA requests additional information or changes to the study protocol within that period. An IND must be sponsored and filed for each of our proposed drug candidates. Authorization to conduct clinical trials in no way assures that the FDA will ultimately approve the product. Clinical trials are generally conducted in three sequential phases. In a Phase 1 trial, the product is given to a small number of patients to test for safety (adverse effects), determine a recommended Phase 2 dose(s) and evaluate any signals of efficacy.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maintains and exercises oversight authority throughout the clinical trial process.</w:t>
      </w:r>
    </w:p>
    <w:p>
      <w:pPr>
        <w:spacing w:after="0" w:line="113"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Marketing Approval</w:t>
      </w:r>
    </w:p>
    <w:p>
      <w:pPr>
        <w:spacing w:after="0" w:line="15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 FDA approval of the NDA or BLA is required before marketing of the product may begin in the United States. Under federal law, the submission of most NDAs and BLAs is additionally subject to a substantial application user fee and the sponsor of an approved NDA or BLA is also subject to annual prescription drug program fees.</w:t>
      </w:r>
    </w:p>
    <w:p>
      <w:pPr>
        <w:spacing w:after="0" w:line="96"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 the submission. The FDA may also refer applications for novel drugs or biological products or products that present difficult questions of safety or efficacy to an advisory</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06"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spacing w:after="0" w:line="125"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 testing and approval processes require substantial time, effort and financial resources, and each may take many years to complete. Data obtained from clinical activities are not always conclusive and may be susceptible to varying interpretations that could delay, limit or prevent regulatory approval. The FDA may not grant approval on a timely basis, or at all. We may encounter difficulties or unanticipated costs in our efforts to develop our drug candidates and secure necessary governmental approvals, which could delay or preclude us from marketing our products.</w:t>
      </w:r>
    </w:p>
    <w:p>
      <w:pPr>
        <w:spacing w:after="0" w:line="125"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or BLA, the FDA will resume review and may subsequently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13"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Even 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changes in indications, manufacturing changes and labeling, are subject to further testing requirements and FDA review and approval.</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Special Regulatory Procedures</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i w:val="1"/>
          <w:iCs w:val="1"/>
          <w:color w:val="auto"/>
        </w:rPr>
        <w:t xml:space="preserve">Fast track designation — </w:t>
      </w:r>
      <w:r>
        <w:rPr>
          <w:rFonts w:ascii="Arial" w:cs="Arial" w:eastAsia="Arial" w:hAnsi="Arial"/>
          <w:sz w:val="18"/>
          <w:szCs w:val="18"/>
          <w:color w:val="auto"/>
        </w:rPr>
        <w:t>The FDA is required to facilitate the development and expedite the review of</w:t>
      </w:r>
      <w:r>
        <w:rPr>
          <w:rFonts w:ascii="Arial" w:cs="Arial" w:eastAsia="Arial" w:hAnsi="Arial"/>
          <w:sz w:val="18"/>
          <w:szCs w:val="18"/>
          <w:i w:val="1"/>
          <w:iCs w:val="1"/>
          <w:color w:val="auto"/>
        </w:rPr>
        <w:t xml:space="preserve"> </w:t>
      </w:r>
      <w:r>
        <w:rPr>
          <w:rFonts w:ascii="Arial" w:cs="Arial" w:eastAsia="Arial" w:hAnsi="Arial"/>
          <w:sz w:val="18"/>
          <w:szCs w:val="18"/>
          <w:color w:val="auto"/>
        </w:rPr>
        <w:t>drugs and biologics that are intended for the treatment of a serious or life-threatening disease or condition and that demonstrate the potential to address unmet medical needs. Under the fast track program, the sponsor of a new drug or biologic candidate may request the FDA to designate the product for a specific indication as a fast track product, concurrent with or after the filing of the IND for the drug candidate. A drug that receives fast track designation is eligible for some or all of the following: (i) more frequent meetings with the FDA to discuss the drug’s development plan and ensure collection of appropriate data needed to support drug approval; (ii) more frequent written communication from the FDA about such things as the design of the proposed clinical trials and use of biomarkers; (iii) eligibility for accelerated approval and priority review, if relevant criteria are met; and (iv) Rolling Review, which means that a drug company can submit completed sections of its BLA or NDA for review by the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color w:val="auto"/>
        </w:rPr>
        <w:t>designation may be withdrawn by the FDA if it believes that the designation is no longer supported by data emerging in the clinical trial process.</w:t>
      </w:r>
    </w:p>
    <w:p>
      <w:pPr>
        <w:spacing w:after="0" w:line="89"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i w:val="1"/>
          <w:iCs w:val="1"/>
          <w:color w:val="auto"/>
        </w:rPr>
        <w:t xml:space="preserve">Priority review — </w:t>
      </w:r>
      <w:r>
        <w:rPr>
          <w:rFonts w:ascii="Arial" w:cs="Arial" w:eastAsia="Arial" w:hAnsi="Arial"/>
          <w:sz w:val="18"/>
          <w:szCs w:val="18"/>
          <w:color w:val="auto"/>
        </w:rPr>
        <w:t>Under FDA policies, a drug candidate may be eligible for priority review.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review program provides for expedited review or an NDA or BLA, typically within a six to eight month time frame from the time a complete application is accepted for filing. Products regulated by the FDA’s Center for Drug Evaluation and Research, or CDER, are eligible for priority review if they provide a significant improvement compared to marketed products in the treatment, diagnosis or 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drug candidate could be eligible for priority review if supported by clinical data at the time of the BLA or NDA submission.</w:t>
      </w:r>
    </w:p>
    <w:p>
      <w:pPr>
        <w:spacing w:after="0" w:line="127"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i w:val="1"/>
          <w:iCs w:val="1"/>
          <w:color w:val="auto"/>
        </w:rPr>
        <w:t xml:space="preserve">Accelerated approval — </w:t>
      </w:r>
      <w:r>
        <w:rPr>
          <w:rFonts w:ascii="Arial" w:cs="Arial" w:eastAsia="Arial" w:hAnsi="Arial"/>
          <w:sz w:val="18"/>
          <w:szCs w:val="18"/>
          <w:color w:val="auto"/>
        </w:rPr>
        <w:t>Under the law and the FDA’s accelerated approval regulations, the FDA may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 a drug or biologic for a serious or life-threatening illness that provides meaningful therapeutic benefit to patients over existing treatments based on a surrogate endpoint that is reasonably likely to predict clinical benefit.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27"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 xml:space="preserve">Breakthrough therapy designation — </w:t>
      </w:r>
      <w:r>
        <w:rPr>
          <w:rFonts w:ascii="Arial" w:cs="Arial" w:eastAsia="Arial" w:hAnsi="Arial"/>
          <w:sz w:val="18"/>
          <w:szCs w:val="18"/>
          <w:color w:val="auto"/>
        </w:rPr>
        <w:t>The FDA is also required to expedite the development and review</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application for approval of drugs that are intended to treat a serious or life-threatening disease or condition where preliminary clinical evidence indicates that the drug candidate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w:t>
      </w:r>
    </w:p>
    <w:p>
      <w:pPr>
        <w:spacing w:after="0" w:line="114"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i w:val="1"/>
          <w:iCs w:val="1"/>
          <w:color w:val="auto"/>
        </w:rPr>
        <w:t xml:space="preserve">Orphan drug designation — </w:t>
      </w:r>
      <w:r>
        <w:rPr>
          <w:rFonts w:ascii="Arial" w:cs="Arial" w:eastAsia="Arial" w:hAnsi="Arial"/>
          <w:sz w:val="17"/>
          <w:szCs w:val="17"/>
          <w:color w:val="auto"/>
        </w:rPr>
        <w:t>Under the Orphan Drug Act, the FDA may grant orphan drug designation</w:t>
      </w:r>
      <w:r>
        <w:rPr>
          <w:rFonts w:ascii="Arial" w:cs="Arial" w:eastAsia="Arial" w:hAnsi="Arial"/>
          <w:sz w:val="17"/>
          <w:szCs w:val="17"/>
          <w:i w:val="1"/>
          <w:iCs w:val="1"/>
          <w:color w:val="auto"/>
        </w:rPr>
        <w:t xml:space="preserve"> </w:t>
      </w:r>
      <w:r>
        <w:rPr>
          <w:rFonts w:ascii="Arial" w:cs="Arial" w:eastAsia="Arial" w:hAnsi="Arial"/>
          <w:sz w:val="17"/>
          <w:szCs w:val="17"/>
          <w:color w:val="auto"/>
        </w:rPr>
        <w:t>to a drug or biologic intended to treat a rare disease or condition, which is generally 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Pediatric Information</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Under the Pediatric Research Equity Act of 2003, an NDA, BLA or supplement to an NDA or BLA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Post Approval</w:t>
      </w:r>
    </w:p>
    <w:p>
      <w:pPr>
        <w:spacing w:after="0" w:line="144"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2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spacing w:after="0" w:line="120"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00"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p>
      <w:pPr>
        <w:spacing w:after="0" w:line="84" w:lineRule="exact"/>
        <w:rPr>
          <w:sz w:val="20"/>
          <w:szCs w:val="20"/>
          <w:color w:val="auto"/>
        </w:rPr>
      </w:pPr>
    </w:p>
    <w:p>
      <w:pPr>
        <w:ind w:left="1800" w:right="65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 untitled and warning letters or holds on post-approval clinical trials;</w:t>
      </w:r>
    </w:p>
    <w:p>
      <w:pPr>
        <w:spacing w:after="0" w:line="117"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prosecution.</w:t>
      </w:r>
    </w:p>
    <w:p>
      <w:pPr>
        <w:spacing w:after="0" w:line="158"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the Office of the Inspector General of Health and Human Services and other agencies actively enforce the laws and regulations prohibiting the promotion of off label uses, and a company that is found to have improperly promoted off label uses may be subject to significant liability.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Biosimilars Law</w:t>
      </w:r>
    </w:p>
    <w:p>
      <w:pPr>
        <w:spacing w:after="0" w:line="15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The Biologics Price Competition and Innovation Act of 2009, or BPCIA, amended the PHSA to provide for an abbreviated approval pathway for biological products that demonstrate biosimilarity to a previously-approved biological product. The BPCIA establishes criteria for determining that a product is biosimilar to an already-licensed biologic, or reference product, and establishes a process by which an abbreviated BLA for a biosimilar product is submitted, reviewed and approved. The BPCIA provides periods</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of exclusivity that protect a reference product from biosimilars competition. Under the BPCIA, the FDA may not accept a biosimilar application for review until four years after the date of first licensure of the reference product, and the biosimilar may not be licensed until 12 years after the reference product’s approval. Additionally, the BPCIA establishes procedures by which the biosimilar applicant may provide information about its application and product to the reference product sponsor, and by which information about potentially relevant patents is shared and litigation over patents may proceed in advance of approval. The BPCIA also provides a period of exclusivity for the first biosimilar to be determined by the FDA to be interchangeable with the reference product. The BPCIA applies to our drug candidates and could be applied to allow approval of biosimilars to our products.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21st Century Cures Act</w:t>
      </w:r>
    </w:p>
    <w:p>
      <w:pPr>
        <w:spacing w:after="0" w:line="144"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On December 13, 2016, Congress passed the 21st Century Cures Act, or the Cures Act. The Cures Act is designed to modernize and personalize health care, spur innovation and research, and streamline the discovery and development of new therapies through increased federal funding of particular programs. It authorizes increased funding for the FDA to spend on innovation projects, including for certain oncology-directed research. The new law also amends the Public Health Service Act to reauthorize and expand funding for the National Institutes of Health.</w:t>
      </w:r>
    </w:p>
    <w:p>
      <w:pPr>
        <w:spacing w:after="0" w:line="12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Cures Act also authorizes funding for the “Cancer Moonshot” initiative. The Cancer Moonshot initiative’s strategic goals encourage inter-agency cooperation and fund research and innovation to catalyze new scientific breakthroughs, bring new therapies to patients and strengthen prevention and diagnosis. This initiative aims to stimulate drug development through the creation of a public-private partnership with 20 to 30 pharmaceutical and biotechnology companies to expedite cancer researchers’ access to investigational agents and approved drugs. This partnership is designed to permit researchers to obtain drugs and other technologies from a preapproved “formulary” list without having to negotiate with each company for individual research projects. We will continue to monitor these developments to assess their potential impacts on our business.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Companion Diagnostic Review and Approval</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 xml:space="preserve">Our drug candidates may rely on the use of a companion diagnostic. Companion diagnostics are subject to regulation by the FDA and comparable foreign regulatory authorities as medical devices and require separate clearance or approval prior to their commercialization. Based on recent FDA guidance documents and the FDA’s past treatment of companion diagnostics, we believe that the FDA will likely require one or more of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to obtain Premarket Approval Application, or PMA, in conjunction with approval of the related drug candidate. The receipt and timing of PMA approval may have a significant effect on the receipt and timing of commercial approval for such drug candidates. Currently we rely on third-party collaborators to develop companion diagnostics for our drug candidates.</w:t>
      </w:r>
    </w:p>
    <w:p>
      <w:pPr>
        <w:spacing w:after="0" w:line="100"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The PMA process is similar to the NDA and BLA processes and is costly, lengthy and uncertain. 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while the trials are conducted and then the data submitted in an amendment to the PMA.</w:t>
      </w:r>
    </w:p>
    <w:p>
      <w:pPr>
        <w:spacing w:after="0" w:line="120"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Furthermore, even after PMA approval is obtained, numerous regulatory requirements apply to the manufacturer of the companion diagnostic. The FDA enforces these requirements by inspection and market</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9" w:lineRule="auto"/>
        <w:rPr>
          <w:sz w:val="20"/>
          <w:szCs w:val="20"/>
          <w:color w:val="auto"/>
        </w:rPr>
      </w:pPr>
      <w:r>
        <w:rPr>
          <w:rFonts w:ascii="Arial" w:cs="Arial" w:eastAsia="Arial" w:hAnsi="Arial"/>
          <w:sz w:val="18"/>
          <w:szCs w:val="18"/>
          <w:color w:val="auto"/>
        </w:rPr>
        <w:t>surveillance. These requirements include: the QSR, labeling regulations, the FDA’s general prohibition against promoting products for unapproved or “off label” uses, the medical device reporting regulation, and the reports of corrections and removals regulation. If the FDA finds a violation, it can institute a wide variety of enforcement actions, ranging from a public warning letter to more severe sanctions such as: fines, injunctions and civil penalties; recall or seizure of products; operating restrictions, partial suspension or total shutdown of production; refusing requests for PMA of new products; and withdrawing PMAs already granted.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Federal and State Fraud and Abuse, Data Privacy and Security and Transparency Laws</w:t>
      </w:r>
    </w:p>
    <w:p>
      <w:pPr>
        <w:spacing w:after="0" w:line="14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 kickback statutes and false claims statutes and false claims laws, data privacy and security laws, as well as transparency laws regarding payments or other items of value provided to health 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 care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 -fraud and abuse laws and implementation of corporate compliance programs and reporting of payments or transfers of value to health care professionals.</w:t>
      </w:r>
    </w:p>
    <w:p>
      <w:pPr>
        <w:spacing w:after="0" w:line="116"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 care professionals we may interact with may meet the FCPA’s definition of a foreign government official.</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Foreign Regulation</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11"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Under the EU regulatory system, we will submit most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a drug candidate as an orphan drug for the treatment of a specific indication in the EU before the application for marketing authorization is made. The EMA grants orphan medicinal product designation to promote the development of products that</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Regulatory Processes</w:t>
      </w:r>
    </w:p>
    <w:p>
      <w:pPr>
        <w:spacing w:after="0" w:line="144"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w:t>
      </w:r>
    </w:p>
    <w:p>
      <w:pPr>
        <w:spacing w:after="0" w:line="116"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change or what the effect of such changes, if any, may be.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Third-Party Payor Coverage and Reimbursement</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Significant uncertainty exists as to the coverage and reimbursement status of any drug products for which we obtain regulatory approval. Sales of any of our drug candidates, if approved, will depend, in part, on the extent to which the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larger out-of-pocket payments for the patient.</w:t>
      </w:r>
    </w:p>
    <w:p>
      <w:pPr>
        <w:spacing w:after="0" w:line="11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In order to secure coverage and reimbursement for any drug that might be approved for sale, we need to conduct analyses and pharmaco-economic studies in order to demonstrate the incremental medical benefit over and above the generally-accepted standard of care and cost-effectiveness of the drug. Our drug candidates may not be considered medically necessary, provide insufficient incremental medical benefit, or may not be deemed cost-effective. A payor’s decision to provide coverage for a drug product does not imply that an adequate reimbursement rate will be approved.</w:t>
      </w:r>
    </w:p>
    <w:p>
      <w:pPr>
        <w:spacing w:after="0" w:line="125"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containment of health 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third-party payors, we will also need to negotiate formulary placement with hospitals, health systems and certain independent delivery networks. Such negotiations may be more protracted than anticipated and may be compromised because of similar considerations, relating to insufficient incremental medical benefit and/or cost-effectiveness.</w:t>
      </w:r>
    </w:p>
    <w:p>
      <w:pPr>
        <w:spacing w:after="0" w:line="11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 require additional evidence to be generated post-marketing authorization, etc. The downward pressure on health care costs in general, including prescription drugs, has been evident in EU markets for some time and is now a major focus of federal and state governments in the U.S. As a result, increasingly high barriers are being erected to the pricing and reimbursement of new drugs, despite regulatory efforts to bring drugs to market sooner. Cross-border trade has existed for some time in the EU, allowing pharmacies in one country to import, at a lower price, drug from another country, further exerting pricing pressures across the EU. A proposal to allow importation of less expensive drugs from Canada to the U.S. is under consideration in U.S. Congress.</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308" w:lineRule="auto"/>
        <w:rPr>
          <w:sz w:val="20"/>
          <w:szCs w:val="20"/>
          <w:color w:val="auto"/>
        </w:rPr>
      </w:pPr>
      <w:r>
        <w:rPr>
          <w:rFonts w:ascii="Arial" w:cs="Arial" w:eastAsia="Arial" w:hAnsi="Arial"/>
          <w:sz w:val="17"/>
          <w:szCs w:val="17"/>
          <w:color w:val="auto"/>
        </w:rPr>
        <w:t>There can be no assurance that any country that has price controls or reimbursement limitations for drug products will allow favorable reimbursement and pricing arrangements for any of our drugs.</w:t>
      </w:r>
    </w:p>
    <w:p>
      <w:pPr>
        <w:spacing w:after="0" w:line="65"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particular, uncertainty over the long term regarding the Patient Protection and Affordable Care Act, or its replacement in the U.S., may mean that coverage, reimbursement and pricing structures available today may be different in the future. In addition, the States may continue to consider legislation of their own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As of December 31, 2020, we employed 125 employees (123 full-time and 2 part-time), 19 of whom have Ph.D. and/or M.D. degrees. Of these employees, 104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We have dedicated a significant portion of our resources to our efforts to develop our drug candidates. We incurred research and development expenses of $42.5 million, $42.7 million and $66.4 million during the years ended December 31, 2020, 2019 and 2018, respectively. We anticipate that a significant portion of our operating expenses will continue to be related to research and development in 2021 as we continue to advance our drug candidates through clinical development.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and Available Information</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 xml:space="preserve">We are incorporated in Delaware. Our website is located at </w:t>
      </w:r>
      <w:r>
        <w:rPr>
          <w:rFonts w:ascii="Arial" w:cs="Arial" w:eastAsia="Arial" w:hAnsi="Arial"/>
          <w:sz w:val="17"/>
          <w:szCs w:val="17"/>
          <w:i w:val="1"/>
          <w:iCs w:val="1"/>
          <w:color w:val="auto"/>
        </w:rPr>
        <w:t>http://www.celldex.com.</w:t>
      </w:r>
      <w:r>
        <w:rPr>
          <w:rFonts w:ascii="Arial" w:cs="Arial" w:eastAsia="Arial" w:hAnsi="Arial"/>
          <w:sz w:val="17"/>
          <w:szCs w:val="17"/>
          <w:color w:val="auto"/>
        </w:rPr>
        <w:t xml:space="preserve"> On our website, investors can obtain, free of charge, a copy of our Annual Report on Form 10-K, Quarterly Reports on Form 10-Q, Current Reports on Form 8-K, other reports and any amendments thereto filed or furnished pursuant to Section 13(a) or 15(d) of the Exchange Act of 1934, as amended, as soon as reasonably practicable after we file such material electronically with, or furnish it to, the Securities and Exchange Commission, or SEC. None of the information posted on our website is incorporated by reference into this Annual Report. The SEC also maintains a website at http://www.sec.gov that contains reports, proxy and information statements and other information regarding us and other companies that file materials with the SEC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our need for additional capital to fund our operations.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the Kolltan Agreement, and the acquisition of Kolltan.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U.S. federal income tax reform.</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Development and Regulatory Approval of Drug Candidates</w:t>
      </w:r>
    </w:p>
    <w:p>
      <w:pPr>
        <w:spacing w:after="0" w:line="108" w:lineRule="exact"/>
        <w:rPr>
          <w:sz w:val="20"/>
          <w:szCs w:val="20"/>
          <w:color w:val="auto"/>
        </w:rPr>
      </w:pPr>
    </w:p>
    <w:p>
      <w:pPr>
        <w:ind w:left="1800" w:right="55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our ability to fund and complete the research and development activities and obtain regulatory approval for our program assets.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the extensive regulatory scrutiny of which we are subject.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our ability to commence, enroll, manage and complete our clinical trials.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of serious adverse or unacceptable side effects identified related to our drug candidates.</w:t>
      </w:r>
    </w:p>
    <w:p>
      <w:pPr>
        <w:spacing w:after="0" w:line="117" w:lineRule="exact"/>
        <w:rPr>
          <w:rFonts w:ascii="Arial" w:cs="Arial" w:eastAsia="Arial" w:hAnsi="Arial"/>
          <w:sz w:val="18"/>
          <w:szCs w:val="18"/>
          <w:color w:val="auto"/>
        </w:rPr>
      </w:pPr>
    </w:p>
    <w:p>
      <w:pPr>
        <w:ind w:left="1800" w:right="121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enter collaboration agreements for our lead drug candidates that may not meet our expectations.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Commercialization of Our Drug Candidates</w:t>
      </w:r>
    </w:p>
    <w:p>
      <w:pPr>
        <w:spacing w:after="0" w:line="108" w:lineRule="exact"/>
        <w:rPr>
          <w:sz w:val="20"/>
          <w:szCs w:val="20"/>
          <w:color w:val="auto"/>
        </w:rPr>
      </w:pPr>
    </w:p>
    <w:p>
      <w:pPr>
        <w:ind w:left="1800" w:right="101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delays, difficulties or unanticipated costs in establishing sales, marketing and distribution capabilities.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related to the acceptance of our drug candidates by physicians, patients and third party payors.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reimbursement decisions by third party payors.</w:t>
      </w:r>
    </w:p>
    <w:p>
      <w:pPr>
        <w:spacing w:after="0" w:line="103" w:lineRule="exact"/>
        <w:rPr>
          <w:rFonts w:ascii="Arial" w:cs="Arial" w:eastAsia="Arial" w:hAnsi="Arial"/>
          <w:sz w:val="18"/>
          <w:szCs w:val="18"/>
          <w:color w:val="auto"/>
        </w:rPr>
      </w:pPr>
    </w:p>
    <w:p>
      <w:pPr>
        <w:ind w:left="1800" w:right="121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including the terms of FDA approval, that could affect the demand for and sales and profitability of any of our drug candidates.</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the failure to obtain regulatory approvals in foreign jurisdictions and risks related to international operations if we do obtain regulatory approval in foreign jurisdictions.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08" w:lineRule="exact"/>
        <w:rPr>
          <w:sz w:val="20"/>
          <w:szCs w:val="20"/>
          <w:color w:val="auto"/>
        </w:rPr>
      </w:pPr>
    </w:p>
    <w:p>
      <w:pPr>
        <w:ind w:left="1800" w:right="599" w:hanging="180"/>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our reliance on third parties to plan, conduct and monitor our clinical tests, to develop and commercialize companion diagnostic tests for certain drug candidates, and on contract manufacturers.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our reliance on third parties that requires us to share our trade secrets.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the third parties upon whom we depend may be adversely affected by natural disasters.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Business Operations</w:t>
      </w:r>
    </w:p>
    <w:p>
      <w:pPr>
        <w:spacing w:after="0" w:line="121"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strategic transactions.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managing our growth.</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our ability to integrate and modify our technologies to create new drugs.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related to computer systems that we and third parties use and potential security breaches.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hazardous materials.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product liability claims.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800" w:right="6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the licensing of technology, and the effective maintenance of intellectual property rights, including protecting the confidentiality of our trade secrets.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litigation related to intellectual property claims.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Regulatory Risks</w:t>
      </w:r>
    </w:p>
    <w:p>
      <w:pPr>
        <w:spacing w:after="0" w:line="121"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 to the grant of priority review status by the FDA.</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delays in submitting BLAs, NDAs or restrictions on marketing of drugs.</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acceptance by the FDA of data from our clinical trials conducted outside the United States.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changes in product candidate manufacturing or formulation.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our compliance with laws and regulations.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Capital Stock</w:t>
      </w:r>
    </w:p>
    <w:p>
      <w:pPr>
        <w:spacing w:after="0" w:line="121" w:lineRule="exact"/>
        <w:rPr>
          <w:sz w:val="20"/>
          <w:szCs w:val="20"/>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our history of losses and uncertainty of future profitability.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our reverse stock split.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relates to the volatility of our 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our use of our net operating loss carryforwards.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that our competitors may develop technologies that make ours obsolete.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health epidemics and outbreaks.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the loss of our key executives and scientists.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that our employees may engage in misconduct or other improper activities.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our compliance with the Nasdaq Listing Rules.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currently have no product revenue and will need to raise capital to operate our business.</w:t>
      </w:r>
    </w:p>
    <w:p>
      <w:pPr>
        <w:spacing w:after="0" w:line="15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To date, we have generated no product revenue and cannot predict when and if we will generate product revenue. We had an accumulated deficit of $1.1 billion as of December 31, 2020. Until, and unless, we complete clinical trials and other development activity, and receive approval from the FDA and other regulatory authorities, for our drug candidates, we cannot sell our drugs and will not have product revenue. We expect to spend substantial funds to continue the research, development and testing of our products that are in the preclinical and clinical testing stages of development and to prepare to commercialize products in anticipation of FDA approval. Therefore, for the foreseeable future, we will have to fund all of our operations and development expenditures from cash on hand, equity or debt financings, licensing fees and grants. Additional financing will be required to meet our liquidity needs. If we do not succeed in raising additional funds on acceptable terms, we might not be able to complete planned preclinical and clinical trials or obtain approval of any drug candidates from the FDA and other regulatory authorities. In addition,</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we could be forced to discontinue product development, reduce or forego sales and marketing efforts, forego attractive business opportunities or curtail operations. Any additional sources of financing could involve the issuance of our equity securities, which would have a dilutive effect on our stockholders. No assurance can be given that additional financing will be available to us when needed on acceptable terms, or at all.</w:t>
      </w:r>
    </w:p>
    <w:p>
      <w:pPr>
        <w:spacing w:after="0" w:line="108"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expect to incur future losses and we may never become profitable.</w:t>
      </w:r>
    </w:p>
    <w:p>
      <w:pPr>
        <w:spacing w:after="0" w:line="158"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7"/>
          <w:szCs w:val="17"/>
          <w:color w:val="auto"/>
        </w:rPr>
        <w:t>We have incurred operating losses of $63.4 million, $55.0 million and $156.4 million during 2020, 2019 and 2018, respectively, and expect to incur an operating loss in 2021 and beyond. We believe that operating losses will continue in 2021 and beyond because we are planning to incur significant costs associated with the development of our drug candidates. During the years ended December 31, 2020, 2019 and 2018, we incurred $4.9 million, $4.3 million and $12.4 million in clinical trial expense and</w:t>
      </w:r>
    </w:p>
    <w:p>
      <w:pPr>
        <w:spacing w:after="0" w:line="2" w:lineRule="exact"/>
        <w:rPr>
          <w:sz w:val="20"/>
          <w:szCs w:val="20"/>
          <w:color w:val="auto"/>
        </w:rPr>
      </w:pPr>
    </w:p>
    <w:p>
      <w:pPr>
        <w:ind w:left="1260" w:right="539"/>
        <w:spacing w:after="0" w:line="256" w:lineRule="auto"/>
        <w:rPr>
          <w:sz w:val="20"/>
          <w:szCs w:val="20"/>
          <w:color w:val="auto"/>
        </w:rPr>
      </w:pPr>
      <w:r>
        <w:rPr>
          <w:rFonts w:ascii="Arial" w:cs="Arial" w:eastAsia="Arial" w:hAnsi="Arial"/>
          <w:sz w:val="17"/>
          <w:szCs w:val="17"/>
          <w:color w:val="auto"/>
        </w:rPr>
        <w:t>$1.2 million, $0.6 million and $4.2 million in contract manufacturing expense.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76" w:lineRule="exact"/>
        <w:rPr>
          <w:sz w:val="20"/>
          <w:szCs w:val="20"/>
          <w:color w:val="auto"/>
        </w:rPr>
      </w:pPr>
    </w:p>
    <w:p>
      <w:pPr>
        <w:ind w:left="1260" w:right="739"/>
        <w:spacing w:after="0" w:line="322" w:lineRule="auto"/>
        <w:rPr>
          <w:sz w:val="20"/>
          <w:szCs w:val="20"/>
          <w:color w:val="auto"/>
        </w:rPr>
      </w:pPr>
      <w:r>
        <w:rPr>
          <w:rFonts w:ascii="Arial" w:cs="Arial" w:eastAsia="Arial" w:hAnsi="Arial"/>
          <w:sz w:val="15"/>
          <w:szCs w:val="15"/>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62"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We expect to incur significant costs as we develop our drug candidates. The continuing development and commercialization of our drug candidates requires additional capital beyond our current resources. As of December 31, 2020, we had cash, cash equivalents and marketable securities of $194.4 million. During the next twelve months and beyond, we will take further steps to raise additional capital to fund our liquidity needs. Our capital raising activities may include, but may not be limited to, one or more of the following:</w:t>
      </w:r>
    </w:p>
    <w:p>
      <w:pPr>
        <w:spacing w:after="0" w:line="68"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licensing of drug candidates with existing or new collaborative partners;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possible business combinations;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debt;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common stock or other securities via private placements or public offerings.</w:t>
      </w:r>
    </w:p>
    <w:p>
      <w:pPr>
        <w:spacing w:after="0" w:line="144"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drug candidates under development.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95"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spacing w:after="0" w:line="11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The merger agreement between us and Kolltan (“Merger Agreement”) provides that we will be required to pay Kolltan’s former stockholders contingent consideration in the form of development, regulatory approval and sales -based milestones (“Kolltan Milestones”) of up to $172.5 million. Certain Kolltan Milestones related to the METRIC clinical study, TAM partnership closing within two years of the acquisition, CDX-3379 and CDX-0158 have been abandoned and, because of this, as of December 31,</w:t>
      </w:r>
    </w:p>
    <w:p>
      <w:pPr>
        <w:sectPr>
          <w:pgSz w:w="11900" w:h="16838" w:orient="portrait"/>
          <w:cols w:equalWidth="0" w:num="1">
            <w:col w:w="9879"/>
          </w:cols>
          <w:pgMar w:left="580" w:top="131"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2020, we believe that the adjusted amount we may be required to pay for future consideration is up to $107.5 million contingent upon the achievement of the Kolltan Milestones. We have previously sent abandonment notices to the representative of Kolltan’s former stockholders with respect to each of the abandoned Kolltan Milestones, and the representative subsequently objected to the abandonment notices for CDX-3379 and CDX-0158. We disagree with their objection and believe their objection to be without merit. We have filed a Verified Complaint in the Court of Chancery of the State of Delaware seeking declaratory relief with respect to the rights and obligations of the parties relating to certain contingent milestone payments under the Merger Agreement relating to the discontinued CDX-0158 program. In SRS’ responsive Answer and Verified Counterclaim, SRS made claims of breach of contract with respect to the Merger Agreement, breach of implied covenant of good faith and fair dealing, declaratory relief, and unjust enrichment regarding abandonment of the CDX-0158 milestones.</w:t>
      </w:r>
    </w:p>
    <w:p>
      <w:pPr>
        <w:spacing w:after="0" w:line="101"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At this time, we are unable to reasonably assess the ultimate outcome of our litigation with the representative of Kolltan’s former stockholders over its objection to our abandonment of certain Kolltan Milestones or determine an estimate of potential losses, if any. Further, there are disagreements between that representative and us with respect to our abandonment notice related to the discontinued CDX-3379 program, which could result in litigation.</w:t>
      </w:r>
    </w:p>
    <w:p>
      <w:pPr>
        <w:spacing w:after="0" w:line="120"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Milestone payments under the Merger Agreement may be made, at our sole election, in cash, in shares of our common stock or a combination of both, although we are required to maintain a certain percentage of the overall consideration paid in Celldex common stock to satisfy certain tax requirements under the Merger Agreement. We may require additional capital to fund any milestone payments in cash, depending on the facts and circumstances at the time such payments become due. If we elect to pay the Kolltan Milestones in shares of our common stock, our stockholders would experience substantial dilution.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15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On March 27, 2020, in response to COVID-19, the Coronavirus Aid, Relief, and Economic Security Act (the “CARES Act”) was enacted. The CARES Act modified the Tax Cuts and Jobs Act (“TCJA”) by, among other things, eliminating the limitation on the deduction of net operating losses to 80% of current year taxable income for tax years beginning before January 1, 2021, and increasing the amount of interest expense that may be deducted from 30% to 50% of adjusted taxable income for tax years beginning in 2019 or 2020. We continue to examine the impact of this tax reform legislation, as well as any additional regulatory guidance that may be issued, may have on our business. For example, the recent change of administration could result in additional tax legislative activity that could have a material adverse effect on the Company.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Development and Regulatory Approval of Drug Candidates</w:t>
      </w:r>
    </w:p>
    <w:p>
      <w:pPr>
        <w:spacing w:after="0" w:line="229"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b w:val="1"/>
          <w:bCs w:val="1"/>
          <w:i w:val="1"/>
          <w:iCs w:val="1"/>
          <w:color w:val="auto"/>
        </w:rPr>
        <w:t>Our long term success depends heavily on our ability to fund and complete the research and development activities and obtain regulatory approval for our program assets.</w:t>
      </w:r>
    </w:p>
    <w:p>
      <w:pPr>
        <w:spacing w:after="0" w:line="8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Clinical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w:t>
      </w:r>
    </w:p>
    <w:p>
      <w:pPr>
        <w:spacing w:after="0" w:line="124"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We will need substantial additional financing to complete the development of our drug candidates and comply with the regulatory requirements governing this process. Further, even if we complete the development of our drug candidates and gain marketing approvals from the FDA and comparable foreign regulatory authorities in a timely manner, we cannot be sure that such drug candidate will be commercially successful in the pharmaceutical market. If the results of clinical trials, the anticipated or actual timing of marketing</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324" w:lineRule="auto"/>
        <w:rPr>
          <w:sz w:val="20"/>
          <w:szCs w:val="20"/>
          <w:color w:val="auto"/>
        </w:rPr>
      </w:pPr>
      <w:r>
        <w:rPr>
          <w:rFonts w:ascii="Arial" w:cs="Arial" w:eastAsia="Arial" w:hAnsi="Arial"/>
          <w:sz w:val="16"/>
          <w:szCs w:val="16"/>
          <w:color w:val="auto"/>
        </w:rPr>
        <w:t>approvals, or the market acceptance of any of our drug candidates, if approved, do not meet the expectations of investors or public market analysts, the market price of our common stock would likely decline.</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drug candidates are subject to extensive regulatory scrutiny.</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180"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b w:val="1"/>
          <w:bCs w:val="1"/>
          <w:i w:val="1"/>
          <w:iCs w:val="1"/>
          <w:color w:val="auto"/>
        </w:rPr>
        <w:t>If our drug candidates do not pass required tests for safety and effectiveness, we will not be able to obtain regulatory approval and derive commercial revenue from them.</w:t>
      </w:r>
    </w:p>
    <w:p>
      <w:pPr>
        <w:spacing w:after="0" w:line="10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drug candidate’s safety and effectiveness before initiating human clinical trials.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drug candidates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96" w:lineRule="exact"/>
        <w:rPr>
          <w:sz w:val="20"/>
          <w:szCs w:val="20"/>
          <w:color w:val="auto"/>
        </w:rPr>
      </w:pPr>
    </w:p>
    <w:p>
      <w:pPr>
        <w:ind w:left="1260" w:right="559"/>
        <w:spacing w:after="0" w:line="263" w:lineRule="auto"/>
        <w:rPr>
          <w:sz w:val="20"/>
          <w:szCs w:val="20"/>
          <w:color w:val="auto"/>
        </w:rPr>
      </w:pPr>
      <w:r>
        <w:rPr>
          <w:rFonts w:ascii="Arial" w:cs="Arial" w:eastAsia="Arial" w:hAnsi="Arial"/>
          <w:sz w:val="18"/>
          <w:szCs w:val="18"/>
          <w:b w:val="1"/>
          <w:bCs w:val="1"/>
          <w:i w:val="1"/>
          <w:iCs w:val="1"/>
          <w:color w:val="auto"/>
        </w:rPr>
        <w:t>Success in early clinical trials does not ensure that later clinical trials will be successful, and we cannot assure you that any of the clinical trials that we may conduct will demonstrate consistent or adequate efficacy and safety to obtain regulatory approval.</w:t>
      </w:r>
    </w:p>
    <w:p>
      <w:pPr>
        <w:spacing w:after="0" w:line="10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results of preclinical studies and early clinical trials may not be predictive of the results of later-stage clinical trials, and interim results of a clinical trial do not necessarily predict final results. Preclinical and clinical data are susceptible to various interpretations and analyses, and many companies that have believed their drug candidates performed satisfactorily in preclinical studies and early-stage clinical trials have nonetheless failed to replicate such results in later-stage clinical trials and subsequently failed to obtain marketing approval. Drug candidates in later-stage clinical trials may fail to show the desired safety and efficacy despite having progressed through preclinical and initial clinical trials, even if certain analyses of primary or secondary endpoints in those early trials showed trends towards efficacy. Later-stage clinical trials</w:t>
      </w:r>
    </w:p>
    <w:p>
      <w:pPr>
        <w:sectPr>
          <w:pgSz w:w="11900" w:h="16838" w:orient="portrait"/>
          <w:cols w:equalWidth="0" w:num="1">
            <w:col w:w="9879"/>
          </w:cols>
          <w:pgMar w:left="580" w:top="131"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with larger numbers of patients or longer durations of therapy may also reveal safety concerns that were not identified in earlier smaller or shorter trials. Our failure to demonstrate efficacy and safety data sufficient to support marketing approval for any of our other drug candidates would substantially harm our business, prospectus, financial condition and results of operations.</w:t>
      </w:r>
    </w:p>
    <w:p>
      <w:pPr>
        <w:spacing w:after="0" w:line="187"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b w:val="1"/>
          <w:bCs w:val="1"/>
          <w:i w:val="1"/>
          <w:iCs w:val="1"/>
          <w:color w:val="auto"/>
        </w:rPr>
        <w:t>Product testing is critical to the success of our drug candidates but subject to delay or cancellation if we have difficulty enrolling patients.</w:t>
      </w:r>
    </w:p>
    <w:p>
      <w:pPr>
        <w:spacing w:after="0" w:line="89"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68"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158"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If we cannot enroll patients as needed, our costs may increase, or we may be forced to delay or terminate testing for a product.</w:t>
      </w:r>
    </w:p>
    <w:p>
      <w:pPr>
        <w:spacing w:after="0" w:line="170" w:lineRule="exact"/>
        <w:rPr>
          <w:sz w:val="20"/>
          <w:szCs w:val="20"/>
          <w:color w:val="auto"/>
        </w:rPr>
      </w:pPr>
    </w:p>
    <w:p>
      <w:pPr>
        <w:jc w:val="both"/>
        <w:ind w:left="1260" w:right="499"/>
        <w:spacing w:after="0" w:line="277" w:lineRule="auto"/>
        <w:rPr>
          <w:sz w:val="20"/>
          <w:szCs w:val="20"/>
          <w:color w:val="auto"/>
        </w:rPr>
      </w:pPr>
      <w:r>
        <w:rPr>
          <w:rFonts w:ascii="Arial" w:cs="Arial" w:eastAsia="Arial" w:hAnsi="Arial"/>
          <w:sz w:val="18"/>
          <w:szCs w:val="18"/>
          <w:b w:val="1"/>
          <w:bCs w:val="1"/>
          <w:i w:val="1"/>
          <w:iCs w:val="1"/>
          <w:color w:val="auto"/>
        </w:rPr>
        <w:t>We may have delays in commencing, enrolling and completing our clinical trials, and we may not complete them at all.</w:t>
      </w:r>
    </w:p>
    <w:p>
      <w:pPr>
        <w:spacing w:after="0" w:line="89"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We have not completed the clinical trials necessary to obtain FDA approval to market any of our drug candidates in development. Clinical trials for our products in development may be delayed or terminated as a result of many factors, including the following:</w:t>
      </w:r>
    </w:p>
    <w:p>
      <w:pPr>
        <w:spacing w:after="0" w:line="76" w:lineRule="exact"/>
        <w:rPr>
          <w:sz w:val="20"/>
          <w:szCs w:val="20"/>
          <w:color w:val="auto"/>
        </w:rPr>
      </w:pPr>
    </w:p>
    <w:p>
      <w:pPr>
        <w:ind w:left="1800" w:right="65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reach agreements on acceptable terms with prospective contract research organizations (CROs) and trial sites, the terms of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enrolling patients in our clinical trials;</w:t>
      </w:r>
    </w:p>
    <w:p>
      <w:pPr>
        <w:spacing w:after="0" w:line="117"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maintain necessary supplies of study drug and comparator to maintain predicted enrollment rates at clinical trial sites;</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regulators to authorize us to commence a clinical trial;</w:t>
      </w:r>
    </w:p>
    <w:p>
      <w:pPr>
        <w:spacing w:after="0" w:line="117" w:lineRule="exact"/>
        <w:rPr>
          <w:rFonts w:ascii="Arial" w:cs="Arial" w:eastAsia="Arial" w:hAnsi="Arial"/>
          <w:sz w:val="18"/>
          <w:szCs w:val="18"/>
          <w:color w:val="auto"/>
        </w:rPr>
      </w:pPr>
    </w:p>
    <w:p>
      <w:pPr>
        <w:ind w:left="1800" w:right="73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termination by regulators of clinical research for many reasons, including concerns about patient safety, bias or failure of our contract manufacturers to comply with cGMP requirements;</w:t>
      </w:r>
    </w:p>
    <w:p>
      <w:pPr>
        <w:spacing w:after="0" w:line="75" w:lineRule="exact"/>
        <w:rPr>
          <w:rFonts w:ascii="Arial" w:cs="Arial" w:eastAsia="Arial" w:hAnsi="Arial"/>
          <w:sz w:val="18"/>
          <w:szCs w:val="18"/>
          <w:color w:val="auto"/>
        </w:rPr>
      </w:pPr>
    </w:p>
    <w:p>
      <w:pPr>
        <w:jc w:val="both"/>
        <w:ind w:left="1800" w:right="639" w:hanging="180"/>
        <w:spacing w:after="0" w:line="30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or failure to obtain clinical supply for our products necessary to conduct clinical trials from contract manufacturers, including commercial grade-clinical supply for our Phase 3 clinical trials;</w:t>
      </w:r>
    </w:p>
    <w:p>
      <w:pPr>
        <w:spacing w:after="0" w:line="38" w:lineRule="exact"/>
        <w:rPr>
          <w:rFonts w:ascii="Arial" w:cs="Arial" w:eastAsia="Arial" w:hAnsi="Arial"/>
          <w:sz w:val="17"/>
          <w:szCs w:val="17"/>
          <w:color w:val="auto"/>
        </w:rPr>
      </w:pPr>
    </w:p>
    <w:p>
      <w:pPr>
        <w:ind w:left="1800" w:right="63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 many of which may already be engaged in other clinical trial programs, including some that may be for the same indication as our product candidates;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drug candidates demonstrating a lack of efficacy during clinical trials;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delays in completing data collection and analysis for clinical trials.</w:t>
      </w:r>
    </w:p>
    <w:p>
      <w:pPr>
        <w:spacing w:after="0" w:line="144"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Any delay or failure to commence, enroll or complete clinical trials, fulfill regulatory requirements and obtain FDA approval for our drug candidates could have a material adverse effect on our cost to develop and commercialize, and our ability to generate revenue from, a particular drug candidate.</w:t>
      </w:r>
    </w:p>
    <w:p>
      <w:pPr>
        <w:spacing w:after="0" w:line="182" w:lineRule="exact"/>
        <w:rPr>
          <w:sz w:val="20"/>
          <w:szCs w:val="20"/>
          <w:color w:val="auto"/>
        </w:rPr>
      </w:pPr>
    </w:p>
    <w:p>
      <w:pPr>
        <w:ind w:left="1260" w:right="439"/>
        <w:spacing w:after="0" w:line="291" w:lineRule="auto"/>
        <w:rPr>
          <w:sz w:val="20"/>
          <w:szCs w:val="20"/>
          <w:color w:val="auto"/>
        </w:rPr>
      </w:pPr>
      <w:r>
        <w:rPr>
          <w:rFonts w:ascii="Arial" w:cs="Arial" w:eastAsia="Arial" w:hAnsi="Arial"/>
          <w:sz w:val="17"/>
          <w:szCs w:val="17"/>
          <w:b w:val="1"/>
          <w:bCs w:val="1"/>
          <w:i w:val="1"/>
          <w:iCs w:val="1"/>
          <w:color w:val="auto"/>
        </w:rPr>
        <w:t>If serious adverse or unacceptable side effects are identified during the development of our drug candidates, we may need to abandon or limit our development of some of our drug candidates.</w:t>
      </w:r>
    </w:p>
    <w:p>
      <w:pPr>
        <w:spacing w:after="0" w:line="79"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If our drug candidates are associated with serious adverse events or undesirable side effects in clinical trials or have characteristics that are unexpected,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early-stage testing are later found to cause side effects that prevent further development of the drug. Currently marketed therapies for the treatment of cancer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 with other marketed therapies. In addition, when used in combination with other marketed therapies, our drug candidates may exacerbate adverse events associated with the marketed therapy.</w:t>
      </w:r>
    </w:p>
    <w:p>
      <w:pPr>
        <w:spacing w:after="0" w:line="193" w:lineRule="exact"/>
        <w:rPr>
          <w:sz w:val="20"/>
          <w:szCs w:val="20"/>
          <w:color w:val="auto"/>
        </w:rPr>
      </w:pPr>
    </w:p>
    <w:p>
      <w:pPr>
        <w:ind w:left="1260" w:right="659"/>
        <w:spacing w:after="0" w:line="248" w:lineRule="auto"/>
        <w:rPr>
          <w:sz w:val="20"/>
          <w:szCs w:val="20"/>
          <w:color w:val="auto"/>
        </w:rPr>
      </w:pPr>
      <w:r>
        <w:rPr>
          <w:rFonts w:ascii="Arial" w:cs="Arial" w:eastAsia="Arial" w:hAnsi="Arial"/>
          <w:sz w:val="18"/>
          <w:szCs w:val="18"/>
          <w:b w:val="1"/>
          <w:bCs w:val="1"/>
          <w:i w:val="1"/>
          <w:iCs w:val="1"/>
          <w:color w:val="auto"/>
        </w:rPr>
        <w:t>We may expend our resources to pursue a particular drug candidate or indication and forgo the opportunity to capitalize on drug candidates or indications that may ultimately be more profitable or for which there is a greater likelihood of success.</w:t>
      </w:r>
    </w:p>
    <w:p>
      <w:pPr>
        <w:spacing w:after="0" w:line="114"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Because we have limited financial and managerial resources, we intend to focus on developing drug candidates for specific indications that we identify as most likely to succeed, in terms of both their potential for regulatory approval and commercialization. As a result, we may forego or delay pursuit of opportunities with other drug candidates or for other indications that may prove to have greater commercial potential.</w:t>
      </w:r>
    </w:p>
    <w:p>
      <w:pPr>
        <w:spacing w:after="0" w:line="91"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 candidates.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the drug candidate.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may be unable to manage multiple late-stage clinical trials for a variety of drug candidates simultaneously.</w:t>
      </w:r>
    </w:p>
    <w:p>
      <w:pPr>
        <w:spacing w:after="0" w:line="19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As our current clinical trials progress, we may need to manage multiple late-stage clinical trials simultaneously in order to continue developing all of our current products. The management of late-stage clinical trials is more complex and time consuming than early-stage trials. Typically, early -stage trials involve several hundred patients in no more than 10 to 30 clinical sites. Late- stage (Phase 3) trials may involve up to several thousand patients in up to several hundred clinical sites and may require facilities in several countries. Therefore, the project management required to supervise and control such an extensive program in a compliant manner is substantially larger than early-stage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89" w:lineRule="exact"/>
        <w:rPr>
          <w:sz w:val="20"/>
          <w:szCs w:val="20"/>
          <w:color w:val="auto"/>
        </w:rPr>
      </w:pPr>
    </w:p>
    <w:p>
      <w:pPr>
        <w:ind w:left="1260" w:right="679"/>
        <w:spacing w:after="0" w:line="324" w:lineRule="auto"/>
        <w:rPr>
          <w:sz w:val="20"/>
          <w:szCs w:val="20"/>
          <w:color w:val="auto"/>
        </w:rPr>
      </w:pPr>
      <w:r>
        <w:rPr>
          <w:rFonts w:ascii="Arial" w:cs="Arial" w:eastAsia="Arial" w:hAnsi="Arial"/>
          <w:sz w:val="16"/>
          <w:szCs w:val="16"/>
          <w:b w:val="1"/>
          <w:bCs w:val="1"/>
          <w:i w:val="1"/>
          <w:iCs w:val="1"/>
          <w:color w:val="auto"/>
        </w:rPr>
        <w:t>Failure to successfully validate, develop and obtain regulatory approval for companion diagnostics for certain of our drug candidates could harm our drug development strategy and operational results.</w:t>
      </w:r>
    </w:p>
    <w:p>
      <w:pPr>
        <w:spacing w:after="0" w:line="5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As an element of our clinical development approach, we may seek to screen and identify subsets of</w:t>
      </w:r>
    </w:p>
    <w:p>
      <w:pPr>
        <w:spacing w:after="0" w:line="12"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patients that express a certain biomarker or that have a certain genetic alteration who may derive meaningful</w:t>
      </w:r>
    </w:p>
    <w:p>
      <w:pPr>
        <w:sectPr>
          <w:pgSz w:w="11900" w:h="16838" w:orient="portrait"/>
          <w:cols w:equalWidth="0" w:num="1">
            <w:col w:w="9879"/>
          </w:cols>
          <w:pgMar w:left="580" w:top="131"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benefit from our development drug candidates. To achieve this, one or more of our drug development programs may be dependent on the development and commercialization of a companion diagnostic by us or by third-party collaborators.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 to only those patients who express the specific biomarker it was developed to detect. We or our third-party collaborators may also experience delays in developing a sustainable, reproducible and scalable manufacturing process or transferring that process to commercial partners or negotiating insurance reimbursement for such companion diagnostic, all of which may prevent us from completing our clinical trials or commercializing our drugs on a timely or profitable basis, if at all.</w:t>
      </w:r>
    </w:p>
    <w:p>
      <w:pPr>
        <w:spacing w:after="0" w:line="112"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To date, the FDA has required premarket approval of all companion diagnostics for cancer therapies. 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related drug candidates or, if regulatory approval is obtained, delay or limit our ability to commercialize our related drug candidates.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Any delay in obtaining regulatory approval would have an adverse impact on our ability to earn future revenues.</w:t>
      </w:r>
    </w:p>
    <w:p>
      <w:pPr>
        <w:spacing w:after="0" w:line="17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It is possible that none of the drug candidates that we develop will obtain the regulatory approvals necessary for us to begin commercializing them. The time required to obtain FDA and other approvals is unpredictable but in general takes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84" w:lineRule="exact"/>
        <w:rPr>
          <w:sz w:val="20"/>
          <w:szCs w:val="20"/>
          <w:color w:val="auto"/>
        </w:rPr>
      </w:pPr>
    </w:p>
    <w:p>
      <w:pPr>
        <w:ind w:left="1260" w:right="459"/>
        <w:spacing w:after="0" w:line="262" w:lineRule="auto"/>
        <w:rPr>
          <w:sz w:val="20"/>
          <w:szCs w:val="20"/>
          <w:color w:val="auto"/>
        </w:rPr>
      </w:pPr>
      <w:r>
        <w:rPr>
          <w:rFonts w:ascii="Arial" w:cs="Arial" w:eastAsia="Arial" w:hAnsi="Arial"/>
          <w:sz w:val="17"/>
          <w:szCs w:val="17"/>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91"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may enter into co-development and commercialization partnerships for our drug candidates where appropriate.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Commercialization of Our Drug Candidates</w:t>
      </w:r>
    </w:p>
    <w:p>
      <w:pPr>
        <w:spacing w:after="0" w:line="229" w:lineRule="exact"/>
        <w:rPr>
          <w:sz w:val="20"/>
          <w:szCs w:val="20"/>
          <w:color w:val="auto"/>
        </w:rPr>
      </w:pPr>
    </w:p>
    <w:p>
      <w:pPr>
        <w:jc w:val="both"/>
        <w:ind w:left="1260" w:right="559"/>
        <w:spacing w:after="0" w:line="433" w:lineRule="auto"/>
        <w:rPr>
          <w:sz w:val="20"/>
          <w:szCs w:val="20"/>
          <w:color w:val="auto"/>
        </w:rPr>
      </w:pPr>
      <w:r>
        <w:rPr>
          <w:rFonts w:ascii="Arial" w:cs="Arial" w:eastAsia="Arial" w:hAnsi="Arial"/>
          <w:sz w:val="13"/>
          <w:szCs w:val="13"/>
          <w:b w:val="1"/>
          <w:bCs w:val="1"/>
          <w:i w:val="1"/>
          <w:iCs w:val="1"/>
          <w:color w:val="auto"/>
        </w:rPr>
        <w:t>We may face delays, difficulties or unanticipated costs in establishing sales, marketing and distribution capabilities or seeking a partnership for the commercialization of our drug candidates, even if regulatory approval is obtained.</w:t>
      </w:r>
    </w:p>
    <w:p>
      <w:pPr>
        <w:spacing w:after="0" w:line="1"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We may choose to build a commercial organization which we believe could provide us with the strategic options to either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may not succeed in developing such sales and distribution capabilities, the cost of establishing such sales and distribution capabilities may exceed any product revenue, or our direct marketing and sales efforts may be unsuccessful. We may find it necessary to enter into strategic partnerships, co-promotion or other licensing arrangements. To the extent we enter into such strategic partnerships, co-promotion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 our own or through collaborations with one or more third parties, our future product revenue will suffer, and we may never achieve profitability or become unable to continue the operation of our business.</w:t>
      </w:r>
    </w:p>
    <w:p>
      <w:pPr>
        <w:spacing w:after="0" w:line="196" w:lineRule="exact"/>
        <w:rPr>
          <w:sz w:val="20"/>
          <w:szCs w:val="20"/>
          <w:color w:val="auto"/>
        </w:rPr>
      </w:pPr>
    </w:p>
    <w:p>
      <w:pPr>
        <w:ind w:left="1260" w:right="599"/>
        <w:spacing w:after="0" w:line="324" w:lineRule="auto"/>
        <w:rPr>
          <w:sz w:val="20"/>
          <w:szCs w:val="20"/>
          <w:color w:val="auto"/>
        </w:rPr>
      </w:pPr>
      <w:r>
        <w:rPr>
          <w:rFonts w:ascii="Arial" w:cs="Arial" w:eastAsia="Arial" w:hAnsi="Arial"/>
          <w:sz w:val="16"/>
          <w:szCs w:val="16"/>
          <w:b w:val="1"/>
          <w:bCs w:val="1"/>
          <w:i w:val="1"/>
          <w:iCs w:val="1"/>
          <w:color w:val="auto"/>
        </w:rPr>
        <w:t>If our drug candidates for which we obtain regulatory approval do not achieve broad acceptance from physicians, patients and third-party payors, we may be unable to generate significant revenues, if any.</w:t>
      </w:r>
    </w:p>
    <w:p>
      <w:pPr>
        <w:spacing w:after="0" w:line="57" w:lineRule="exact"/>
        <w:rPr>
          <w:sz w:val="20"/>
          <w:szCs w:val="20"/>
          <w:color w:val="auto"/>
        </w:rPr>
      </w:pPr>
    </w:p>
    <w:p>
      <w:pPr>
        <w:jc w:val="both"/>
        <w:ind w:left="1260" w:right="439" w:firstLine="360"/>
        <w:spacing w:after="0" w:line="255" w:lineRule="auto"/>
        <w:rPr>
          <w:sz w:val="20"/>
          <w:szCs w:val="20"/>
          <w:color w:val="auto"/>
        </w:rPr>
      </w:pPr>
      <w:r>
        <w:rPr>
          <w:rFonts w:ascii="Arial" w:cs="Arial" w:eastAsia="Arial" w:hAnsi="Arial"/>
          <w:sz w:val="17"/>
          <w:szCs w:val="17"/>
          <w:color w:val="auto"/>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 launch and after approval.</w:t>
      </w:r>
    </w:p>
    <w:p>
      <w:pPr>
        <w:ind w:left="1260" w:right="759"/>
        <w:spacing w:after="0" w:line="243" w:lineRule="auto"/>
        <w:rPr>
          <w:sz w:val="20"/>
          <w:szCs w:val="20"/>
          <w:color w:val="auto"/>
        </w:rPr>
      </w:pPr>
      <w:r>
        <w:rPr>
          <w:rFonts w:ascii="Arial" w:cs="Arial" w:eastAsia="Arial" w:hAnsi="Arial"/>
          <w:sz w:val="18"/>
          <w:szCs w:val="18"/>
          <w:color w:val="auto"/>
        </w:rPr>
        <w:t>Physicians may elect not to prescribe our drugs, and patients may elect not to request or take them, for a variety of reasons, including:</w:t>
      </w:r>
    </w:p>
    <w:p>
      <w:pPr>
        <w:spacing w:after="0" w:line="78" w:lineRule="exact"/>
        <w:rPr>
          <w:sz w:val="20"/>
          <w:szCs w:val="20"/>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a drug’s FDA-approved labeling;</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or the availability of alternative drugs for the targeted indications for any of our drug candidates;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in the approved indications for our drug candidates;</w:t>
      </w:r>
    </w:p>
    <w:p>
      <w:pPr>
        <w:spacing w:after="0" w:line="117"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availability, market acceptance and reimbursement for the companion diagnostic, where applicable;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drugs;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adverse side effects;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effectiveness of education, sales, marketing and distribution support;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drugs;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publicity about our drug candidates or favorable publicity about competitive drugs;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convenience and ease of administration of our drug candidates;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willingness of third-party payors to reimburse for the cost of our drug candidates.</w:t>
      </w:r>
    </w:p>
    <w:p>
      <w:pPr>
        <w:spacing w:after="0" w:line="144"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If our future drugs fail to achieve market acceptance, we will not be able to generate significant revenues and may never achieve profitability.</w:t>
      </w:r>
    </w:p>
    <w:p>
      <w:pPr>
        <w:spacing w:after="0" w:line="170" w:lineRule="exact"/>
        <w:rPr>
          <w:sz w:val="20"/>
          <w:szCs w:val="20"/>
          <w:color w:val="auto"/>
        </w:rPr>
      </w:pPr>
    </w:p>
    <w:p>
      <w:pPr>
        <w:ind w:left="1260" w:right="599"/>
        <w:spacing w:after="0" w:line="263" w:lineRule="auto"/>
        <w:rPr>
          <w:sz w:val="20"/>
          <w:szCs w:val="20"/>
          <w:color w:val="auto"/>
        </w:rPr>
      </w:pPr>
      <w:r>
        <w:rPr>
          <w:rFonts w:ascii="Arial" w:cs="Arial" w:eastAsia="Arial" w:hAnsi="Arial"/>
          <w:sz w:val="18"/>
          <w:szCs w:val="18"/>
          <w:b w:val="1"/>
          <w:bCs w:val="1"/>
          <w:i w:val="1"/>
          <w:iCs w:val="1"/>
          <w:color w:val="auto"/>
        </w:rPr>
        <w:t>Even if any of our drug candidates receive FDA approval, the terms of the approval may limit such drug’s commercial potential. Additionally, even after receipt of FDA approval, such drug would be subject to substantial, ongoing regulatory requirements.</w:t>
      </w:r>
    </w:p>
    <w:p>
      <w:pPr>
        <w:spacing w:after="0" w:line="116"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Additionally, even after granting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82"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14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88"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of any of our drug candidates. If there is not sufficient reimbursement for our future drugs, it is less likely that such drugs will be widely used.</w:t>
      </w:r>
    </w:p>
    <w:p>
      <w:pPr>
        <w:spacing w:after="0" w:line="116" w:lineRule="exact"/>
        <w:rPr>
          <w:sz w:val="20"/>
          <w:szCs w:val="20"/>
          <w:color w:val="auto"/>
        </w:rPr>
      </w:pPr>
    </w:p>
    <w:p>
      <w:pPr>
        <w:ind w:left="1260" w:right="639" w:firstLine="360"/>
        <w:spacing w:after="0" w:line="308" w:lineRule="auto"/>
        <w:rPr>
          <w:sz w:val="20"/>
          <w:szCs w:val="20"/>
          <w:color w:val="auto"/>
        </w:rPr>
      </w:pPr>
      <w:r>
        <w:rPr>
          <w:rFonts w:ascii="Arial" w:cs="Arial" w:eastAsia="Arial" w:hAnsi="Arial"/>
          <w:sz w:val="17"/>
          <w:szCs w:val="17"/>
          <w:color w:val="auto"/>
        </w:rPr>
        <w:t>Market acceptance and sales of any of our drug candidates for which we obtain regulatory approval will depend on reimbursement policies and may be affected by future health care reform measures in both</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spacing w:after="0" w:line="11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programs, or regulatory changes or relaxation of laws that restrict imports of drugs from other countries, could reduce the net price we receive for any future marketed drugs. In addition, our future drugs might not ultimately be considered cost-effective.</w:t>
      </w:r>
    </w:p>
    <w:p>
      <w:pPr>
        <w:spacing w:after="0" w:line="126"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We cannot be certain that reimbursement will be available for any drug candidates that we develop. 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spacing w:after="0" w:line="188" w:lineRule="exact"/>
        <w:rPr>
          <w:sz w:val="20"/>
          <w:szCs w:val="20"/>
          <w:color w:val="auto"/>
        </w:rPr>
      </w:pPr>
    </w:p>
    <w:p>
      <w:pPr>
        <w:ind w:left="1260" w:right="1279"/>
        <w:spacing w:after="0" w:line="261" w:lineRule="auto"/>
        <w:rPr>
          <w:sz w:val="20"/>
          <w:szCs w:val="20"/>
          <w:color w:val="auto"/>
        </w:rPr>
      </w:pPr>
      <w:r>
        <w:rPr>
          <w:rFonts w:ascii="Arial" w:cs="Arial" w:eastAsia="Arial" w:hAnsi="Arial"/>
          <w:sz w:val="18"/>
          <w:szCs w:val="18"/>
          <w:b w:val="1"/>
          <w:bCs w:val="1"/>
          <w:i w:val="1"/>
          <w:iCs w:val="1"/>
          <w:color w:val="auto"/>
        </w:rPr>
        <w:t>Other factors could affect the demand for and sales and profitability of any drug candidates that we may commercialize in the future.</w:t>
      </w:r>
    </w:p>
    <w:p>
      <w:pPr>
        <w:spacing w:after="0" w:line="103"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In general, other factors that could affect the demand for and sales and profitability of our future drugs include, but are not limited to:</w:t>
      </w:r>
    </w:p>
    <w:p>
      <w:pPr>
        <w:spacing w:after="0" w:line="49"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drugs;</w:t>
      </w:r>
    </w:p>
    <w:p>
      <w:pPr>
        <w:spacing w:after="0" w:line="117"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or any other of our partners’ pricing decisions, as applicable, including a decision to increase or decrease the price of a drug, and the pricing decisions of our competitors;</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and third-party payor reimbursement and coverage decisions that affect the utilization of our future drugs and competing drugs;</w:t>
      </w:r>
    </w:p>
    <w:p>
      <w:pPr>
        <w:spacing w:after="0" w:line="62"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which could cause the sales of our future drugs to decrease or a future drug to be recalled;</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degree of patent protection afforded our future drugs by patents granted to or licensed by us and by the outcome of litigation involving our or any of our licensor’s patents;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marketing exclusivity, if any, awarded by the FDA to our drugs;</w:t>
      </w:r>
    </w:p>
    <w:p>
      <w:pPr>
        <w:spacing w:after="0" w:line="117" w:lineRule="exact"/>
        <w:rPr>
          <w:rFonts w:ascii="Arial" w:cs="Arial" w:eastAsia="Arial" w:hAnsi="Arial"/>
          <w:sz w:val="18"/>
          <w:szCs w:val="18"/>
          <w:color w:val="auto"/>
        </w:rPr>
      </w:pPr>
    </w:p>
    <w:p>
      <w:pPr>
        <w:ind w:left="1800" w:right="1019" w:hanging="180"/>
        <w:spacing w:after="0" w:line="308"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outcome of litigation involving patents of other companies concerning our future drugs or processes related to production and formulation of those drugs or uses of those drugs;</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of market penetration by competing drugs;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144"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Any of these factors could have a material adverse effect on the sales of any drug candidates that we may commercialize in the future.</w:t>
      </w:r>
    </w:p>
    <w:p>
      <w:pPr>
        <w:spacing w:after="0" w:line="171" w:lineRule="exact"/>
        <w:rPr>
          <w:sz w:val="20"/>
          <w:szCs w:val="20"/>
          <w:color w:val="auto"/>
        </w:rPr>
      </w:pPr>
    </w:p>
    <w:p>
      <w:pPr>
        <w:ind w:left="1260" w:right="1099"/>
        <w:spacing w:after="0" w:line="261" w:lineRule="auto"/>
        <w:rPr>
          <w:sz w:val="20"/>
          <w:szCs w:val="20"/>
          <w:color w:val="auto"/>
        </w:rPr>
      </w:pPr>
      <w:r>
        <w:rPr>
          <w:rFonts w:ascii="Arial" w:cs="Arial" w:eastAsia="Arial" w:hAnsi="Arial"/>
          <w:sz w:val="18"/>
          <w:szCs w:val="18"/>
          <w:b w:val="1"/>
          <w:bCs w:val="1"/>
          <w:i w:val="1"/>
          <w:iCs w:val="1"/>
          <w:color w:val="auto"/>
        </w:rPr>
        <w:t>Failure to obtain regulatory approvals in foreign jurisdictions will prevent us from marketing our products internationally.</w:t>
      </w:r>
    </w:p>
    <w:p>
      <w:pPr>
        <w:spacing w:after="0" w:line="103"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7"/>
          <w:szCs w:val="17"/>
          <w:color w:val="auto"/>
        </w:rPr>
        <w:t>We may seek approval for our drug candidates outside the United States and may market future products in international markets. In order to market our future products in the European Economic Area,</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91" w:lineRule="auto"/>
        <w:rPr>
          <w:sz w:val="20"/>
          <w:szCs w:val="20"/>
          <w:color w:val="auto"/>
        </w:rPr>
      </w:pPr>
      <w:r>
        <w:rPr>
          <w:rFonts w:ascii="Arial" w:cs="Arial" w:eastAsia="Arial" w:hAnsi="Arial"/>
          <w:sz w:val="17"/>
          <w:szCs w:val="17"/>
          <w:color w:val="auto"/>
        </w:rPr>
        <w:t>or EEA, and many other foreign jurisdictions, we must obtain separate regulatory approvals. Specifically, in the EEA, medicinal products can only be commercialized after obtaining a Marketing Authorization, or MA.</w:t>
      </w:r>
    </w:p>
    <w:p>
      <w:pPr>
        <w:spacing w:after="0" w:line="66"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Before granting the MA, the European Medicines Agency or the competent authorities of the member states of the EEA make an assessment of the risk-benefit balance of the product on the basis of scientific criteria concerning its quality, safety and efficacy.</w:t>
      </w:r>
    </w:p>
    <w:p>
      <w:pPr>
        <w:spacing w:after="0" w:line="114"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80" w:lineRule="exact"/>
        <w:rPr>
          <w:sz w:val="20"/>
          <w:szCs w:val="20"/>
          <w:color w:val="auto"/>
        </w:rPr>
      </w:pPr>
    </w:p>
    <w:p>
      <w:pPr>
        <w:ind w:left="1260" w:right="1019"/>
        <w:spacing w:after="0" w:line="362" w:lineRule="auto"/>
        <w:rPr>
          <w:sz w:val="20"/>
          <w:szCs w:val="20"/>
          <w:color w:val="auto"/>
        </w:rPr>
      </w:pPr>
      <w:r>
        <w:rPr>
          <w:rFonts w:ascii="Arial" w:cs="Arial" w:eastAsia="Arial" w:hAnsi="Arial"/>
          <w:sz w:val="15"/>
          <w:szCs w:val="15"/>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33"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If our drug candidates are approved for commercialization outside of the United States, we expect that we will be subject to additional risks related to international operations and entering into international business relationships, including:</w:t>
      </w:r>
    </w:p>
    <w:p>
      <w:pPr>
        <w:spacing w:after="0" w:line="60"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 secret and patent rights;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48"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48"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workforce uncertainty in countries where employment regulations are different than, and labor unrest is more common than, in the United States;</w:t>
      </w:r>
    </w:p>
    <w:p>
      <w:pPr>
        <w:spacing w:after="0" w:line="62"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hurricanes, floods and fires;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29"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90"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43" w:lineRule="auto"/>
        <w:rPr>
          <w:sz w:val="20"/>
          <w:szCs w:val="20"/>
          <w:color w:val="auto"/>
        </w:rPr>
      </w:pPr>
      <w:r>
        <w:rPr>
          <w:rFonts w:ascii="Arial" w:cs="Arial" w:eastAsia="Arial" w:hAnsi="Arial"/>
          <w:sz w:val="18"/>
          <w:szCs w:val="18"/>
          <w:color w:val="auto"/>
        </w:rPr>
        <w:t>remainder of our clinical development activities. If any of these third parties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188" w:lineRule="exact"/>
        <w:rPr>
          <w:sz w:val="20"/>
          <w:szCs w:val="20"/>
          <w:color w:val="auto"/>
        </w:rPr>
      </w:pPr>
    </w:p>
    <w:p>
      <w:pPr>
        <w:ind w:left="1260" w:right="619"/>
        <w:spacing w:after="0" w:line="294" w:lineRule="auto"/>
        <w:rPr>
          <w:sz w:val="20"/>
          <w:szCs w:val="20"/>
          <w:color w:val="auto"/>
        </w:rPr>
      </w:pPr>
      <w:r>
        <w:rPr>
          <w:rFonts w:ascii="Arial" w:cs="Arial" w:eastAsia="Arial" w:hAnsi="Arial"/>
          <w:sz w:val="16"/>
          <w:szCs w:val="16"/>
          <w:b w:val="1"/>
          <w:bCs w:val="1"/>
          <w:i w:val="1"/>
          <w:iCs w:val="1"/>
          <w:color w:val="auto"/>
        </w:rPr>
        <w:t>We rely on contract manufacturers over whom we have limited control. Should the cost, delivery and quality of clinical materials manufactured by us in our Fall River facility or supplied by contract manufacturers vary to our disadvantage, our business operations could suffer significant harm.</w:t>
      </w:r>
    </w:p>
    <w:p>
      <w:pPr>
        <w:spacing w:after="0" w:line="66"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have limited experience in commercial manufacturing. We rely on CMOs to manufacture drug substance and drug product for any late-stage clinical studies of our drug candidates as well as for future commercial supplies. Our ability to conduct late-stage clinical trials, manufacture and commercialize our drug candidates, if regulatory approval is obtained, depends on the ability of such third parties to manufacture our drug candidates on a large scale at a competitive cost and in accordance with cGMP and foreign regulatory requirements, if applicable. We also rely on CMOs for labeling and storage for studies outside the US. In order for us to establish our own commercial manufacturing facility, we would require substantial additional funds and would need to make facility modifications, hire and retain significant additional personnel and comply with extensive cGMP regulations applicable to such a facility. The commercial manufacturing facility would also need to be licensed for the production of our drug candidates by the FDA and meet other regulatory standards.</w:t>
      </w:r>
    </w:p>
    <w:p>
      <w:pPr>
        <w:spacing w:after="0" w:line="12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Prior to approval of any drug candidate, the FDA must review and approve validation studies for drug product. 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 up of manufacturing may result in unanticipated technical challenges and may require additional validation studies that the FDA must review and approve. CMOs may encounter difficulties in scaling up production, including problems involving raw material suppliers, production yields, technical difficulties, scaled-up product characteristics, quality control and assurance, shortage of qualified personnel, capacity constraints, changing priorities within the CMOs,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a reliable source of drug product becomes critical to commercial success. The commercial viability of any of our drug candidates, if approved, will depend on the ability of our contract manufacturers to produce drug product on a large scale. Failure to achieve this level of supply can jeopardize and prevent the successful commercialization of the drug.</w:t>
      </w:r>
    </w:p>
    <w:p>
      <w:pPr>
        <w:spacing w:after="0" w:line="318"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We operate our own cGMP manufacturing facility in Fall River, Massachusetts, to produce drug substance for our current and planned early -stage clinical trials. Our Fall River manufacturing facility has 250L and 1000L bioreactor capacity and is able to manufacture in compliance with FDA and EU regulations, allowing us to distribute potential products to clinical sites in the U.S., EU and ROW for early-stage clinical trials. We currently manufacture CDX-0159, CDX-1140, CDX-301 and CDX- 527 drug substance in our Fall River facility for our current and planned Phase 1 and Phase 2 clinical trials. Additional manufacturing options are under review and may involve utilization of the Fall River facility and/or a CMO. All products are then filled at CMOs. Any manufacturing failures or compliance issues at contract manufacturers could cause delays in our Phase 1 and Phase 2 clinical studies for these drug candidates.</w:t>
      </w:r>
    </w:p>
    <w:p>
      <w:pPr>
        <w:spacing w:after="0" w:line="107"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Our current CDX-0159 drug product is administered intravenously. In 2021, we plan to manufacture CDX-0159 in subcutaneous form to move forward with a potential self-administration at home setting versus the need for intravenous dosing in a hospital or clinic setting. The subcutaneous form should improve the patient experience if the product becomes available commercially. If we are unsuccessful in manufacturing CDX- 0159 in subcutaneous form, we will continue to produce the product in the current form for intravenous administration.</w:t>
      </w:r>
    </w:p>
    <w:p>
      <w:pPr>
        <w:spacing w:after="0" w:line="122" w:lineRule="exact"/>
        <w:rPr>
          <w:sz w:val="20"/>
          <w:szCs w:val="20"/>
          <w:color w:val="auto"/>
        </w:rPr>
      </w:pPr>
    </w:p>
    <w:p>
      <w:pPr>
        <w:ind w:left="1260" w:right="439" w:firstLine="360"/>
        <w:spacing w:after="0" w:line="324" w:lineRule="auto"/>
        <w:rPr>
          <w:sz w:val="20"/>
          <w:szCs w:val="20"/>
          <w:color w:val="auto"/>
        </w:rPr>
      </w:pPr>
      <w:r>
        <w:rPr>
          <w:rFonts w:ascii="Arial" w:cs="Arial" w:eastAsia="Arial" w:hAnsi="Arial"/>
          <w:sz w:val="16"/>
          <w:szCs w:val="16"/>
          <w:color w:val="auto"/>
        </w:rPr>
        <w:t>Our leading drug candidates require specialized manufacturing capabilities and processes. We may face difficulty in securing commitments from U.S. and foreign contract manufacturers as these manufacturers</w:t>
      </w:r>
    </w:p>
    <w:p>
      <w:pPr>
        <w:sectPr>
          <w:pgSz w:w="11900" w:h="16838" w:orient="portrait"/>
          <w:cols w:equalWidth="0" w:num="1">
            <w:col w:w="9879"/>
          </w:cols>
          <w:pgMar w:left="580" w:top="131" w:right="1440" w:bottom="1440" w:gutter="0" w:footer="0" w:header="0"/>
        </w:sect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1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There can be no assurances that contract manufacturers will be able to meet our timetable and requirements. Further, contract manufacturers must operate in compliance with cGMP and failure to do so could result in, among other things, the disruption of product supplies. As noted above, non-U.S. contract manufacturers may face special challenges in complying with cGMP requirements, and although we are not currently dependent on non -U.S.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manufacture, sell and deliver products on a timely and competitive basis.</w:t>
      </w:r>
    </w:p>
    <w:p>
      <w:pPr>
        <w:spacing w:after="0" w:line="184"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b w:val="1"/>
          <w:bCs w:val="1"/>
          <w:i w:val="1"/>
          <w:iCs w:val="1"/>
          <w:color w:val="auto"/>
        </w:rPr>
        <w:t>We currently rely on third-party collaborators to develop and commercialize companion diagnostic tests for certain of our drug candidates.</w:t>
      </w:r>
    </w:p>
    <w:p>
      <w:pPr>
        <w:spacing w:after="0" w:line="103" w:lineRule="exact"/>
        <w:rPr>
          <w:sz w:val="20"/>
          <w:szCs w:val="20"/>
          <w:color w:val="auto"/>
        </w:rPr>
      </w:pPr>
    </w:p>
    <w:p>
      <w:pPr>
        <w:ind w:left="1260" w:right="559" w:firstLine="360"/>
        <w:spacing w:after="0" w:line="239" w:lineRule="auto"/>
        <w:rPr>
          <w:sz w:val="20"/>
          <w:szCs w:val="20"/>
          <w:color w:val="auto"/>
        </w:rPr>
      </w:pPr>
      <w:r>
        <w:rPr>
          <w:rFonts w:ascii="Arial" w:cs="Arial" w:eastAsia="Arial" w:hAnsi="Arial"/>
          <w:sz w:val="18"/>
          <w:szCs w:val="18"/>
          <w:color w:val="auto"/>
        </w:rPr>
        <w:t>We do not have experience or capabilities in developing, administering, obtaining regulatory approval for, or commercializing companion diagnostic tests and will need to rely in large part on third -party collaborators to perform these functions. Companion diagnostic tests are subject to regulation by the FDA and similar regulatory authorities outside of the United States as medical devices and require separate regulatory approval prior to commercialization. We are dependent on such third -party collaborators to obtain regulatory approval and commercialize such companion diagnostic tests. Such third-party collaborators:</w:t>
      </w:r>
    </w:p>
    <w:p>
      <w:pPr>
        <w:spacing w:after="0" w:line="83"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not perform its obligations as expected or as required under our collaboration agreement;</w:t>
      </w:r>
    </w:p>
    <w:p>
      <w:pPr>
        <w:spacing w:after="0" w:line="103"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 test;</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test in the clinical community;</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not pursue commercialization of the companion diagnostic test even if they receive any required regulatory approvals;</w:t>
      </w:r>
    </w:p>
    <w:p>
      <w:pPr>
        <w:spacing w:after="0" w:line="62"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the companion diagnostic test;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15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If such third-party collaborators fail to develop, obtain regulatory approval or commercialize the companion diagnostic test,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74"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w:t>
      </w:r>
    </w:p>
    <w:p>
      <w:pPr>
        <w:spacing w:after="0" w:line="90"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Because we rely on third parties to develop our drug candidates,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86" w:lineRule="exact"/>
        <w:rPr>
          <w:sz w:val="20"/>
          <w:szCs w:val="20"/>
          <w:color w:val="auto"/>
        </w:rPr>
      </w:pPr>
    </w:p>
    <w:p>
      <w:pPr>
        <w:ind w:left="1260" w:right="879"/>
        <w:spacing w:after="0" w:line="362"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2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Events outside of our control, including natural disasters and public health emergencies, could severely disrupt our operations and have a material adverse effect on our business, results of operations, financial condition and prospects. If a natural disaster, or public health emergency such as the novel coronavirus, power outage or other event occurred that prevented us from using all or a significant portion of our manufacturing and lab facilities, that damaged critical infrastructure, such as third-party manufacturing facilities, or that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Business Operations</w:t>
      </w:r>
    </w:p>
    <w:p>
      <w:pPr>
        <w:spacing w:after="0" w:line="229" w:lineRule="exact"/>
        <w:rPr>
          <w:sz w:val="20"/>
          <w:szCs w:val="20"/>
          <w:color w:val="auto"/>
        </w:rPr>
      </w:pPr>
    </w:p>
    <w:p>
      <w:pPr>
        <w:ind w:left="1260" w:right="1099"/>
        <w:spacing w:after="0" w:line="261"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03"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From time to time we may consider strategic transactions, including acquisitions of companies, such as our acquisition of Kolltan in the fourth quarter of 2016, asset purchases and out- 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acquisitions of assets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6"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drug candidates or technologies;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62"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64" w:lineRule="exact"/>
        <w:rPr>
          <w:sz w:val="20"/>
          <w:szCs w:val="20"/>
          <w:color w:val="auto"/>
        </w:rPr>
      </w:pPr>
    </w:p>
    <w:p>
      <w:pPr>
        <w:ind w:left="1260" w:right="559"/>
        <w:spacing w:after="0" w:line="291" w:lineRule="auto"/>
        <w:rPr>
          <w:sz w:val="20"/>
          <w:szCs w:val="20"/>
          <w:color w:val="auto"/>
        </w:rPr>
      </w:pPr>
      <w:r>
        <w:rPr>
          <w:rFonts w:ascii="Arial" w:cs="Arial" w:eastAsia="Arial" w:hAnsi="Arial"/>
          <w:sz w:val="17"/>
          <w:szCs w:val="17"/>
          <w:b w:val="1"/>
          <w:bCs w:val="1"/>
          <w:i w:val="1"/>
          <w:iCs w:val="1"/>
          <w:color w:val="auto"/>
        </w:rPr>
        <w:t>We may expand our clinical development, regulatory and sales and marketing capabilities, and as a result, we may encounter difficulties in managing our growth, which could disrupt our operations.</w:t>
      </w:r>
    </w:p>
    <w:p>
      <w:pPr>
        <w:spacing w:after="0" w:line="6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expect that if our drug candidates continue to progress in development, we may require significant additional investment in personnel, management systems and resources, particularly in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not realize the anticipated benefits of our acquisition of Kolltan.</w:t>
      </w:r>
    </w:p>
    <w:p>
      <w:pPr>
        <w:spacing w:after="0" w:line="158"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success of the Kolltan merger will depend on, among other things, the successful development of the preclinical and clinical programs acquired from Kolltan. The time periods to receive approvals from the FDA and other regulatory agencies are subject to uncertainty and therefore we will continue to evaluate the development progress for these preclinical and clinical programs and monitor the remaining intangible assets for further impairment. If we experience further delays or do not successfully develop the preclinical and clinical programs acquired from Kolltan, we may incur further impairment charges and may not realize the anticipated benefits of the Kolltan acquisition, which would have an adverse effect on our business prospects and results of operations.</w:t>
      </w:r>
    </w:p>
    <w:p>
      <w:pPr>
        <w:spacing w:after="0" w:line="194"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b w:val="1"/>
          <w:bCs w:val="1"/>
          <w:i w:val="1"/>
          <w:iCs w:val="1"/>
          <w:color w:val="auto"/>
        </w:rPr>
        <w:t>We may not be able to successfully integrate our existing technology or to modify our technologies to create new immunotherapeutic drugs.</w:t>
      </w:r>
    </w:p>
    <w:p>
      <w:pPr>
        <w:spacing w:after="0" w:line="103"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If we are able to integrate our acquired assets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we may face the loss of our investment of financial resources and time in the integration process.</w:t>
      </w:r>
    </w:p>
    <w:p>
      <w:pPr>
        <w:spacing w:after="0" w:line="110"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We believe that our immunotherapy technology portfolio may offer opportunities to develop immunotherapeutic drugs that treat a variety of cancers and inflammatory and infectious diseases by stimulating a patient’s immune system against those diseases. If our immunotherapy technology portfolio cannot be used to create effective immunotherapeutic drugs against a variety of diseases, we may lose all or portions of our investment in development efforts for new drug candidates.</w:t>
      </w:r>
    </w:p>
    <w:p>
      <w:pPr>
        <w:spacing w:after="0" w:line="189" w:lineRule="exact"/>
        <w:rPr>
          <w:sz w:val="20"/>
          <w:szCs w:val="20"/>
          <w:color w:val="auto"/>
        </w:rPr>
      </w:pPr>
    </w:p>
    <w:p>
      <w:pPr>
        <w:ind w:left="1260" w:right="459"/>
        <w:spacing w:after="0" w:line="324" w:lineRule="auto"/>
        <w:rPr>
          <w:sz w:val="20"/>
          <w:szCs w:val="20"/>
          <w:color w:val="auto"/>
        </w:rPr>
      </w:pPr>
      <w:r>
        <w:rPr>
          <w:rFonts w:ascii="Arial" w:cs="Arial" w:eastAsia="Arial" w:hAnsi="Arial"/>
          <w:sz w:val="16"/>
          <w:szCs w:val="16"/>
          <w:b w:val="1"/>
          <w:bCs w:val="1"/>
          <w:i w:val="1"/>
          <w:iCs w:val="1"/>
          <w:color w:val="auto"/>
        </w:rPr>
        <w:t>Our internal computer systems, or those of our CROs, CMOs, or other contractors or consultants, may fail or suffer security breaches, which could result in a material disruption of our drug development programs.</w:t>
      </w:r>
    </w:p>
    <w:p>
      <w:pPr>
        <w:spacing w:after="0" w:line="57"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CMOs, and other contractors and consultants are vulnerable to damage from cyberattacks, malicious intrusion, computer viruses, unauthorized access, loss of data privacy, natural disasters, terrorism, war and telecommunication, electrical failures or other significant disruption. If such an event were to occur and cause interruptions in our operations, it could result in a material disruption of our drug development programs and commercialization efforts. For example, the loss of clinical study data from completed or ongoing clinical</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studies for any of our drug candidates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spacing w:after="0" w:line="188" w:lineRule="exact"/>
        <w:rPr>
          <w:sz w:val="20"/>
          <w:szCs w:val="20"/>
          <w:color w:val="auto"/>
        </w:rPr>
      </w:pPr>
    </w:p>
    <w:p>
      <w:pPr>
        <w:ind w:left="1260" w:right="1019"/>
        <w:spacing w:after="0" w:line="277" w:lineRule="auto"/>
        <w:rPr>
          <w:sz w:val="20"/>
          <w:szCs w:val="20"/>
          <w:color w:val="auto"/>
        </w:rPr>
      </w:pPr>
      <w:r>
        <w:rPr>
          <w:rFonts w:ascii="Arial" w:cs="Arial" w:eastAsia="Arial" w:hAnsi="Arial"/>
          <w:sz w:val="18"/>
          <w:szCs w:val="18"/>
          <w:b w:val="1"/>
          <w:bCs w:val="1"/>
          <w:i w:val="1"/>
          <w:iCs w:val="1"/>
          <w:color w:val="auto"/>
        </w:rPr>
        <w:t>Our business requires us to use hazardous materials, which increases our exposure to dangerous and costly accidents.</w:t>
      </w:r>
    </w:p>
    <w:p>
      <w:pPr>
        <w:spacing w:after="0" w:line="89"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95"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b w:val="1"/>
          <w:bCs w:val="1"/>
          <w:i w:val="1"/>
          <w:iCs w:val="1"/>
          <w:color w:val="auto"/>
        </w:rPr>
        <w:t>We face the risk of product liability claims, which could exceed our insurance coverage, and product recalls, each of which could deplete our cash resources.</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 care providers or by individuals, organizations or companies selling our products. Product liability claims can be expensive to defend, even if the drug or drug candidate did not actually cause the alleged injury or harm.</w:t>
      </w:r>
    </w:p>
    <w:p>
      <w:pPr>
        <w:spacing w:after="0" w:line="127"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Insurance covering product liability claims becomes increasingly expensive as a drug candidate moves through the development pipeline to commercialization. Under our license agreements, we are required to maintain clinical trial liability insurance coverage up to $15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left="1260" w:right="699"/>
        <w:spacing w:after="0" w:line="340" w:lineRule="auto"/>
        <w:rPr>
          <w:sz w:val="20"/>
          <w:szCs w:val="20"/>
          <w:color w:val="auto"/>
        </w:rPr>
      </w:pPr>
      <w:r>
        <w:rPr>
          <w:rFonts w:ascii="Arial" w:cs="Arial" w:eastAsia="Arial" w:hAnsi="Arial"/>
          <w:sz w:val="15"/>
          <w:szCs w:val="15"/>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50" w:lineRule="exact"/>
        <w:rPr>
          <w:sz w:val="20"/>
          <w:szCs w:val="20"/>
          <w:color w:val="auto"/>
        </w:rPr>
      </w:pPr>
    </w:p>
    <w:p>
      <w:pPr>
        <w:jc w:val="both"/>
        <w:ind w:left="1260" w:right="579" w:firstLine="360"/>
        <w:spacing w:after="0" w:line="287"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w:t>
      </w:r>
    </w:p>
    <w:p>
      <w:pPr>
        <w:spacing w:after="0" w:line="2"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 or permit our competitors to use the technology. Termination of these licenses or reduction or elimination of our licensed rights may result in our having to negotiate new or</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1019"/>
        <w:spacing w:after="0" w:line="248" w:lineRule="auto"/>
        <w:rPr>
          <w:sz w:val="20"/>
          <w:szCs w:val="20"/>
          <w:color w:val="auto"/>
        </w:rPr>
      </w:pPr>
      <w:r>
        <w:rPr>
          <w:rFonts w:ascii="Arial" w:cs="Arial" w:eastAsia="Arial" w:hAnsi="Arial"/>
          <w:sz w:val="18"/>
          <w:szCs w:val="18"/>
          <w:color w:val="auto"/>
        </w:rPr>
        <w:t>reinstated licenses with less favorable terms. Moreover, we may lose our right to market and sell any products based on the licensed technology. The occurrence of such events could materially harm our business.</w:t>
      </w:r>
    </w:p>
    <w:p>
      <w:pPr>
        <w:spacing w:after="0" w:line="182" w:lineRule="exact"/>
        <w:rPr>
          <w:sz w:val="20"/>
          <w:szCs w:val="20"/>
          <w:color w:val="auto"/>
        </w:rPr>
      </w:pPr>
    </w:p>
    <w:p>
      <w:pPr>
        <w:jc w:val="both"/>
        <w:ind w:left="1260" w:right="499"/>
        <w:spacing w:after="0" w:line="248" w:lineRule="auto"/>
        <w:rPr>
          <w:sz w:val="20"/>
          <w:szCs w:val="20"/>
          <w:color w:val="auto"/>
        </w:rPr>
      </w:pPr>
      <w:r>
        <w:rPr>
          <w:rFonts w:ascii="Arial" w:cs="Arial" w:eastAsia="Arial" w:hAnsi="Arial"/>
          <w:sz w:val="18"/>
          <w:szCs w:val="18"/>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pacing w:after="0" w:line="101"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w:t>
      </w:r>
    </w:p>
    <w:p>
      <w:pPr>
        <w:spacing w:after="0" w:line="124"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w:t>
      </w:r>
    </w:p>
    <w:p>
      <w:pPr>
        <w:spacing w:after="0" w:line="12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75" w:lineRule="exact"/>
        <w:rPr>
          <w:sz w:val="20"/>
          <w:szCs w:val="20"/>
          <w:color w:val="auto"/>
        </w:rPr>
      </w:pPr>
    </w:p>
    <w:p>
      <w:pPr>
        <w:ind w:left="1260" w:right="399"/>
        <w:spacing w:after="0" w:line="261"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90"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89"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b w:val="1"/>
          <w:bCs w:val="1"/>
          <w:i w:val="1"/>
          <w:iCs w:val="1"/>
          <w:color w:val="auto"/>
        </w:rPr>
        <w:t>We may be unable to protect the confidentiality of our trade secrets, thus harming our business and competitive position.</w:t>
      </w:r>
    </w:p>
    <w:p>
      <w:pPr>
        <w:spacing w:after="0" w:line="103" w:lineRule="exact"/>
        <w:rPr>
          <w:sz w:val="20"/>
          <w:szCs w:val="20"/>
          <w:color w:val="auto"/>
        </w:rPr>
      </w:pPr>
    </w:p>
    <w:p>
      <w:pPr>
        <w:ind w:left="1260" w:right="639" w:firstLine="360"/>
        <w:spacing w:after="0" w:line="271" w:lineRule="auto"/>
        <w:rPr>
          <w:sz w:val="20"/>
          <w:szCs w:val="20"/>
          <w:color w:val="auto"/>
        </w:rPr>
      </w:pPr>
      <w:r>
        <w:rPr>
          <w:rFonts w:ascii="Arial" w:cs="Arial" w:eastAsia="Arial" w:hAnsi="Arial"/>
          <w:sz w:val="16"/>
          <w:szCs w:val="16"/>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w:t>
      </w: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43" w:lineRule="auto"/>
        <w:rPr>
          <w:sz w:val="20"/>
          <w:szCs w:val="20"/>
          <w:color w:val="auto"/>
        </w:rPr>
      </w:pPr>
      <w:r>
        <w:rPr>
          <w:rFonts w:ascii="Arial" w:cs="Arial" w:eastAsia="Arial" w:hAnsi="Arial"/>
          <w:sz w:val="18"/>
          <w:szCs w:val="18"/>
          <w:color w:val="auto"/>
        </w:rPr>
        <w:t>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spacing w:after="0" w:line="188"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which could be expensive, time-consuming and unsuccessful.</w:t>
      </w:r>
    </w:p>
    <w:p>
      <w:pPr>
        <w:spacing w:after="0" w:line="90"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7"/>
          <w:szCs w:val="17"/>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1" w:lineRule="exact"/>
        <w:rPr>
          <w:sz w:val="20"/>
          <w:szCs w:val="20"/>
          <w:color w:val="auto"/>
        </w:rPr>
      </w:pPr>
    </w:p>
    <w:p>
      <w:pPr>
        <w:ind w:left="1260" w:right="759"/>
        <w:spacing w:after="0" w:line="444" w:lineRule="auto"/>
        <w:rPr>
          <w:sz w:val="20"/>
          <w:szCs w:val="20"/>
          <w:color w:val="auto"/>
        </w:rPr>
      </w:pPr>
      <w:r>
        <w:rPr>
          <w:rFonts w:ascii="Arial" w:cs="Arial" w:eastAsia="Arial" w:hAnsi="Arial"/>
          <w:sz w:val="13"/>
          <w:szCs w:val="13"/>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ind w:left="1260" w:right="539" w:firstLine="360"/>
        <w:spacing w:after="0" w:line="23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liable for monetary damages. Claims that we have misappropriated the confidential information or trade secrets of third parties can have a similar negative impact on our business.</w:t>
      </w:r>
    </w:p>
    <w:p>
      <w:pPr>
        <w:spacing w:after="0" w:line="189" w:lineRule="exact"/>
        <w:rPr>
          <w:sz w:val="20"/>
          <w:szCs w:val="20"/>
          <w:color w:val="auto"/>
        </w:rPr>
      </w:pPr>
    </w:p>
    <w:p>
      <w:pPr>
        <w:ind w:left="1260" w:right="1159"/>
        <w:spacing w:after="0" w:line="261"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0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Regulatory Risks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may not be able to obtain or maintain orphan drug designation or exclusivity for our product candidates.</w:t>
      </w:r>
    </w:p>
    <w:p>
      <w:pPr>
        <w:spacing w:after="0" w:line="179"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7"/>
          <w:szCs w:val="17"/>
          <w:color w:val="auto"/>
        </w:rPr>
        <w:t>We may seek orphan drug designation for some of our product candidates in the United States.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indication for that drug during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03"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We cannot assure you that any future application for orphan drug designation with respect to any product candidate will be granted. If we are unable to obtain orphan drug designation in the United States, we will not be eligible to obtain the period of market exclusivity that could result from orphan drug designation or be afforded the financial incentives associated with orphan drug designation. 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91" w:lineRule="exact"/>
        <w:rPr>
          <w:sz w:val="20"/>
          <w:szCs w:val="20"/>
          <w:color w:val="auto"/>
        </w:rPr>
      </w:pPr>
    </w:p>
    <w:p>
      <w:pPr>
        <w:ind w:left="1260" w:right="619"/>
        <w:spacing w:after="0" w:line="389" w:lineRule="auto"/>
        <w:rPr>
          <w:sz w:val="20"/>
          <w:szCs w:val="20"/>
          <w:color w:val="auto"/>
        </w:rPr>
      </w:pPr>
      <w:r>
        <w:rPr>
          <w:rFonts w:ascii="Arial" w:cs="Arial" w:eastAsia="Arial" w:hAnsi="Arial"/>
          <w:sz w:val="13"/>
          <w:szCs w:val="13"/>
          <w:b w:val="1"/>
          <w:bCs w:val="1"/>
          <w:i w:val="1"/>
          <w:iCs w:val="1"/>
          <w:color w:val="auto"/>
        </w:rPr>
        <w:t>Any fast track designation or grant of priority review status by the FDA may not actually lead to a faster development or regulatory review or approval process, nor will it assure FDA approval of our product candidates. Additionally, our product candidates may treat indications that do not qualify for priority review vouchers.</w:t>
      </w:r>
    </w:p>
    <w:p>
      <w:pPr>
        <w:spacing w:after="0" w:line="29" w:lineRule="exact"/>
        <w:rPr>
          <w:sz w:val="20"/>
          <w:szCs w:val="20"/>
          <w:color w:val="auto"/>
        </w:rPr>
      </w:pPr>
    </w:p>
    <w:p>
      <w:pPr>
        <w:ind w:left="1260" w:right="519" w:firstLine="360"/>
        <w:spacing w:after="0" w:line="237" w:lineRule="auto"/>
        <w:rPr>
          <w:sz w:val="20"/>
          <w:szCs w:val="20"/>
          <w:color w:val="auto"/>
        </w:rPr>
      </w:pPr>
      <w:r>
        <w:rPr>
          <w:rFonts w:ascii="Arial" w:cs="Arial" w:eastAsia="Arial" w:hAnsi="Arial"/>
          <w:sz w:val="18"/>
          <w:szCs w:val="18"/>
          <w:color w:val="auto"/>
        </w:rPr>
        <w:t>We may seek fast track designation for some of our product candidates or priority review of applications for approval of our product candidates. If a drug is intended for the treatment of a serious or life-threatening condition and the drug demonstrates the potential to address unmet medical needs for this condition, the drug sponsor may apply for FDA fast track designation. If a product candidate offers major advances in treatment, the FDA may designate it eligible for priority review. The FDA has broad discretion whether or not to grant these designations, so even if we believe a particular product candidate is eligible for these designations, we cannot assure you that the FDA would decide to grant them. Even if we do receive fast track designation or priority review,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95" w:lineRule="exact"/>
        <w:rPr>
          <w:sz w:val="20"/>
          <w:szCs w:val="20"/>
          <w:color w:val="auto"/>
        </w:rPr>
      </w:pPr>
    </w:p>
    <w:p>
      <w:pPr>
        <w:jc w:val="both"/>
        <w:ind w:left="1260" w:right="799"/>
        <w:spacing w:after="0" w:line="248" w:lineRule="auto"/>
        <w:rPr>
          <w:sz w:val="20"/>
          <w:szCs w:val="20"/>
          <w:color w:val="auto"/>
        </w:rPr>
      </w:pPr>
      <w:r>
        <w:rPr>
          <w:rFonts w:ascii="Arial" w:cs="Arial" w:eastAsia="Arial" w:hAnsi="Arial"/>
          <w:sz w:val="18"/>
          <w:szCs w:val="18"/>
          <w:b w:val="1"/>
          <w:bCs w:val="1"/>
          <w:i w:val="1"/>
          <w:iCs w:val="1"/>
          <w:color w:val="auto"/>
        </w:rPr>
        <w:t>Any breakthrough therapy designation granted by the FDA for our product candidates may not lead to a faster development or regulatory review or approval process, and it does not increase the likelihood that our product candidates will receive marketing approval.</w:t>
      </w:r>
    </w:p>
    <w:p>
      <w:pPr>
        <w:spacing w:after="0" w:line="11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 if the relevant criteria are met.</w:t>
      </w:r>
    </w:p>
    <w:p>
      <w:pPr>
        <w:spacing w:after="0" w:line="10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362" w:lineRule="auto"/>
        <w:rPr>
          <w:sz w:val="20"/>
          <w:szCs w:val="20"/>
          <w:color w:val="auto"/>
        </w:rPr>
      </w:pPr>
      <w:r>
        <w:rPr>
          <w:rFonts w:ascii="Arial" w:cs="Arial" w:eastAsia="Arial" w:hAnsi="Arial"/>
          <w:sz w:val="15"/>
          <w:szCs w:val="15"/>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20"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94" w:lineRule="exact"/>
        <w:rPr>
          <w:sz w:val="20"/>
          <w:szCs w:val="20"/>
          <w:color w:val="auto"/>
        </w:rPr>
      </w:pPr>
    </w:p>
    <w:p>
      <w:pPr>
        <w:ind w:left="1260" w:right="459"/>
        <w:spacing w:after="0" w:line="324" w:lineRule="auto"/>
        <w:rPr>
          <w:sz w:val="20"/>
          <w:szCs w:val="20"/>
          <w:color w:val="auto"/>
        </w:rPr>
      </w:pPr>
      <w:r>
        <w:rPr>
          <w:rFonts w:ascii="Arial" w:cs="Arial" w:eastAsia="Arial" w:hAnsi="Arial"/>
          <w:sz w:val="16"/>
          <w:szCs w:val="16"/>
          <w:b w:val="1"/>
          <w:bCs w:val="1"/>
          <w:i w:val="1"/>
          <w:iCs w:val="1"/>
          <w:color w:val="auto"/>
        </w:rPr>
        <w:t>We have conducted and are conducting clinical trials outside the United States and anticipate conducting additional clinical trials outside the United States, and the FDA may not accept data from such trials.</w:t>
      </w:r>
    </w:p>
    <w:p>
      <w:pPr>
        <w:spacing w:after="0" w:line="57"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We are currently conducting clinical trials for our product candidates in countries outside of the United States and we anticipate that we will conduct additional clinical trials in countries outside the United States. Although the FDA may accept data from clinical trials conducted outside the United States, acceptance of such study data by the FDA is subject to certain conditions. For example, the clinical trial must be conducted in accordance with GCP requirements and the FDA must be able to validate the data from the clinical trial through an onsite inspection if it deems such inspection necessary. Where data from foreign clinical trials are intended to serve as the sole basis for marketing approval in the United States, the FDA will not approve the application on the basis of foreign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In addition, such clinical trials would be subject to the applicable local laws of the foreign jurisdictions where the clinical trials are conducted. A description of any studies related to overdosage is also required, including information on dialysis, antidotes, or other treatments, if known. 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Risks inherent in conducting international clinical trials include, but are not limited to:</w:t>
      </w:r>
    </w:p>
    <w:p>
      <w:pPr>
        <w:spacing w:after="0" w:line="104"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regulatory requirements that could burden or limit our ability to conduct our clinical trials;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117"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which could negatively impact our financial condition since certain payments are paid in local currencies;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5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During the course of a development program, sponsors may also change the contract manufacturers used to produce the product candidates. Such changes carry the risk that they will not achieve these intended objectives. Any of these changes could cause our product candidates to perform differently and affect the results of clinical trials. Such changes may also require additional testing, notification or approval by the FDA, EMA or other regulatory authorities.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95"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96"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 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 -U.S. regulatory authorities, we could be subject to administrative or judicially imposed sanctions, including the following:</w:t>
      </w:r>
    </w:p>
    <w:p>
      <w:pPr>
        <w:spacing w:after="0" w:line="86"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144"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color w:val="auto"/>
        </w:rPr>
        <w:t>States or in other countries. If we are not able to maintain regulatory compliance, we may not be permitted to market our future products, and our business may suffer.</w:t>
      </w:r>
    </w:p>
    <w:p>
      <w:pPr>
        <w:spacing w:after="0" w:line="171" w:lineRule="exact"/>
        <w:rPr>
          <w:sz w:val="20"/>
          <w:szCs w:val="20"/>
          <w:color w:val="auto"/>
        </w:rPr>
      </w:pPr>
    </w:p>
    <w:p>
      <w:pPr>
        <w:jc w:val="both"/>
        <w:ind w:left="1260" w:right="699"/>
        <w:spacing w:after="0" w:line="294" w:lineRule="auto"/>
        <w:rPr>
          <w:sz w:val="20"/>
          <w:szCs w:val="20"/>
          <w:color w:val="auto"/>
        </w:rPr>
      </w:pPr>
      <w:r>
        <w:rPr>
          <w:rFonts w:ascii="Arial" w:cs="Arial" w:eastAsia="Arial" w:hAnsi="Arial"/>
          <w:sz w:val="16"/>
          <w:szCs w:val="16"/>
          <w:b w:val="1"/>
          <w:bCs w:val="1"/>
          <w:i w:val="1"/>
          <w:iCs w:val="1"/>
          <w:color w:val="auto"/>
        </w:rPr>
        <w:t>We may be subject, directly or indirectly, to federal and state health care fraud and abuse laws, false claims laws, transparency and pricing laws and health information privacy and security laws. If we are unable to comply, or have not fully complied, with such laws, we could face substantial penalties.</w:t>
      </w:r>
    </w:p>
    <w:p>
      <w:pPr>
        <w:spacing w:after="0" w:line="66"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If we obtain FDA approval for any of our drug candidates and begin commercializing those products in the United States, our operations will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3" w:lineRule="exact"/>
        <w:rPr>
          <w:sz w:val="20"/>
          <w:szCs w:val="20"/>
          <w:color w:val="auto"/>
        </w:rPr>
      </w:pPr>
    </w:p>
    <w:p>
      <w:pPr>
        <w:jc w:val="both"/>
        <w:ind w:left="1800" w:right="459" w:hanging="180"/>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 care program, such as the Medicare and Medicaid programs;</w:t>
      </w:r>
    </w:p>
    <w:p>
      <w:pPr>
        <w:spacing w:after="0" w:line="78" w:lineRule="exact"/>
        <w:rPr>
          <w:rFonts w:ascii="Arial" w:cs="Arial" w:eastAsia="Arial" w:hAnsi="Arial"/>
          <w:sz w:val="18"/>
          <w:szCs w:val="18"/>
          <w:color w:val="auto"/>
        </w:rPr>
      </w:pPr>
    </w:p>
    <w:p>
      <w:pPr>
        <w:ind w:left="1800" w:right="419" w:hanging="180"/>
        <w:spacing w:after="0" w:line="286"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43" w:lineRule="exact"/>
        <w:rPr>
          <w:rFonts w:ascii="Arial" w:cs="Arial" w:eastAsia="Arial" w:hAnsi="Arial"/>
          <w:sz w:val="17"/>
          <w:szCs w:val="17"/>
          <w:color w:val="auto"/>
        </w:rPr>
      </w:pPr>
    </w:p>
    <w:p>
      <w:pPr>
        <w:ind w:left="1800" w:right="459" w:hanging="180"/>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of 2009, or HITECH, and its implementing regulations, which impose certain requirements relating to the privacy, security and transmission of individually identifiable health information;</w:t>
      </w:r>
    </w:p>
    <w:p>
      <w:pPr>
        <w:spacing w:after="0" w:line="78"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8" w:lineRule="exact"/>
        <w:rPr>
          <w:rFonts w:ascii="Arial" w:cs="Arial" w:eastAsia="Arial" w:hAnsi="Arial"/>
          <w:sz w:val="18"/>
          <w:szCs w:val="18"/>
          <w:color w:val="auto"/>
        </w:rPr>
      </w:pPr>
    </w:p>
    <w:p>
      <w:pPr>
        <w:ind w:left="1800" w:right="599" w:hanging="180"/>
        <w:spacing w:after="0" w:line="25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 and</w:t>
      </w:r>
    </w:p>
    <w:p>
      <w:pPr>
        <w:spacing w:after="0" w:line="79"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 and federal laws, such as the Physician Sunshine Act, directed at generating transparency on financial issues, including drug prices and payments made by drug companies to various entities and individuals involved in healthcare.</w:t>
      </w:r>
    </w:p>
    <w:p>
      <w:pPr>
        <w:spacing w:after="0" w:line="116"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7"/>
          <w:szCs w:val="17"/>
          <w:color w:val="auto"/>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exclusion from payment by federal health care programs,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spacing w:after="0" w:line="180" w:lineRule="exact"/>
        <w:rPr>
          <w:sz w:val="20"/>
          <w:szCs w:val="20"/>
          <w:color w:val="auto"/>
        </w:rPr>
      </w:pPr>
    </w:p>
    <w:p>
      <w:pPr>
        <w:jc w:val="both"/>
        <w:ind w:left="1260" w:right="719"/>
        <w:spacing w:after="0" w:line="248" w:lineRule="auto"/>
        <w:rPr>
          <w:sz w:val="20"/>
          <w:szCs w:val="20"/>
          <w:color w:val="auto"/>
        </w:rPr>
      </w:pPr>
      <w:r>
        <w:rPr>
          <w:rFonts w:ascii="Arial" w:cs="Arial" w:eastAsia="Arial" w:hAnsi="Arial"/>
          <w:sz w:val="18"/>
          <w:szCs w:val="18"/>
          <w:b w:val="1"/>
          <w:bCs w:val="1"/>
          <w:i w:val="1"/>
          <w:iCs w:val="1"/>
          <w:color w:val="auto"/>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spacing w:after="0" w:line="101"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We are subject to various domestic and international privacy and security regulations. The confidentiality, collection, use and disclosure of personal data, including clinical trial patient- specific information, are subject to governmental regulation generally in the country that the personal data were collected or used. In the United States we are subject to various state and federal privacy and data security regulations, including but</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not limited to HIPAA and as amended in 2014 by the HITECH Act. HIPAA mandates, among other things, the adoption of uniform standards for the electronic exchange of information in common health care transactions, as well as standards relating to the privacy and security of individually identifiable health information, which require the adoption of administrative, physical and technical safeguards to protect such information.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We are also subject to the EU General Data Protection Regulation 2016/679 (“GDPR”) which came into effect on May 25, 2018. Furthermore, the legislative and regulatory landscape for privacy and data protection continues to evolve, and there has been an increasing amount of focus on privacy and data protection issues. The United States and the EU and its member states continue to issue new privacy and data protection rules and regulations that relate to personal data and health information.</w:t>
      </w:r>
    </w:p>
    <w:p>
      <w:pPr>
        <w:spacing w:after="0" w:line="119"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Compliance with these laws may be time 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spacing w:after="0" w:line="187" w:lineRule="exact"/>
        <w:rPr>
          <w:sz w:val="20"/>
          <w:szCs w:val="20"/>
          <w:color w:val="auto"/>
        </w:rPr>
      </w:pPr>
    </w:p>
    <w:p>
      <w:pPr>
        <w:ind w:left="1260" w:right="619"/>
        <w:spacing w:after="0" w:line="263" w:lineRule="auto"/>
        <w:rPr>
          <w:sz w:val="20"/>
          <w:szCs w:val="20"/>
          <w:color w:val="auto"/>
        </w:rPr>
      </w:pPr>
      <w:r>
        <w:rPr>
          <w:rFonts w:ascii="Arial" w:cs="Arial" w:eastAsia="Arial" w:hAnsi="Arial"/>
          <w:sz w:val="18"/>
          <w:szCs w:val="18"/>
          <w:b w:val="1"/>
          <w:bCs w:val="1"/>
          <w:i w:val="1"/>
          <w:iCs w:val="1"/>
          <w:color w:val="auto"/>
        </w:rPr>
        <w:t>Changes in health care law and implementing regulations, including government restrictions on pricing and reimbursement, as well as health care policy and other health care payor cost-containment initiatives, may have a material adverse effect on us.</w:t>
      </w:r>
    </w:p>
    <w:p>
      <w:pPr>
        <w:spacing w:after="0" w:line="116"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regulatory system, health care system and efforts to control health care costs, including drug prices, that could have a significant negative impact on our business, including preventing, limiting or delay regulatory approval of our drug candidates and reducing the sales and profits derived from our products once they are approved. For example, in the United States, the Patient Protection and Affordable Care Act of 2010 (“ACA”) substantially changed the way health care is financed by both governmental and private insurers and significantly affects the pharmaceutical industry. Many provisions of ACA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Since its enactment, there have been judicial and Congressional challenges and amendments to certain aspects of ACA. There is continued uncertainty about the implementation of ACA, including the potential for further amendments to the ACA and legal challenges to or efforts to repeal the ACA.</w:t>
      </w:r>
    </w:p>
    <w:p>
      <w:pPr>
        <w:spacing w:after="0" w:line="117" w:lineRule="exact"/>
        <w:rPr>
          <w:sz w:val="20"/>
          <w:szCs w:val="20"/>
          <w:color w:val="auto"/>
        </w:rPr>
      </w:pPr>
    </w:p>
    <w:p>
      <w:pPr>
        <w:jc w:val="both"/>
        <w:ind w:left="1260" w:right="1239" w:firstLine="360"/>
        <w:spacing w:after="0" w:line="263" w:lineRule="auto"/>
        <w:rPr>
          <w:sz w:val="20"/>
          <w:szCs w:val="20"/>
          <w:color w:val="auto"/>
        </w:rPr>
      </w:pPr>
      <w:r>
        <w:rPr>
          <w:rFonts w:ascii="Arial" w:cs="Arial" w:eastAsia="Arial" w:hAnsi="Arial"/>
          <w:sz w:val="18"/>
          <w:szCs w:val="18"/>
          <w:color w:val="auto"/>
        </w:rPr>
        <w:t>Other examples of proposed changes include, but are not limited to, expanding post-approval requirements, changing the Orphan Drug Act, and restricting sales and promotional activities for pharmaceutical products.</w:t>
      </w:r>
    </w:p>
    <w:p>
      <w:pPr>
        <w:spacing w:after="0" w:line="103"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We cannot be sure whether additional legislative changes will be enacted, or whether government regulations, guidance or interpretations will be changed, or what the impact of such changes would be on the marketing approvals, sales, pricing, or reimbursement of our drug candidates or products, if any, may be.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jc w:val="right"/>
        <w:ind w:right="419"/>
        <w:spacing w:after="0"/>
        <w:rPr>
          <w:sz w:val="20"/>
          <w:szCs w:val="20"/>
          <w:color w:val="auto"/>
        </w:rPr>
      </w:pPr>
      <w:r>
        <w:rPr>
          <w:rFonts w:ascii="Arial" w:cs="Arial" w:eastAsia="Arial" w:hAnsi="Arial"/>
          <w:sz w:val="17"/>
          <w:szCs w:val="17"/>
          <w:b w:val="1"/>
          <w:bCs w:val="1"/>
          <w:i w:val="1"/>
          <w:iCs w:val="1"/>
          <w:color w:val="auto"/>
        </w:rPr>
        <w:t>Our history of losses and uncertainty of future profitability make our common stock a highly speculative investment.</w:t>
      </w:r>
    </w:p>
    <w:p>
      <w:pPr>
        <w:spacing w:after="0" w:line="16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We have had no commercial revenue to date from sales of our drug candidates. We had an accumulated deficit of $1.1 billion as of December 31, 2020. We expect to spend substantial funds to continue the research and development testing of our drug candidates.</w:t>
      </w:r>
    </w:p>
    <w:p>
      <w:pPr>
        <w:spacing w:after="0" w:line="116"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color w:val="auto"/>
        </w:rPr>
        <w:t>We cannot predict how quickly our lead drug candidates will progress through the regulatory approval process. As a result, we may continue to lose money for several years.</w:t>
      </w:r>
    </w:p>
    <w:p>
      <w:pPr>
        <w:spacing w:after="0" w:line="90"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64" w:lineRule="exact"/>
        <w:rPr>
          <w:sz w:val="20"/>
          <w:szCs w:val="20"/>
          <w:color w:val="auto"/>
        </w:rPr>
      </w:pPr>
    </w:p>
    <w:p>
      <w:pPr>
        <w:ind w:left="1260" w:right="819"/>
        <w:spacing w:after="0" w:line="248" w:lineRule="auto"/>
        <w:rPr>
          <w:sz w:val="20"/>
          <w:szCs w:val="20"/>
          <w:color w:val="auto"/>
        </w:rPr>
      </w:pPr>
      <w:r>
        <w:rPr>
          <w:rFonts w:ascii="Arial" w:cs="Arial" w:eastAsia="Arial" w:hAnsi="Arial"/>
          <w:sz w:val="18"/>
          <w:szCs w:val="18"/>
          <w:b w:val="1"/>
          <w:bCs w:val="1"/>
          <w:i w:val="1"/>
          <w:iCs w:val="1"/>
          <w:color w:val="auto"/>
        </w:rPr>
        <w:t>We completed the reverse stock split in order to regain compliance with the listing requirements of NASDAQ. However, the reverse stock split may not result in our stock price remaining compliant with the minimum price requirements of NASDAQ.</w:t>
      </w:r>
    </w:p>
    <w:p>
      <w:pPr>
        <w:spacing w:after="0" w:line="114"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Our common stock is listed on the NASDAQ Capital Market. In order to maintain that listing, we must satisfy minimum financial and other requirements including, without limitation, a requirement that our closing bid price be at least $1.00 per share. At our annual meeting of stockholders in June 2018, our stockholders approved a proposal to grant discretionary authority to our Board of Directors to amend our certificate of incorporation to effect a reverse stock split of our outstanding shares of common stock within a range of one share of common stock for every ten shares of common stock to one share of common stock for every fifteen shares of common stock, with the exact reverse stock split ratio to be decided by the Board of Directors. On February 8, 2019 we announced that our Board of Directors had approved a one for fifteen reverse stock split of our issued and outstanding shares of common stock. On February 11, 2019, our common stock began trading on a split-adjusted basis on the NASDAQ Capital Market.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share price has been and could remain volatile.</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market price of our common stock has historically experienced and may continue to experience significant volatility. From January 2020 through December 2020, the market price of our common stock has fluctuated from a high of $23.40 per share in the fourth quarter of 2020, to a low of $1.50 per share in the first quarter of 2020.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85"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b w:val="1"/>
          <w:bCs w:val="1"/>
          <w:i w:val="1"/>
          <w:iCs w:val="1"/>
          <w:color w:val="auto"/>
        </w:rPr>
        <w:t>We completed the reverse stock split of our shares of common stock, which may reduce and may limit the market trading liquidity of the shares due to the reduced number of shares outstanding, and may potentially have an anti-takeover effect.</w:t>
      </w:r>
    </w:p>
    <w:p>
      <w:pPr>
        <w:spacing w:after="0" w:line="10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completed the reverse stock split of our common stock by a ratio of one for fifteen effective February 8, 2019.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 Further, since the reverse stock split was not accompanied by a corresponding</w:t>
      </w: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41" w:lineRule="auto"/>
        <w:rPr>
          <w:sz w:val="20"/>
          <w:szCs w:val="20"/>
          <w:color w:val="auto"/>
        </w:rPr>
      </w:pPr>
      <w:r>
        <w:rPr>
          <w:rFonts w:ascii="Arial" w:cs="Arial" w:eastAsia="Arial" w:hAnsi="Arial"/>
          <w:sz w:val="18"/>
          <w:szCs w:val="18"/>
          <w:color w:val="auto"/>
        </w:rPr>
        <w:t>decrease in the number of shares authorized for issuance under our Third Restated Certificate of Incorporation, the relative increase in the number of shares authorized for issuance could, under certain circumstances, have an anti-takeover effect by enabling our Board of Directors to issue additional shares of common stock in a transaction making it more difficult for a party to obtain control of us by tender offer or other means.</w:t>
      </w:r>
    </w:p>
    <w:p>
      <w:pPr>
        <w:spacing w:after="0" w:line="189"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If certain preclinical and clinical milestones are achieved, our stockholders may experience significant dilution as a result of milestone payments to former Kolltan stockholders.</w:t>
      </w:r>
    </w:p>
    <w:p>
      <w:pPr>
        <w:spacing w:after="0" w:line="90"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In addition, in connection with the Merger Agreement, in the event that certain specified preclinical and clinical development milestones related to Kolltan’s development programs and/or Celldex’s development programs and the Kolltan Milestones are achieved, we will be required to pay to the former stockholders of Kolltan milestone payments, which milestone payments may be made, at our sole election, in cash, in shares of our common stock or a combination of both, subject to provisions of the merger agreement. The initial aggregate amount of potential payments in respect of Kolltan Milestones was up to $172.5 million. Certain Kolltan Milestones related to the METRIC clinical study, TAM partnership closing within two years of the acquisition, CDX-3379 and CDX-0158 have been abandoned. We have previously sent abandonment notices to the representative of Kolltan’s former stockholders with respect to each of the abandoned Kolltan Milestones, and the representative subsequently objected to the abandonment notices for CDX-3379 and CDX-0158. We disagree with their objection and believe their objection to be without merit. We have filed a Verified Complaint in the Court of Chancery of the State of Delaware seeking declaratory relief with respect to the rights and obligations of the parties relating to certain contingent milestone payments under the Merger Agreement. At this time, we are unable to reasonably assess the ultimate outcome of our litigation with the representative of Kolltan’s former stockholders over its objection to our abandonment of certain Kolltan Milestones or determine an estimate of potential losses, if any. As of December 31, 2020, we believe we may be required to make milestone payments in an amount of up to $107.5 million.</w:t>
      </w:r>
    </w:p>
    <w:p>
      <w:pPr>
        <w:spacing w:after="0" w:line="130"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Milestone payments under the Merger Agreement may be made, at our sole election, in cash, in shares of our common stock or a combination of both, subject to the provisions of the Merger Agreement.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If we elect to issue additional shares of our common stock, in lieu of paying cash, for such milestone payments, our stockholders may experience significant dilution.</w:t>
      </w:r>
    </w:p>
    <w:p>
      <w:pPr>
        <w:spacing w:after="0" w:line="191" w:lineRule="exact"/>
        <w:rPr>
          <w:sz w:val="20"/>
          <w:szCs w:val="20"/>
          <w:color w:val="auto"/>
        </w:rPr>
      </w:pPr>
    </w:p>
    <w:p>
      <w:pPr>
        <w:ind w:left="1260" w:right="1479"/>
        <w:spacing w:after="0" w:line="261" w:lineRule="auto"/>
        <w:rPr>
          <w:sz w:val="20"/>
          <w:szCs w:val="20"/>
          <w:color w:val="auto"/>
        </w:rPr>
      </w:pPr>
      <w:r>
        <w:rPr>
          <w:rFonts w:ascii="Arial" w:cs="Arial" w:eastAsia="Arial" w:hAnsi="Arial"/>
          <w:sz w:val="18"/>
          <w:szCs w:val="18"/>
          <w:b w:val="1"/>
          <w:bCs w:val="1"/>
          <w:i w:val="1"/>
          <w:iCs w:val="1"/>
          <w:color w:val="auto"/>
        </w:rPr>
        <w:t>Our ability to use our net operating loss carryforwards will be subject to limitation and, under certain circumstances, may be eliminated.</w:t>
      </w:r>
    </w:p>
    <w:p>
      <w:pPr>
        <w:spacing w:after="0" w:line="103"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08"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7"/>
          <w:szCs w:val="17"/>
          <w:color w:val="auto"/>
        </w:rPr>
        <w:t>In October 2007, June 2009, December 2009 and December 2013,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 result of these ownership changes, utilization of our Federal net operating loss carryforwards is subject to an annual limitation. We have not undertaken a study to assess whether an ownership change or multiple ownership changes have occurred for (i) acquired businesses prior to the acquisition, (ii) the Company on the state level, (iii) the Company since March 2015 or (iv) research and development credits. If, based on such a study, we were to determine that there has been an ownership change at any time, utilization of net operating loss or tax credit carryforwards would be subject to an annual limitation under Section 382 (or similar state provisions).</w:t>
      </w:r>
    </w:p>
    <w:p>
      <w:pPr>
        <w:spacing w:after="0" w:line="118"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Any unused annual limitation may be carried over to later years, and the amount of the limitation may, under certain circumstances, be subject to adjustment if the fair value of our net assets is determined to be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7" w:lineRule="auto"/>
        <w:rPr>
          <w:sz w:val="20"/>
          <w:szCs w:val="20"/>
          <w:color w:val="auto"/>
        </w:rPr>
      </w:pPr>
      <w:r>
        <w:rPr>
          <w:rFonts w:ascii="Arial" w:cs="Arial" w:eastAsia="Arial" w:hAnsi="Arial"/>
          <w:sz w:val="18"/>
          <w:szCs w:val="18"/>
          <w:color w:val="auto"/>
        </w:rPr>
        <w:t>below or in excess of the tax basis of such assets at the time of the ownership change, and such unrealized loss or gain is recognized during the five- year period after the ownership change. Subsequent ownership changes, as defined in Section 382, could further limit the amount of net operating loss carryforwards and research and development credits that can be utilized annually to offset future taxable income. Additionally, as provided above, the Tax Cuts and Jobs Act limited the deduction for net operating losses to 80% of taxable income while providing that net operating loss carryovers for years after 2017 will not expire. The CARES Act provides relief to corporate taxpayers by permitting a five year carryback of 2018 – 2020 NOLs, removing the 80% limitation on the carryback of those NOLs, and accelerates refunds for minimum tax credit carryforwards, along with a few other provisions. During the twelve months ended December 31, 2020, no material adjustments were made to provision amounts recorded as a result of the enactment of the CARES Act.</w:t>
      </w:r>
    </w:p>
    <w:p>
      <w:pPr>
        <w:spacing w:after="0" w:line="114"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Refer to Note 15, “Income Taxes,” in the accompanying notes to the financial statements for additional discussion on income taxes.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have many competitors in our field, and they may develop technologies that make ours obsolete.</w:t>
      </w:r>
    </w:p>
    <w:p>
      <w:pPr>
        <w:spacing w:after="0" w:line="169"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Biotechnology, pharmaceuticals and therapeutics are rapidly evolving fields in which scientific and technological developments are expected to continue at a rapid pace. We have many competitors in the U.S. and abroad.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54" w:lineRule="exact"/>
        <w:rPr>
          <w:sz w:val="20"/>
          <w:szCs w:val="20"/>
          <w:color w:val="auto"/>
        </w:rPr>
      </w:pPr>
    </w:p>
    <w:p>
      <w:pPr>
        <w:ind w:left="1800" w:right="105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technologies and products that are more effective than ours, making ours obsolete or otherwise noncompetitive;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103"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patent protection or other intellectual property rights that would block our ability to develop competitive products.</w:t>
      </w:r>
    </w:p>
    <w:p>
      <w:pPr>
        <w:spacing w:after="0" w:line="170" w:lineRule="exact"/>
        <w:rPr>
          <w:sz w:val="20"/>
          <w:szCs w:val="20"/>
          <w:color w:val="auto"/>
        </w:rPr>
      </w:pPr>
    </w:p>
    <w:p>
      <w:pPr>
        <w:ind w:left="1260" w:right="939"/>
        <w:spacing w:after="0" w:line="261" w:lineRule="auto"/>
        <w:rPr>
          <w:sz w:val="20"/>
          <w:szCs w:val="20"/>
          <w:color w:val="auto"/>
        </w:rPr>
      </w:pPr>
      <w:r>
        <w:rPr>
          <w:rFonts w:ascii="Arial" w:cs="Arial" w:eastAsia="Arial" w:hAnsi="Arial"/>
          <w:sz w:val="18"/>
          <w:szCs w:val="18"/>
          <w:b w:val="1"/>
          <w:bCs w:val="1"/>
          <w:i w:val="1"/>
          <w:iCs w:val="1"/>
          <w:color w:val="auto"/>
        </w:rPr>
        <w:t>We face risks related to health epidemics and outbreaks, including the coronavirus, which could significantly disrupt our preclinical studies and clinical trials.</w:t>
      </w:r>
    </w:p>
    <w:p>
      <w:pPr>
        <w:spacing w:after="0" w:line="10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In December 2019, a novel strain of coronavirus (COVID-19) surfaced in Wuhan, China. The duration and the geographic impact of the business disruption and related financial impact resulting from the coronavirus cannot be reasonably estimated at this time and our business could be adversely impacted by the effects. In an effort to halt the outbreak of COVID-19, the United States has placed significant restrictions on travel and many businesses have announced extended closures which could adversely impact our operations. Enrollment of patients in our clinical trials and our planned and ongoing preclinical and clinical trials may be delayed due to the outbreak of COVID-19. In addition, we rely on independent clinical investigators, contract research organizations and other third-party service providers to assist us in managing, monitoring and otherwise carrying out our preclinical studies and clinical trials, and the outbreak may affect their ability to devote sufficient time and resources to our programs. We also rely on third party suppliers and contract manufacturers to produce the drug product we utilize in our clinical trials, and the outbreak may cause delays in delivery of APIs and drug product. Temporary closure of our facilities, or facilities at which our clinical or preclinical trials are conducted, or restrictions on the ability of our employees, clinicians or patients enrolled in our trials to travel could adversely affect our operations and our ability to conduct and complete our preclinical and clinical trials. As a result of the foregoing factors, the expected timeline for data readouts of our preclinical studies and clinical trials and certain regulatory filings may be negatively impacted, which would adversely affect our business.</w:t>
      </w:r>
    </w:p>
    <w:p>
      <w:pPr>
        <w:spacing w:after="0" w:line="183"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b w:val="1"/>
          <w:bCs w:val="1"/>
          <w:i w:val="1"/>
          <w:iCs w:val="1"/>
          <w:color w:val="auto"/>
        </w:rPr>
        <w:t>We depend greatly on the intellectual capabilities and experience of our key executives and scientists, and the loss of any of them could affect our ability to develop our products.</w:t>
      </w:r>
    </w:p>
    <w:p>
      <w:pPr>
        <w:spacing w:after="0" w:line="103" w:lineRule="exact"/>
        <w:rPr>
          <w:sz w:val="20"/>
          <w:szCs w:val="20"/>
          <w:color w:val="auto"/>
        </w:rPr>
      </w:pPr>
    </w:p>
    <w:p>
      <w:pPr>
        <w:ind w:left="1260" w:right="539" w:firstLine="360"/>
        <w:spacing w:after="0" w:line="324" w:lineRule="auto"/>
        <w:rPr>
          <w:sz w:val="20"/>
          <w:szCs w:val="20"/>
          <w:color w:val="auto"/>
        </w:rPr>
      </w:pPr>
      <w:r>
        <w:rPr>
          <w:rFonts w:ascii="Arial" w:cs="Arial" w:eastAsia="Arial" w:hAnsi="Arial"/>
          <w:sz w:val="16"/>
          <w:szCs w:val="16"/>
          <w:color w:val="auto"/>
        </w:rPr>
        <w:t>The loss of any of our executive officers could harm us. We entered into employment agreements with each of our executive officers, although an employment agreement as a practical matter does not guarantee</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82" w:lineRule="exact"/>
        <w:rPr>
          <w:sz w:val="20"/>
          <w:szCs w:val="20"/>
          <w:color w:val="auto"/>
        </w:rPr>
      </w:pPr>
    </w:p>
    <w:p>
      <w:pPr>
        <w:ind w:left="1260" w:right="659"/>
        <w:spacing w:after="0" w:line="342"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43"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 care fraud and abuse laws and regulations, report financial information or data accurately or disclose unauthorized activities to us.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and launched a Health Care Compliance program, but it is not always possible to identify and deter employee misconduct. The precautions we take and the investments we make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may not be able to maintain compliance with the Listing Rules of the NASDAQ Stock Exchange.</w:t>
      </w:r>
    </w:p>
    <w:p>
      <w:pPr>
        <w:spacing w:after="0" w:line="16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There can be no assurance that in the future we will be able to maintain compliance with the Nasdaq Listing Rules, including the minimum bid price requirement and other applicable corporate governance requirements. If we fail to maintain compliance with the minimum bid requirement or to meet the other applicable continued listing requirements for the NASDAQ Capital Market in the future and NASDAQ determines to delist our common stock, the delisting could adversely affect the market price and liquidity of our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2020, our significant leased properties are described below.</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Approximate</w:t>
            </w: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6"/>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Property Location</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Square Feet</w:t>
            </w:r>
          </w:p>
        </w:tc>
        <w:tc>
          <w:tcPr>
            <w:tcW w:w="3060" w:type="dxa"/>
            <w:vAlign w:val="bottom"/>
            <w:gridSpan w:val="2"/>
          </w:tcPr>
          <w:p>
            <w:pPr>
              <w:ind w:left="1320"/>
              <w:spacing w:after="0"/>
              <w:rPr>
                <w:sz w:val="20"/>
                <w:szCs w:val="20"/>
                <w:color w:val="auto"/>
              </w:rPr>
            </w:pPr>
            <w:r>
              <w:rPr>
                <w:rFonts w:ascii="Arial" w:cs="Arial" w:eastAsia="Arial" w:hAnsi="Arial"/>
                <w:sz w:val="14"/>
                <w:szCs w:val="14"/>
                <w:b w:val="1"/>
                <w:bCs w:val="1"/>
                <w:color w:val="auto"/>
              </w:rPr>
              <w:t>Use</w:t>
            </w:r>
          </w:p>
        </w:tc>
        <w:tc>
          <w:tcPr>
            <w:tcW w:w="1340" w:type="dxa"/>
            <w:vAlign w:val="bottom"/>
          </w:tcPr>
          <w:p>
            <w:pPr>
              <w:ind w:left="20"/>
              <w:spacing w:after="0"/>
              <w:rPr>
                <w:sz w:val="20"/>
                <w:szCs w:val="20"/>
                <w:color w:val="auto"/>
              </w:rPr>
            </w:pPr>
            <w:r>
              <w:rPr>
                <w:rFonts w:ascii="Arial" w:cs="Arial" w:eastAsia="Arial" w:hAnsi="Arial"/>
                <w:sz w:val="14"/>
                <w:szCs w:val="14"/>
                <w:b w:val="1"/>
                <w:bCs w:val="1"/>
                <w:color w:val="auto"/>
                <w:w w:val="88"/>
              </w:rPr>
              <w:t>Lease Expiration Date</w:t>
            </w:r>
          </w:p>
        </w:tc>
      </w:tr>
      <w:tr>
        <w:trPr>
          <w:trHeight w:val="26"/>
        </w:trPr>
        <w:tc>
          <w:tcPr>
            <w:tcW w:w="2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Hampton, New Jersey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33,400</w:t>
            </w:r>
          </w:p>
        </w:tc>
        <w:tc>
          <w:tcPr>
            <w:tcW w:w="220" w:type="dxa"/>
            <w:vAlign w:val="bottom"/>
            <w:shd w:val="clear" w:color="auto" w:fill="CCEEFF"/>
          </w:tcPr>
          <w:p>
            <w:pPr>
              <w:spacing w:after="0"/>
              <w:rPr>
                <w:sz w:val="22"/>
                <w:szCs w:val="22"/>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Headquarters, Office and Laboratory</w:t>
            </w:r>
          </w:p>
        </w:tc>
        <w:tc>
          <w:tcPr>
            <w:tcW w:w="134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July 2025</w:t>
            </w:r>
            <w:r>
              <w:rPr>
                <w:rFonts w:ascii="Arial" w:cs="Arial" w:eastAsia="Arial" w:hAnsi="Arial"/>
                <w:sz w:val="26"/>
                <w:szCs w:val="26"/>
                <w:color w:val="auto"/>
                <w:vertAlign w:val="superscript"/>
              </w:rPr>
              <w:t>(1)</w:t>
            </w:r>
          </w:p>
        </w:tc>
      </w:tr>
      <w:tr>
        <w:trPr>
          <w:trHeight w:val="270"/>
        </w:trPr>
        <w:tc>
          <w:tcPr>
            <w:tcW w:w="2760" w:type="dxa"/>
            <w:vAlign w:val="bottom"/>
            <w:gridSpan w:val="2"/>
          </w:tcPr>
          <w:p>
            <w:pPr>
              <w:spacing w:after="0"/>
              <w:rPr>
                <w:sz w:val="20"/>
                <w:szCs w:val="20"/>
                <w:color w:val="auto"/>
              </w:rPr>
            </w:pPr>
            <w:r>
              <w:rPr>
                <w:rFonts w:ascii="Arial" w:cs="Arial" w:eastAsia="Arial" w:hAnsi="Arial"/>
                <w:sz w:val="18"/>
                <w:szCs w:val="18"/>
                <w:color w:val="auto"/>
              </w:rPr>
              <w:t>Fall River, Massachusetts</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33,900</w:t>
            </w:r>
          </w:p>
        </w:tc>
        <w:tc>
          <w:tcPr>
            <w:tcW w:w="220" w:type="dxa"/>
            <w:vAlign w:val="bottom"/>
          </w:tcPr>
          <w:p>
            <w:pPr>
              <w:spacing w:after="0"/>
              <w:rPr>
                <w:sz w:val="23"/>
                <w:szCs w:val="23"/>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340" w:type="dxa"/>
            <w:vAlign w:val="bottom"/>
          </w:tcPr>
          <w:p>
            <w:pPr>
              <w:spacing w:after="0" w:line="270" w:lineRule="exact"/>
              <w:rPr>
                <w:sz w:val="20"/>
                <w:szCs w:val="20"/>
                <w:color w:val="auto"/>
              </w:rPr>
            </w:pPr>
            <w:r>
              <w:rPr>
                <w:rFonts w:ascii="Arial" w:cs="Arial" w:eastAsia="Arial" w:hAnsi="Arial"/>
                <w:sz w:val="18"/>
                <w:szCs w:val="18"/>
                <w:color w:val="auto"/>
              </w:rPr>
              <w:t>July 2023</w:t>
            </w:r>
            <w:r>
              <w:rPr>
                <w:rFonts w:ascii="Arial" w:cs="Arial" w:eastAsia="Arial" w:hAnsi="Arial"/>
                <w:sz w:val="26"/>
                <w:szCs w:val="26"/>
                <w:color w:val="auto"/>
                <w:vertAlign w:val="superscript"/>
              </w:rPr>
              <w:t>(2)</w:t>
            </w:r>
          </w:p>
        </w:tc>
      </w:tr>
      <w:tr>
        <w:trPr>
          <w:trHeight w:val="257"/>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Haven, Connecticut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17,700</w:t>
            </w:r>
          </w:p>
        </w:tc>
        <w:tc>
          <w:tcPr>
            <w:tcW w:w="220" w:type="dxa"/>
            <w:vAlign w:val="bottom"/>
            <w:shd w:val="clear" w:color="auto" w:fill="CCEEFF"/>
          </w:tcPr>
          <w:p>
            <w:pPr>
              <w:spacing w:after="0"/>
              <w:rPr>
                <w:sz w:val="22"/>
                <w:szCs w:val="22"/>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and Laboratory</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April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-513715</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-513715</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-513715</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Lease includes an early termination option and one renewal option of five years.</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Lease includes one renewal option of two years followed by one renewal option of five years.</w:t>
      </w:r>
    </w:p>
    <w:p>
      <w:pPr>
        <w:spacing w:after="0" w:line="221"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48"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Shareholder Representative Services LLC (SRS) is the hired representative of the former stockholders of Kolltan Pharmaceuticals, Inc. (Kolltan) in connection with the Agreement and Plan of Merger, dated November 1, 2016, by and among Kolltan, Connemara Merger Sub 1, Inc., Connemara Merger Sub 2 LLC, and SRS (Merger Agreement). 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Specifically, Celldex sought the entry of an order declaring that:</w:t>
      </w:r>
    </w:p>
    <w:p>
      <w:pPr>
        <w:spacing w:after="0" w:line="111" w:lineRule="exact"/>
        <w:rPr>
          <w:sz w:val="20"/>
          <w:szCs w:val="20"/>
          <w:color w:val="auto"/>
        </w:rPr>
      </w:pPr>
    </w:p>
    <w:p>
      <w:pPr>
        <w:ind w:left="1980" w:right="1079" w:hanging="360"/>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Celldex’s determination to discontinue the development of CDX-0158 (formerly known as KTN0158) was proper and valid under the Merger Agreement;</w:t>
      </w:r>
    </w:p>
    <w:p>
      <w:pPr>
        <w:spacing w:after="0" w:line="102" w:lineRule="exact"/>
        <w:rPr>
          <w:rFonts w:ascii="Arial" w:cs="Arial" w:eastAsia="Arial" w:hAnsi="Arial"/>
          <w:sz w:val="18"/>
          <w:szCs w:val="18"/>
          <w:color w:val="auto"/>
        </w:rPr>
      </w:pPr>
    </w:p>
    <w:p>
      <w:pPr>
        <w:ind w:left="1980" w:right="499" w:hanging="360"/>
        <w:spacing w:after="0" w:line="286" w:lineRule="auto"/>
        <w:tabs>
          <w:tab w:leader="none" w:pos="1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Milestone Abandonment Notice dated December 5, 2018 from Celldex was valid and effective under the Merger Agreement and that the “Successful Completion of Phase I Clinical Trial for KTN0158” Milestone has not been achieved and has properly been abandoned; and</w:t>
      </w:r>
    </w:p>
    <w:p>
      <w:pPr>
        <w:spacing w:after="0" w:line="84" w:lineRule="exact"/>
        <w:rPr>
          <w:rFonts w:ascii="Arial" w:cs="Arial" w:eastAsia="Arial" w:hAnsi="Arial"/>
          <w:sz w:val="17"/>
          <w:szCs w:val="17"/>
          <w:color w:val="auto"/>
        </w:rPr>
      </w:pPr>
    </w:p>
    <w:p>
      <w:pPr>
        <w:ind w:left="1980" w:right="699" w:hanging="360"/>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the Merger Agreement, the CDX-0159 program is not a program that results in milestone payments under the Merger Agreement.</w:t>
      </w:r>
    </w:p>
    <w:p>
      <w:pPr>
        <w:spacing w:after="0" w:line="103"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CDX-0159 program is in essence an extension of the CDX-0158 (formerly KTN0158) program. The case remains ongoing and we are currently unable to predict or estimate the outcome of this matter. The case is currently scheduled for trial in 2022.</w:t>
      </w:r>
    </w:p>
    <w:p>
      <w:pPr>
        <w:spacing w:after="0" w:line="188"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980" w:right="1360" w:hanging="719"/>
        <w:spacing w:after="0" w:line="282" w:lineRule="auto"/>
        <w:tabs>
          <w:tab w:leader="none" w:pos="196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85" w:lineRule="exact"/>
        <w:rPr>
          <w:sz w:val="20"/>
          <w:szCs w:val="20"/>
          <w:color w:val="auto"/>
        </w:rPr>
      </w:pPr>
    </w:p>
    <w:p>
      <w:pPr>
        <w:ind w:left="1260" w:right="1320" w:firstLine="360"/>
        <w:spacing w:after="0" w:line="255" w:lineRule="auto"/>
        <w:rPr>
          <w:sz w:val="20"/>
          <w:szCs w:val="20"/>
          <w:color w:val="auto"/>
        </w:rPr>
      </w:pPr>
      <w:r>
        <w:rPr>
          <w:rFonts w:ascii="Arial" w:cs="Arial" w:eastAsia="Arial" w:hAnsi="Arial"/>
          <w:sz w:val="18"/>
          <w:szCs w:val="18"/>
          <w:color w:val="auto"/>
        </w:rPr>
        <w:t>Our common stock currently trades on the Nasdaq Capital Market (NASDAQ) under the symbol “CLDX.” On February 8, 2019, we effected a one for fifteen reverse stock split of our common stock. As of March 22, 2021, there were approximately 167 shareholders of record of our common stock. On March 22, 2021 the closing price of our common stock, as reported by NASDAQ, was $26.08 per share. We have not paid any dividends on our common stock since our inception and do not intend to pay any dividends in the foreseeable future.</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CELLDEX THERAPEUTICS, INC., NASDAQ MARKET INDEX — U.S.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PEER GROUP INDICES</w:t>
      </w:r>
    </w:p>
    <w:p>
      <w:pPr>
        <w:spacing w:after="0" w:line="143" w:lineRule="exact"/>
        <w:rPr>
          <w:sz w:val="20"/>
          <w:szCs w:val="20"/>
          <w:color w:val="auto"/>
        </w:rPr>
      </w:pPr>
    </w:p>
    <w:p>
      <w:pPr>
        <w:ind w:left="1260" w:right="1260" w:firstLine="360"/>
        <w:spacing w:after="0" w:line="296" w:lineRule="auto"/>
        <w:rPr>
          <w:sz w:val="20"/>
          <w:szCs w:val="20"/>
          <w:color w:val="auto"/>
        </w:rPr>
      </w:pPr>
      <w:r>
        <w:rPr>
          <w:rFonts w:ascii="Arial" w:cs="Arial" w:eastAsia="Arial" w:hAnsi="Arial"/>
          <w:sz w:val="16"/>
          <w:szCs w:val="16"/>
          <w:color w:val="auto"/>
        </w:rPr>
        <w:t>The graph below compares the cumulative total stockholder return on the common stock for the period from December 31, 2015 through December 31, 2020, with the cumulative return on (i) NASDAQ U.S. Benchmark TR Index and (ii) NASDAQ Pharmaceutical (Subsector) Index. The comparison assumes investment of $100 on December 31, 2015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85725</wp:posOffset>
            </wp:positionV>
            <wp:extent cx="4140200" cy="3437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4020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560" w:type="dxa"/>
            <w:vAlign w:val="bottom"/>
            <w:gridSpan w:val="2"/>
          </w:tcPr>
          <w:p>
            <w:pPr>
              <w:jc w:val="center"/>
              <w:ind w:left="1114"/>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Celldex Therapeutics, Inc.</w:t>
            </w:r>
          </w:p>
        </w:tc>
        <w:tc>
          <w:tcPr>
            <w:tcW w:w="1780" w:type="dxa"/>
            <w:vAlign w:val="bottom"/>
            <w:gridSpan w:val="3"/>
            <w:shd w:val="clear" w:color="auto" w:fill="CCEEFF"/>
          </w:tcPr>
          <w:p>
            <w:pPr>
              <w:jc w:val="center"/>
              <w:ind w:left="894"/>
              <w:spacing w:after="0"/>
              <w:rPr>
                <w:sz w:val="20"/>
                <w:szCs w:val="20"/>
                <w:color w:val="auto"/>
              </w:rPr>
            </w:pPr>
            <w:r>
              <w:rPr>
                <w:rFonts w:ascii="Arial" w:cs="Arial" w:eastAsia="Arial" w:hAnsi="Arial"/>
                <w:sz w:val="18"/>
                <w:szCs w:val="18"/>
                <w:color w:val="auto"/>
                <w:w w:val="89"/>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NASDAQ U.S. Benchmark TR Index</w:t>
            </w:r>
          </w:p>
        </w:tc>
        <w:tc>
          <w:tcPr>
            <w:tcW w:w="1780" w:type="dxa"/>
            <w:vAlign w:val="bottom"/>
            <w:gridSpan w:val="3"/>
          </w:tcPr>
          <w:p>
            <w:pPr>
              <w:jc w:val="center"/>
              <w:ind w:left="894"/>
              <w:spacing w:after="0"/>
              <w:rPr>
                <w:sz w:val="20"/>
                <w:szCs w:val="20"/>
                <w:color w:val="auto"/>
              </w:rPr>
            </w:pPr>
            <w:r>
              <w:rPr>
                <w:rFonts w:ascii="Arial" w:cs="Arial" w:eastAsia="Arial" w:hAnsi="Arial"/>
                <w:sz w:val="18"/>
                <w:szCs w:val="18"/>
                <w:color w:val="auto"/>
                <w:w w:val="89"/>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137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260"/>
              <w:spacing w:after="0"/>
              <w:rPr>
                <w:sz w:val="20"/>
                <w:szCs w:val="20"/>
                <w:color w:val="auto"/>
              </w:rPr>
            </w:pPr>
            <w:r>
              <w:rPr>
                <w:rFonts w:ascii="Arial" w:cs="Arial" w:eastAsia="Arial" w:hAnsi="Arial"/>
                <w:sz w:val="18"/>
                <w:szCs w:val="18"/>
                <w:color w:val="auto"/>
                <w:w w:val="79"/>
              </w:rPr>
              <w:t>206</w:t>
            </w:r>
          </w:p>
        </w:tc>
      </w:tr>
      <w:tr>
        <w:trPr>
          <w:trHeight w:val="256"/>
        </w:trPr>
        <w:tc>
          <w:tcPr>
            <w:tcW w:w="126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(Subsector) Index</w:t>
            </w:r>
          </w:p>
        </w:tc>
        <w:tc>
          <w:tcPr>
            <w:tcW w:w="1780" w:type="dxa"/>
            <w:vAlign w:val="bottom"/>
            <w:gridSpan w:val="3"/>
            <w:shd w:val="clear" w:color="auto" w:fill="CCEEFF"/>
          </w:tcPr>
          <w:p>
            <w:pPr>
              <w:jc w:val="center"/>
              <w:ind w:left="894"/>
              <w:spacing w:after="0"/>
              <w:rPr>
                <w:sz w:val="20"/>
                <w:szCs w:val="20"/>
                <w:color w:val="auto"/>
              </w:rPr>
            </w:pPr>
            <w:r>
              <w:rPr>
                <w:rFonts w:ascii="Arial" w:cs="Arial" w:eastAsia="Arial" w:hAnsi="Arial"/>
                <w:sz w:val="18"/>
                <w:szCs w:val="18"/>
                <w:color w:val="auto"/>
                <w:w w:val="89"/>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161</w:t>
            </w:r>
          </w:p>
        </w:tc>
        <w:tc>
          <w:tcPr>
            <w:tcW w:w="1260" w:type="dxa"/>
            <w:vAlign w:val="bottom"/>
          </w:tcPr>
          <w:p>
            <w:pPr>
              <w:spacing w:after="0"/>
              <w:rPr>
                <w:sz w:val="22"/>
                <w:szCs w:val="22"/>
                <w:color w:val="auto"/>
              </w:rPr>
            </w:pPr>
          </w:p>
        </w:tc>
      </w:tr>
      <w:tr>
        <w:trPr>
          <w:trHeight w:val="607"/>
        </w:trPr>
        <w:tc>
          <w:tcPr>
            <w:tcW w:w="1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80" w:type="dxa"/>
            <w:vAlign w:val="bottom"/>
          </w:tcPr>
          <w:p>
            <w:pPr>
              <w:jc w:val="right"/>
              <w:ind w:right="594"/>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5634990</wp:posOffset>
            </wp:positionH>
            <wp:positionV relativeFrom="paragraph">
              <wp:posOffset>-1148080</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-1148080</wp:posOffset>
            </wp:positionV>
            <wp:extent cx="137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-1148080</wp:posOffset>
            </wp:positionV>
            <wp:extent cx="42176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1767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The following selected financial data are derived from our audited financial statements. The statement of operations data for the years ended December 31, 2020, 2019 and 2018 and the balance sheet data as of December 31, 2020 and 2019 have been derived from our audited financial statements included in Item 8 of this Annual Report on Form 10-K. This data should be read in conjunction with our audited financial statements and related notes which are included elsewhere in this Annual Report on Form 10-K, and “Management’s Discussion and Analysis of Financial Condition and Results of Operations” included in Item 7 below.</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STATEMENTS OF OPERATIONS DATA</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Product development and licensing</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rPr>
              <w:t>473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00" w:type="dxa"/>
            <w:vAlign w:val="bottom"/>
            <w:shd w:val="clear" w:color="auto" w:fill="CCEEFF"/>
          </w:tcPr>
          <w:p>
            <w:pPr>
              <w:spacing w:after="0"/>
              <w:rPr>
                <w:sz w:val="23"/>
                <w:szCs w:val="23"/>
                <w:color w:val="auto"/>
              </w:rPr>
            </w:pPr>
          </w:p>
        </w:tc>
        <w:tc>
          <w:tcPr>
            <w:tcW w:w="4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40" w:type="dxa"/>
            <w:vAlign w:val="bottom"/>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6,197</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9,590</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7,418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3,573</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12,743</w:t>
            </w: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57"/>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right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right w:val="single" w:sz="8" w:color="CCEEFF"/>
            </w:tcBorders>
            <w:shd w:val="clear" w:color="auto" w:fill="CCEEFF"/>
          </w:tcPr>
          <w:p>
            <w:pPr>
              <w:spacing w:after="0"/>
              <w:rPr>
                <w:sz w:val="22"/>
                <w:szCs w:val="22"/>
                <w:color w:val="auto"/>
              </w:rPr>
            </w:pPr>
          </w:p>
        </w:tc>
        <w:tc>
          <w:tcPr>
            <w:tcW w:w="20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42,534</w:t>
            </w:r>
          </w:p>
        </w:tc>
        <w:tc>
          <w:tcPr>
            <w:tcW w:w="100" w:type="dxa"/>
            <w:vAlign w:val="bottom"/>
          </w:tcPr>
          <w:p>
            <w:pPr>
              <w:spacing w:after="0"/>
              <w:rPr>
                <w:sz w:val="22"/>
                <w:szCs w:val="22"/>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w w:val="98"/>
              </w:rPr>
              <w:t>42,672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66,449</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96,171</w:t>
            </w: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102,726</w:t>
            </w: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28,238</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15,932</w:t>
            </w:r>
          </w:p>
        </w:tc>
        <w:tc>
          <w:tcPr>
            <w:tcW w:w="14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99,525</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38,099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70,772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58,604</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165,974</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134,270</w:t>
            </w: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139,702</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9"/>
              </w:rPr>
              <w:t>(63,354)</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9"/>
              </w:rPr>
              <w:t>(55,031)</w:t>
            </w: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(156,436)</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(121,527)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(132,916)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0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2,407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4,153</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before income tax benefit</w:t>
            </w:r>
          </w:p>
        </w:tc>
        <w:tc>
          <w:tcPr>
            <w:tcW w:w="100" w:type="dxa"/>
            <w:vAlign w:val="bottom"/>
            <w:shd w:val="clear" w:color="auto" w:fill="CCEEFF"/>
          </w:tcPr>
          <w:p>
            <w:pPr>
              <w:spacing w:after="0"/>
              <w:rPr>
                <w:sz w:val="22"/>
                <w:szCs w:val="22"/>
                <w:color w:val="auto"/>
              </w:rPr>
            </w:pPr>
          </w:p>
        </w:tc>
        <w:tc>
          <w:tcPr>
            <w:tcW w:w="1300" w:type="dxa"/>
            <w:vAlign w:val="bottom"/>
            <w:tcBorders>
              <w:right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$(60,947)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9"/>
              </w:rPr>
              <w:t>(50,878)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(151,949)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(117,313)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(128,530)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30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24,282</w:t>
            </w: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$(59,780)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9"/>
              </w:rPr>
              <w:t>(50,878)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(151,184)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(128,530)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w w:val="94"/>
              </w:rPr>
              <w:t>Basic and diluted net loss per common share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(3.51)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40" w:type="dxa"/>
            <w:vAlign w:val="bottom"/>
            <w:tcBorders>
              <w:right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w w:val="99"/>
              </w:rPr>
              <w:t>Shares used in calculating basic and diluted net</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8"/>
              </w:rPr>
              <w:t>29,640</w:t>
            </w: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8"/>
                <w:szCs w:val="18"/>
                <w:color w:val="auto"/>
                <w:w w:val="98"/>
              </w:rPr>
              <w:t>14,507</w:t>
            </w:r>
          </w:p>
        </w:tc>
        <w:tc>
          <w:tcPr>
            <w:tcW w:w="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10,442</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8,570</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per common share</w:t>
            </w: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4"/>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vMerge w:val="continue"/>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vMerge w:val="continue"/>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3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183,637</w:t>
            </w:r>
          </w:p>
        </w:tc>
        <w:tc>
          <w:tcPr>
            <w:tcW w:w="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55,055</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86,477</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117,020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160,346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2"/>
                <w:szCs w:val="22"/>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235,838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5"/>
              </w:rPr>
              <w:t>122,933</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155,809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315,624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383,358</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12,275</w:t>
            </w: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17,264</w:t>
            </w:r>
          </w:p>
        </w:tc>
        <w:tc>
          <w:tcPr>
            <w:tcW w:w="14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19,147</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3"/>
                <w:szCs w:val="23"/>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w w:val="89"/>
              </w:rPr>
              <w:t>(1,073,096)</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(1,013,316)</w:t>
            </w:r>
          </w:p>
        </w:tc>
        <w:tc>
          <w:tcPr>
            <w:tcW w:w="140" w:type="dxa"/>
            <w:vAlign w:val="bottom"/>
          </w:tcPr>
          <w:p>
            <w:pPr>
              <w:spacing w:after="0"/>
              <w:rPr>
                <w:sz w:val="23"/>
                <w:szCs w:val="23"/>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(962,438)</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(812,517)</w:t>
            </w:r>
          </w:p>
        </w:tc>
        <w:tc>
          <w:tcPr>
            <w:tcW w:w="1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(719,486)</w:t>
            </w: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23"/>
                <w:szCs w:val="23"/>
                <w:color w:val="auto"/>
              </w:rPr>
            </w:pP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209,357</w:t>
            </w:r>
          </w:p>
        </w:tc>
        <w:tc>
          <w:tcPr>
            <w:tcW w:w="10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94,026</w:t>
            </w:r>
          </w:p>
        </w:tc>
        <w:tc>
          <w:tcPr>
            <w:tcW w:w="140" w:type="dxa"/>
            <w:vAlign w:val="bottom"/>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124,060</w:t>
            </w:r>
          </w:p>
        </w:tc>
        <w:tc>
          <w:tcPr>
            <w:tcW w:w="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236,369</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265,431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-2750820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-2750820</wp:posOffset>
            </wp:positionV>
            <wp:extent cx="128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-2750820</wp:posOffset>
            </wp:positionV>
            <wp:extent cx="128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-2750820</wp:posOffset>
            </wp:positionV>
            <wp:extent cx="29832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-3093720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-3093720</wp:posOffset>
            </wp:positionV>
            <wp:extent cx="1289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-3093720</wp:posOffset>
            </wp:positionV>
            <wp:extent cx="128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-3093720</wp:posOffset>
            </wp:positionV>
            <wp:extent cx="29832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-3779520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-3779520</wp:posOffset>
            </wp:positionV>
            <wp:extent cx="1289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-3779520</wp:posOffset>
            </wp:positionV>
            <wp:extent cx="1289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-3779520</wp:posOffset>
            </wp:positionV>
            <wp:extent cx="29832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-4602480</wp:posOffset>
            </wp:positionV>
            <wp:extent cx="128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-4602480</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-4602480</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-4602480</wp:posOffset>
            </wp:positionV>
            <wp:extent cx="29743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74340"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-839470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-839470</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-839470</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27946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current assets less total current liabilities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80" w:right="1179" w:hanging="719"/>
        <w:spacing w:after="0" w:line="282" w:lineRule="auto"/>
        <w:tabs>
          <w:tab w:leader="none" w:pos="196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spacing w:after="0" w:line="2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117" w:lineRule="exact"/>
        <w:rPr>
          <w:sz w:val="20"/>
          <w:szCs w:val="20"/>
          <w:color w:val="auto"/>
        </w:rPr>
      </w:pPr>
    </w:p>
    <w:p>
      <w:pPr>
        <w:ind w:left="1800" w:right="419" w:hanging="180"/>
        <w:spacing w:after="0" w:line="270"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CDX-0159, a monoclonal antibody that specifically binds the KIT receptor and potently inhibits its activity, which completed a Phase 1a study in healthy subjects in summer 2020. We are studying CDX-0159 in mast cell driven diseases, including, initially, in urticarias and plan to initiate a study in prurigo nodularis in the fourth quarter of 2021. In October and December 2020 respectively, we announced that enrollment had opened and the first patients had been dosed in Phase 1b studies in chronic spontaneous urticaria (CSU) and chronic inducible urticaria (CIndU). Positive interim data to date from the Phase 1b study in CIndU were reported in late Q1 2021 in patients with cold contact urticaria and symptomatic dermographism and we announced that we would be expanding this study to also include patients with cholinergic urticaria;</w:t>
      </w:r>
    </w:p>
    <w:p>
      <w:pPr>
        <w:spacing w:after="0" w:line="72" w:lineRule="exact"/>
        <w:rPr>
          <w:rFonts w:ascii="Arial" w:cs="Arial" w:eastAsia="Arial" w:hAnsi="Arial"/>
          <w:sz w:val="17"/>
          <w:szCs w:val="17"/>
          <w:color w:val="auto"/>
        </w:rPr>
      </w:pPr>
    </w:p>
    <w:p>
      <w:pPr>
        <w:ind w:left="1800" w:right="439" w:hanging="180"/>
        <w:spacing w:after="0" w:line="242"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CDX-1140, an agonist monoclonal antibody targeted to CD40, a key activator of immune response, currently being studied in a Phase1 study. Dose escalation was completed in a Phase 1 study in solid tumors and lymphoma and the recommended dose for further study was determined to be 1.5 mg/kg for both CDX-1140 monotherapy and in combination with CDX-301, our dendritic cell growth factor. We have initiated multiple expansion cohorts within the study, including a combination cohort with KEYTRUDA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(pembrolizumab) in patients refractory to PD1/PDL1 treatment and a combination cohort with standard of care chemotherapy in patients with untreated metastatic pancreatic cancer. We are exploring additional combination cohorts with mechanisms that we believe could be complementary or synergistic with CDX-1140; and</w:t>
      </w:r>
    </w:p>
    <w:p>
      <w:pPr>
        <w:spacing w:after="0" w:line="94"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CDX-527, a bispecific antibody that uses our proprietary highly active anti-PD-L1 and CD27 human antibodies to couple CD27 co-stimulation with blockade of the PD-L1/PD-1 pathway, for which we initiated a Phase 1 study in advanced solid tumors in August 2020.</w:t>
      </w:r>
    </w:p>
    <w:p>
      <w:pPr>
        <w:spacing w:after="0" w:line="22"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22" w:lineRule="exact"/>
        <w:rPr>
          <w:sz w:val="20"/>
          <w:szCs w:val="20"/>
          <w:color w:val="auto"/>
        </w:rPr>
      </w:pPr>
    </w:p>
    <w:p>
      <w:pPr>
        <w:ind w:left="1260" w:right="599" w:firstLine="360"/>
        <w:spacing w:after="0" w:line="273" w:lineRule="auto"/>
        <w:rPr>
          <w:sz w:val="20"/>
          <w:szCs w:val="20"/>
          <w:color w:val="auto"/>
        </w:rPr>
      </w:pPr>
      <w:r>
        <w:rPr>
          <w:rFonts w:ascii="Arial" w:cs="Arial" w:eastAsia="Arial" w:hAnsi="Arial"/>
          <w:sz w:val="17"/>
          <w:szCs w:val="17"/>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6"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6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r>
      <w:tr>
        <w:trPr>
          <w:trHeight w:val="162"/>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Completion</w:t>
            </w:r>
          </w:p>
        </w:tc>
      </w:tr>
      <w:tr>
        <w:trPr>
          <w:trHeight w:val="186"/>
        </w:trPr>
        <w:tc>
          <w:tcPr>
            <w:tcW w:w="6440" w:type="dxa"/>
            <w:vAlign w:val="bottom"/>
          </w:tcPr>
          <w:p>
            <w:pPr>
              <w:spacing w:after="0"/>
              <w:rPr>
                <w:sz w:val="20"/>
                <w:szCs w:val="20"/>
                <w:color w:val="auto"/>
              </w:rPr>
            </w:pPr>
            <w:r>
              <w:rPr>
                <w:rFonts w:ascii="Arial" w:cs="Arial" w:eastAsia="Arial" w:hAnsi="Arial"/>
                <w:sz w:val="14"/>
                <w:szCs w:val="14"/>
                <w:b w:val="1"/>
                <w:bCs w:val="1"/>
                <w:color w:val="auto"/>
              </w:rPr>
              <w:t>Clinical Phase</w:t>
            </w: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r>
      <w:tr>
        <w:trPr>
          <w:trHeight w:val="25"/>
        </w:trPr>
        <w:tc>
          <w:tcPr>
            <w:tcW w:w="6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Phase 1</w:t>
            </w:r>
          </w:p>
        </w:tc>
        <w:tc>
          <w:tcPr>
            <w:tcW w:w="10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1 – 2 Years</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Phase 2</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1 – 5 Years</w:t>
            </w:r>
          </w:p>
        </w:tc>
      </w:tr>
      <w:tr>
        <w:trPr>
          <w:trHeight w:val="25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10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1 – 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-479425</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62" w:lineRule="exact"/>
        <w:rPr>
          <w:sz w:val="20"/>
          <w:szCs w:val="20"/>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144"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19"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19"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9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24"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11"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During the past five years through December 31, 2020, we incurred an aggregate of $350.6 million in research and development expenses. The following table indicates the amount incurred for each of our significant research programs and for other identified research and development activities during the years ended December 31, 2020, 2019 and 2018. The amounts disclosed in the following table reflect direct research and development costs, license fees associated with the underlying technology and an allocation of indirect research and development costs to each program.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Year Ended</w:t>
            </w:r>
          </w:p>
        </w:tc>
        <w:tc>
          <w:tcPr>
            <w:tcW w:w="13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w:t>
            </w:r>
          </w:p>
        </w:tc>
      </w:tr>
      <w:tr>
        <w:trPr>
          <w:trHeight w:val="186"/>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December 31, 2020</w:t>
            </w: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December 31, 2019</w:t>
            </w:r>
          </w:p>
        </w:tc>
        <w:tc>
          <w:tcPr>
            <w:tcW w:w="1260" w:type="dxa"/>
            <w:vAlign w:val="bottom"/>
            <w:gridSpan w:val="4"/>
          </w:tcPr>
          <w:p>
            <w:pPr>
              <w:jc w:val="center"/>
              <w:ind w:left="17"/>
              <w:spacing w:after="0"/>
              <w:rPr>
                <w:sz w:val="20"/>
                <w:szCs w:val="20"/>
                <w:color w:val="auto"/>
              </w:rPr>
            </w:pPr>
            <w:r>
              <w:rPr>
                <w:rFonts w:ascii="Arial" w:cs="Arial" w:eastAsia="Arial" w:hAnsi="Arial"/>
                <w:sz w:val="14"/>
                <w:szCs w:val="14"/>
                <w:b w:val="1"/>
                <w:bCs w:val="1"/>
                <w:color w:val="auto"/>
                <w:w w:val="88"/>
              </w:rPr>
              <w:t>December 31, 2018</w:t>
            </w:r>
          </w:p>
        </w:tc>
      </w:tr>
      <w:tr>
        <w:trPr>
          <w:trHeight w:val="26"/>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98"/>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6"/>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7"/>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CDX-0159/Anti-KIT Program</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4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4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280" w:type="dxa"/>
            <w:vAlign w:val="bottom"/>
            <w:shd w:val="clear" w:color="auto" w:fill="CCEEFF"/>
          </w:tcPr>
          <w:p>
            <w:pPr>
              <w:spacing w:after="0"/>
              <w:rPr>
                <w:sz w:val="22"/>
                <w:szCs w:val="22"/>
                <w:color w:val="auto"/>
              </w:rPr>
            </w:pPr>
          </w:p>
        </w:tc>
      </w:tr>
      <w:tr>
        <w:trPr>
          <w:trHeight w:val="257"/>
        </w:trPr>
        <w:tc>
          <w:tcPr>
            <w:tcW w:w="3360" w:type="dxa"/>
            <w:vAlign w:val="bottom"/>
          </w:tcPr>
          <w:p>
            <w:pPr>
              <w:ind w:left="180"/>
              <w:spacing w:after="0"/>
              <w:rPr>
                <w:sz w:val="20"/>
                <w:szCs w:val="20"/>
                <w:color w:val="auto"/>
              </w:rPr>
            </w:pPr>
            <w:r>
              <w:rPr>
                <w:rFonts w:ascii="Arial" w:cs="Arial" w:eastAsia="Arial" w:hAnsi="Arial"/>
                <w:sz w:val="18"/>
                <w:szCs w:val="18"/>
                <w:color w:val="auto"/>
              </w:rPr>
              <w:t>CDX-1140 and CDX-301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10,948</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8,548</w:t>
            </w:r>
          </w:p>
        </w:tc>
        <w:tc>
          <w:tcPr>
            <w:tcW w:w="4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7,593</w:t>
            </w:r>
          </w:p>
        </w:tc>
        <w:tc>
          <w:tcPr>
            <w:tcW w:w="280" w:type="dxa"/>
            <w:vAlign w:val="bottom"/>
          </w:tcPr>
          <w:p>
            <w:pPr>
              <w:spacing w:after="0"/>
              <w:rPr>
                <w:sz w:val="22"/>
                <w:szCs w:val="22"/>
                <w:color w:val="auto"/>
              </w:rPr>
            </w:pPr>
          </w:p>
        </w:tc>
      </w:tr>
      <w:tr>
        <w:trPr>
          <w:trHeight w:val="256"/>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CDX-527</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4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4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80" w:type="dxa"/>
            <w:vAlign w:val="bottom"/>
            <w:shd w:val="clear" w:color="auto" w:fill="CCEEFF"/>
          </w:tcPr>
          <w:p>
            <w:pPr>
              <w:spacing w:after="0"/>
              <w:rPr>
                <w:sz w:val="22"/>
                <w:szCs w:val="22"/>
                <w:color w:val="auto"/>
              </w:rPr>
            </w:pPr>
          </w:p>
        </w:tc>
      </w:tr>
      <w:tr>
        <w:trPr>
          <w:trHeight w:val="257"/>
        </w:trPr>
        <w:tc>
          <w:tcPr>
            <w:tcW w:w="3360" w:type="dxa"/>
            <w:vAlign w:val="bottom"/>
          </w:tcPr>
          <w:p>
            <w:pPr>
              <w:ind w:left="180"/>
              <w:spacing w:after="0"/>
              <w:rPr>
                <w:sz w:val="20"/>
                <w:szCs w:val="20"/>
                <w:color w:val="auto"/>
              </w:rPr>
            </w:pPr>
            <w:r>
              <w:rPr>
                <w:rFonts w:ascii="Arial" w:cs="Arial" w:eastAsia="Arial" w:hAnsi="Arial"/>
                <w:sz w:val="18"/>
                <w:szCs w:val="18"/>
                <w:color w:val="auto"/>
              </w:rPr>
              <w:t>TAM</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1,957</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4,449</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5,452</w:t>
            </w:r>
          </w:p>
        </w:tc>
        <w:tc>
          <w:tcPr>
            <w:tcW w:w="280" w:type="dxa"/>
            <w:vAlign w:val="bottom"/>
          </w:tcPr>
          <w:p>
            <w:pPr>
              <w:spacing w:after="0"/>
              <w:rPr>
                <w:sz w:val="22"/>
                <w:szCs w:val="22"/>
                <w:color w:val="auto"/>
              </w:rPr>
            </w:pPr>
          </w:p>
        </w:tc>
      </w:tr>
      <w:tr>
        <w:trPr>
          <w:trHeight w:val="263"/>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12,345</w:t>
            </w:r>
          </w:p>
        </w:tc>
        <w:tc>
          <w:tcPr>
            <w:tcW w:w="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16,188</w:t>
            </w:r>
          </w:p>
        </w:tc>
        <w:tc>
          <w:tcPr>
            <w:tcW w:w="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44,667</w:t>
            </w:r>
          </w:p>
        </w:tc>
        <w:tc>
          <w:tcPr>
            <w:tcW w:w="280" w:type="dxa"/>
            <w:vAlign w:val="bottom"/>
            <w:tcBorders>
              <w:bottom w:val="single" w:sz="8" w:color="CCEEFF"/>
            </w:tcBorders>
            <w:shd w:val="clear" w:color="auto" w:fill="CCEEFF"/>
          </w:tcPr>
          <w:p>
            <w:pPr>
              <w:spacing w:after="0"/>
              <w:rPr>
                <w:sz w:val="22"/>
                <w:szCs w:val="22"/>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Total R&amp;D Expense</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42,534</w:t>
            </w:r>
          </w:p>
        </w:tc>
        <w:tc>
          <w:tcPr>
            <w:tcW w:w="4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42,672</w:t>
            </w:r>
          </w:p>
        </w:tc>
        <w:tc>
          <w:tcPr>
            <w:tcW w:w="4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66,449</w:t>
            </w:r>
          </w:p>
        </w:tc>
        <w:tc>
          <w:tcPr>
            <w:tcW w:w="280" w:type="dxa"/>
            <w:vAlign w:val="bottom"/>
          </w:tcPr>
          <w:p>
            <w:pPr>
              <w:spacing w:after="0"/>
              <w:rPr>
                <w:sz w:val="23"/>
                <w:szCs w:val="23"/>
                <w:color w:val="auto"/>
              </w:rPr>
            </w:pPr>
          </w:p>
        </w:tc>
      </w:tr>
      <w:tr>
        <w:trPr>
          <w:trHeight w:val="21"/>
        </w:trPr>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-1191260</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-1191260</wp:posOffset>
            </wp:positionV>
            <wp:extent cx="137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Clinical Development Programs</w:t>
      </w:r>
    </w:p>
    <w:p>
      <w:pPr>
        <w:spacing w:after="0" w:line="162"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While our clinical development programs have not been significantly, negatively impacted by COVID-19 to date, we continue to carefully monitor the evolving situation closely across all our development programs and work to minimize potential impact/disruptions.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CDX-0159</w:t>
      </w:r>
    </w:p>
    <w:p>
      <w:pPr>
        <w:spacing w:after="0" w:line="144"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In certain inflammatory diseases, such as chronic spontaneous urticaria (CSU), also known as chronic idiopathic urticaria (CIU) and chronic inducible urticaria (CIndU), mast cell degranulation plays a central role in the onset and progression of the disease.</w:t>
      </w:r>
    </w:p>
    <w:p>
      <w:pPr>
        <w:spacing w:after="0" w:line="122"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spacing w:after="0" w:line="9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In June 2020, we completed a randomized, double-blind, placebo-controlled, single ascending dose escalation Phase 1a study of CDX-0159 in healthy subjects (n=32; 8 subjects per cohort, 6 CDX-0159; 2 placebo) . Subjects received a single intravenous infusion of CDX-0159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CDX-0159 demonstrated a favorable safety profile as well as profound and durable reductions of plasma tryptase, consistent with systemic mast cell suppression.</w:t>
      </w:r>
    </w:p>
    <w:p>
      <w:pPr>
        <w:spacing w:after="0" w:line="72" w:lineRule="exact"/>
        <w:rPr>
          <w:sz w:val="20"/>
          <w:szCs w:val="20"/>
          <w:color w:val="auto"/>
        </w:rPr>
      </w:pPr>
    </w:p>
    <w:p>
      <w:pPr>
        <w:ind w:left="1800" w:right="599" w:hanging="180"/>
        <w:spacing w:after="0" w:line="263"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Most common adverse events were mild infusion-related reactions, all of which spontaneously resolved without intervention. Mild and asymptomatic decreases in neutrophil and white blood cell count were observed in laboratory testing.</w:t>
      </w:r>
    </w:p>
    <w:p>
      <w:pPr>
        <w:spacing w:after="0" w:line="62"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single dose of CDX-0159 suppressed plasma tryptase levels in a dose-dependent manner, indicative of systemic mast cell suppression. Tryptase suppression below the level of detection was observed after a single 1.0 mg/kg dose and was maintained for more than 2 months at single doses of both 3.0 and 9.0 mg/kg of CDX-0159. A subset of subjects from the 3mg/kg and 9 mg/kg cohorts agreed to continued follow up for tryptase suppression which remained below the level of detection for over 3 months (14 weeks) in 50% of subjects and over 4 months (18 weeks) in all subjects, respectively.</w:t>
      </w:r>
    </w:p>
    <w:p>
      <w:pPr>
        <w:spacing w:after="0" w:line="86" w:lineRule="exact"/>
        <w:rPr>
          <w:rFonts w:ascii="Arial" w:cs="Arial" w:eastAsia="Arial" w:hAnsi="Arial"/>
          <w:sz w:val="18"/>
          <w:szCs w:val="18"/>
          <w:color w:val="auto"/>
        </w:rPr>
      </w:pPr>
    </w:p>
    <w:p>
      <w:pPr>
        <w:ind w:left="1800" w:right="599" w:hanging="180"/>
        <w:spacing w:after="0" w:line="308"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Dose dependent increases in plasma stem cell factor mirror decreases in tryptase, consistent with allosteric blockade of stem cell factor to KIT and demonstrate complete target engagement in vivo.</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 serum half-life and non-immunogenic profile support a convenient dosing schedule.</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Enhanced PK profile and durable tryptase suppression at low doses support re-formulation for sub-cutaneous administration.</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These data supported expansion of the CDX-0159 program into mast cell driven diseases, including initially in chronic spontaneous urticaria (CSU) and chronic inducible urticaria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Celldex is exploring cold-induced and dermographism (scratch-induced) urticarias.</w:t>
      </w:r>
    </w:p>
    <w:p>
      <w:pPr>
        <w:spacing w:after="0" w:line="112"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6"/>
          <w:szCs w:val="16"/>
          <w:color w:val="auto"/>
        </w:rPr>
        <w:t>In October 2020, we announced that enrollment had opened and the first patient had been dosed in a Phase 1b multi-center study of CDX-0159 in CSU. This study is a randomized, double-blind, placebo-controlled clinical trial designed to assess the safety of multiple ascending doses of CDX-0159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CDX-0159 is administered intravenously (0.5, 1.5, 3 and 4.5 mg/kg at varying dosing schedules) as add on treatment to H1-antihistamines, either alone or in combination with H2-antihistamines and/or leukotriene receptor agonists.</w:t>
      </w:r>
    </w:p>
    <w:p>
      <w:pPr>
        <w:spacing w:after="0" w:line="101"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In December 2020, we announced that enrollment had opened and the first patient had been dosed in a second Phase 1b study in CIndU being conducted in Germany. This study is an open label clinical trial designed to evaluate the safety of a single dose of CDX -0159 in up to 20 patients with cold contact urticaria (n=10) or symptomatic dermographism (n=10) who are refractory to antihistamines.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CDX-0159 is administered intravenously (3.0 mg/kg) on Day 1 as add on treatment to H1-antihistamines.</w:t>
      </w:r>
    </w:p>
    <w:p>
      <w:pPr>
        <w:spacing w:after="0" w:line="113"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In March of 2021, we reported positive interim data from the Phase 1b study in CIndU in patients with cold contact urticaria and symptomatic dermographism. Fifteen out of 20 planned patients with antihistamine refractory CIndU had received a single intravenous infusion of CDX-0159 at 3 mg/kg, including nine patients with cold contact urticaria (ColdU) and six patients with symptomatic dermographism (SD) . Safety results were reported for all 15 patients; activity results were reported for all patients assessed for at least 15 days/2 weeks after treatment (n=10; 7 ColdU and 3 SD). Patients had high disease activity as assessed by provocation threshold testing. In ColdU and SD pts, baseline critical temperature thresholds were 18.7 +/- 2.7 °C (range: 5-27°C) and FricTest® thresholds were 3.7 +/- 0.3 (range: 3-4) of 4.</w:t>
      </w:r>
    </w:p>
    <w:p>
      <w:pPr>
        <w:spacing w:after="0" w:line="70" w:lineRule="exact"/>
        <w:rPr>
          <w:sz w:val="20"/>
          <w:szCs w:val="20"/>
          <w:color w:val="auto"/>
        </w:rPr>
      </w:pPr>
    </w:p>
    <w:p>
      <w:pPr>
        <w:ind w:left="1800" w:right="539" w:hanging="180"/>
        <w:spacing w:after="0" w:line="25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Eight of 10 patients (7 ColdU; 1 SD) experienced a complete response (CR) as assessed by provocation threshold testing. The remaining two patients (both with SD), had been recently treated and were followed for two weeks. One patient experienced a partial response (PR) thus far and one patient reported symptomatic improvement (decreased itching). All patients will continue to be assessed for response through week 12.</w:t>
      </w:r>
    </w:p>
    <w:p>
      <w:pPr>
        <w:spacing w:after="0" w:line="79"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Patient global assessment (Pat-GA) and physician global assessment (Phy-GA) results were consistent with provocation testing results.</w:t>
      </w:r>
    </w:p>
    <w:p>
      <w:pPr>
        <w:spacing w:after="0" w:line="62" w:lineRule="exact"/>
        <w:rPr>
          <w:rFonts w:ascii="Arial" w:cs="Arial" w:eastAsia="Arial" w:hAnsi="Arial"/>
          <w:sz w:val="18"/>
          <w:szCs w:val="18"/>
          <w:color w:val="auto"/>
        </w:rPr>
      </w:pPr>
    </w:p>
    <w:p>
      <w:pPr>
        <w:ind w:left="1800" w:right="479" w:hanging="180"/>
        <w:spacing w:after="0" w:line="286"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Measurements of serum tryptase levels are available for only the first six patients evaluated for activity, all with ColdU. The mean baseline was 3.3 +/- 0.2 ng/ml and levels on day 15 after treatment were at or below the limit of detection. These patients all experienced complete responses.</w:t>
      </w:r>
    </w:p>
    <w:p>
      <w:pPr>
        <w:spacing w:after="0" w:line="57" w:lineRule="exact"/>
        <w:rPr>
          <w:rFonts w:ascii="Arial" w:cs="Arial" w:eastAsia="Arial" w:hAnsi="Arial"/>
          <w:sz w:val="17"/>
          <w:szCs w:val="17"/>
          <w:color w:val="auto"/>
        </w:rPr>
      </w:pPr>
    </w:p>
    <w:p>
      <w:pPr>
        <w:ind w:left="1800" w:right="519" w:hanging="180"/>
        <w:spacing w:after="0" w:line="259"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CDX-0159 was generally well tolerated. Six of 15 patients had mild infusion reactions, generally areas of localized redness and itching, which resolved rapidly. A single severe infusion reaction was observed (brief loss of consciousness, followed by shaking and sweating). The patient was treated with</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spacing w:after="0" w:line="259" w:lineRule="auto"/>
        <w:rPr>
          <w:sz w:val="20"/>
          <w:szCs w:val="20"/>
          <w:color w:val="auto"/>
        </w:rPr>
      </w:pPr>
      <w:r>
        <w:rPr>
          <w:rFonts w:ascii="Arial" w:cs="Arial" w:eastAsia="Arial" w:hAnsi="Arial"/>
          <w:sz w:val="18"/>
          <w:szCs w:val="18"/>
          <w:color w:val="auto"/>
        </w:rPr>
        <w:t>antihistamines and steroids; no epinephrine was administered. The patient rapidly recovered and was hospitalized for observation with no further manifestations of this event. Importantly, there was no evidence of mast cell activation as measured by decreases in serum tryptase levels shortly after the infusion and further at a later time point.</w:t>
      </w:r>
    </w:p>
    <w:p>
      <w:pPr>
        <w:spacing w:after="0" w:line="79" w:lineRule="exact"/>
        <w:rPr>
          <w:sz w:val="20"/>
          <w:szCs w:val="20"/>
          <w:color w:val="auto"/>
        </w:rPr>
      </w:pPr>
    </w:p>
    <w:p>
      <w:pPr>
        <w:ind w:left="1800" w:right="83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day 15, three patients had transient, mild decreases in hemoglobin, and no patients had meaningful declines in white blood cells.</w:t>
      </w:r>
    </w:p>
    <w:p>
      <w:pPr>
        <w:spacing w:after="0" w:line="62" w:lineRule="exact"/>
        <w:rPr>
          <w:rFonts w:ascii="Arial" w:cs="Arial" w:eastAsia="Arial" w:hAnsi="Arial"/>
          <w:sz w:val="18"/>
          <w:szCs w:val="18"/>
          <w:color w:val="auto"/>
        </w:rPr>
      </w:pPr>
    </w:p>
    <w:p>
      <w:pPr>
        <w:jc w:val="both"/>
        <w:ind w:left="1800" w:right="899" w:hanging="180"/>
        <w:spacing w:after="0" w:line="286"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Enrollment is currently being completed in the ColdU and SD cohorts (10 per cohort; 20 total). Based on these compelling results, the study is being expanded to also include 10 patients with cholinergic urticaria and is planned to begin enrolling these patients in May of 2021.</w:t>
      </w:r>
    </w:p>
    <w:p>
      <w:pPr>
        <w:spacing w:after="0" w:line="98"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We continue to assess potential opportunities for CDX-0159 in other diseases where mast cells play an important role, such as dermatologic, respiratory, allergic, gastrointestinal and ophthalmic conditions. In February of 2021, we announced that we plan to expand clinical development of CDX-0159 into prurigo nodularis (PN),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are currently no FDA approved therapies for PN, representing an area of significant unmet need. Celldex anticipates initiating the study in PN in the fourth quarter of 2021.</w:t>
      </w:r>
    </w:p>
    <w:p>
      <w:pPr>
        <w:spacing w:after="0" w:line="97"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Manufacturing activities are also progressing as planned to support the introduction of the CDX-0159 subcutaneous formulation into the clinical program in the third quarter of 2021.</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CDX-1140</w:t>
      </w:r>
    </w:p>
    <w:p>
      <w:pPr>
        <w:spacing w:after="0" w:line="15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1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initiated a Phase 1 study of CDX-1140 in November 2017. This study is expected to enroll up to approximately 260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1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support of this, the Phase 1 study protocol also allows for the exploration of CDX-1140 in combination with CDX-301 at a fixed dose of CDX-301 and escalating doses of CDX-1140. Dendritic cells, which express CD40, are often rare or missing from the tumor microenvironment and are critical for initiating anti-tumor immunity. CDX-301, a recombinant FMS-like tyrosine kinase 3 ligand, or Flt3L, is a hematopoietic cytokine that uniquely expands dendritic cells and hematopoietic stem cells, and in combination with other agents may potentiate anti-tumor responses. CDX-301 is being utilized as a priming agent in this study to increase the number of dendritic cells in blood and tissue available for CDX-1140 activation. CDX-1140 should, in turn, activate and mature the dendritic cells, an important step for enhancing anti-tumor immune responses.</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Prior data presented at Society for Immunotherapy of Cancer’s (SITC) 34th Annual Meeting in November 2019. established the maximum tolerated dose (MTD) and recommended dose for continued study at 1.5 mg/kg — one of the highest systemic dose levels in the CD40 agonist class. Clinical activity both as a monotherapy and in combination with CDX-301 were also reported for CDX-1140 at varying doses, including an unconfirmed partial response (uPR) and tumor cavitation. At SITC 2020, analysis was focused on patients treated at the MTD and recommended dose of 1.5 mg/kg. 41 patients (n=25 monotherapy; n=16 in combination with CDX-301) had been treated at the 1.5 mg/kg dose at the time of data cutoff; 29 patients had post-treatment scans performed and five patients had not reached their first post-treatment response assessment. In addition, preliminary safety data from the combination cohort with pembrolizumab (n=9; 4 at 0.72 mg/kg and 5 at 1.5 mg/kg CDX-1140) were also presented. CDX-1140 monotherapy and in combination with CDX-301 or pembrolizumab was generally well tolerated with mostly grade 1 or grade 2 drug related adverse events. Activity at 1.5mg/kg dose of CDX-1140 to date included:</w:t>
      </w:r>
    </w:p>
    <w:p>
      <w:pPr>
        <w:spacing w:after="0" w:line="71" w:lineRule="exact"/>
        <w:rPr>
          <w:sz w:val="20"/>
          <w:szCs w:val="20"/>
          <w:color w:val="auto"/>
        </w:rPr>
      </w:pPr>
    </w:p>
    <w:p>
      <w:pPr>
        <w:ind w:left="1800" w:right="53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ongoing (6+ months) complete response (CR) in a patient with follicular lymphoma treated with CDX-1140 in combination with CDX-301;</w:t>
      </w:r>
    </w:p>
    <w:p>
      <w:pPr>
        <w:spacing w:after="0" w:line="62" w:lineRule="exact"/>
        <w:rPr>
          <w:rFonts w:ascii="Arial" w:cs="Arial" w:eastAsia="Arial" w:hAnsi="Arial"/>
          <w:sz w:val="18"/>
          <w:szCs w:val="18"/>
          <w:color w:val="auto"/>
        </w:rPr>
      </w:pPr>
    </w:p>
    <w:p>
      <w:pPr>
        <w:ind w:left="1800" w:right="699" w:hanging="180"/>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Notable tumor shrinkage and/or necrosis in 6 patients with squamous cell head and neck cancer (SCCHN), including extensive tumor cavitation/necrosis of a large baseline protruding neck mass associated with decreased tumor pain in a patient;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Stable disease (n=10) for 11 to 32 weeks.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CDX-1140 at the recommended dose of 1.5 mg/kg provided good systemic exposure that enhanced the distribution into tissues and tumor and resulted in marked changes in the tumor microenvironment (TME) consistent with a more inflammatory and less immunosuppressive state as demonstrated by gene expression analysis. Interferon signaling and cytotoxicity pathways were most highly upregulated, while immunosuppression via TGFb signaling and metastatic pathways were downregulated, marking the first clear demonstration in patients of biological activity within the TME for a systemically administered agonist anti-CD40 mAb. Pre-treatment of patients with CDX-301 greatly increased the number of circulating dendritic cells prior to CDX-1140 administration and peripheral blood mononuclear cells (PBMCs) isolated from CDX-301 pretreated patients were more responsive to CDX-1140 than PBMCs from non-pretreated patients.</w:t>
      </w:r>
    </w:p>
    <w:p>
      <w:pPr>
        <w:spacing w:after="0" w:line="12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Two combination cohorts are ongoing. A combination of CDX-1140 with pembrolizumab has completed the safety run-in and expansion cohorts in patients with checkpoint-refractory squamous cell head and neck cancer and non-small cell lung cancer is enrolling patients. A combination of CDX-1140 with gemcitabine/nab-paclitaxel in patients with previously untreated metastatic pancreatic adenocarcinoma is also enrolling patients. We are also exploring additional combination cohorts with mechanisms that we believe could be complementary or synergistic with CDX-1140.</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CDX-527</w:t>
      </w:r>
    </w:p>
    <w:p>
      <w:pPr>
        <w:spacing w:after="0" w:line="144"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125"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pacing w:after="0" w:line="119" w:lineRule="exact"/>
        <w:rPr>
          <w:sz w:val="20"/>
          <w:szCs w:val="20"/>
          <w:color w:val="auto"/>
        </w:rPr>
      </w:pPr>
    </w:p>
    <w:p>
      <w:pPr>
        <w:ind w:left="1260" w:right="499" w:firstLine="360"/>
        <w:spacing w:after="0" w:line="301" w:lineRule="auto"/>
        <w:rPr>
          <w:sz w:val="20"/>
          <w:szCs w:val="20"/>
          <w:color w:val="auto"/>
        </w:rPr>
      </w:pPr>
      <w:r>
        <w:rPr>
          <w:rFonts w:ascii="Arial" w:cs="Arial" w:eastAsia="Arial" w:hAnsi="Arial"/>
          <w:sz w:val="16"/>
          <w:szCs w:val="16"/>
          <w:color w:val="auto"/>
        </w:rPr>
        <w:t>In August 2020, we announced the initiation of a Phase 1 dose-escalation study in up to ~90 patients with advanced or metastatic solid tumors that have progressed during or after standard of care therapy to be followed by tumor-specific expansion cohorts. The study is designed to determine the maximum tolerated dose, or MTD, during a dose-escalation phase and to recommend a dose level for further study in the</w:t>
      </w:r>
    </w:p>
    <w:p>
      <w:pPr>
        <w:sectPr>
          <w:pgSz w:w="11900" w:h="16838" w:orient="portrait"/>
          <w:cols w:equalWidth="0" w:num="1">
            <w:col w:w="9879"/>
          </w:cols>
          <w:pgMar w:left="580" w:top="132" w:right="1440" w:bottom="1440" w:gutter="0" w:footer="0" w:header="0"/>
        </w:sectPr>
      </w:pP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91" w:lineRule="auto"/>
        <w:rPr>
          <w:sz w:val="20"/>
          <w:szCs w:val="20"/>
          <w:color w:val="auto"/>
        </w:rPr>
      </w:pPr>
      <w:r>
        <w:rPr>
          <w:rFonts w:ascii="Arial" w:cs="Arial" w:eastAsia="Arial" w:hAnsi="Arial"/>
          <w:sz w:val="17"/>
          <w:szCs w:val="17"/>
          <w:color w:val="auto"/>
        </w:rPr>
        <w:t>subsequent expansion phase. The expansion is designed to further evaluate the tolerability, and biologic and anti-tumor effects of selected dose level(s) of CDX-527 in specific tumor types. Enrollment is ongoing.</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Our significant accounting policies are described in Note 2 to the financial statements included in Item 8 of this Form 10-K. We believe our most critical accounting policies include accounting for contingent consideration, revenue recognition, intangible and long-lived assets, research and development expenses and stock-based compensation expense.</w:t>
      </w:r>
    </w:p>
    <w:p>
      <w:pPr>
        <w:spacing w:after="0" w:line="120"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financial statements: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Contingent Consideration</w:t>
      </w:r>
    </w:p>
    <w:p>
      <w:pPr>
        <w:spacing w:after="0" w:line="158" w:lineRule="exact"/>
        <w:rPr>
          <w:sz w:val="20"/>
          <w:szCs w:val="20"/>
          <w:color w:val="auto"/>
        </w:rPr>
      </w:pPr>
    </w:p>
    <w:p>
      <w:pPr>
        <w:ind w:left="1260" w:right="959" w:firstLine="360"/>
        <w:spacing w:after="0" w:line="248"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We determine the fair value of the contingent consideration based primarily on the following factors:</w:t>
      </w:r>
    </w:p>
    <w:p>
      <w:pPr>
        <w:spacing w:after="0" w:line="60" w:lineRule="exact"/>
        <w:rPr>
          <w:sz w:val="20"/>
          <w:szCs w:val="20"/>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timing and probability of success of clinical events or regulatory approvals;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timing and probability of success of meeting clinical and commercial milestones;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158"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Our contingent consideration liabilities arose in connection with our acquisition of Kolltan. On a quarterly basis, we revalue these obligations and record increases or decreases in their fair value as an adjustment to operating earnings. Changes to contingent consideration obligations can result from adjustments to discount rates, accretion of the discount rates due to the passage of time, changes in our estimates of the likelihood or timing of achieving development or commercial milestones, changes in the probability of certain clinical events or changes in the assumed probability associated with regulatory approval.</w:t>
      </w:r>
    </w:p>
    <w:p>
      <w:pPr>
        <w:spacing w:after="0" w:line="123" w:lineRule="exact"/>
        <w:rPr>
          <w:sz w:val="20"/>
          <w:szCs w:val="20"/>
          <w:color w:val="auto"/>
        </w:rPr>
      </w:pPr>
    </w:p>
    <w:p>
      <w:pPr>
        <w:jc w:val="both"/>
        <w:ind w:left="1260" w:right="839" w:firstLine="360"/>
        <w:spacing w:after="0" w:line="270" w:lineRule="auto"/>
        <w:rPr>
          <w:sz w:val="20"/>
          <w:szCs w:val="20"/>
          <w:color w:val="auto"/>
        </w:rPr>
      </w:pPr>
      <w:r>
        <w:rPr>
          <w:rFonts w:ascii="Arial" w:cs="Arial" w:eastAsia="Arial" w:hAnsi="Arial"/>
          <w:sz w:val="17"/>
          <w:szCs w:val="17"/>
          <w:color w:val="auto"/>
        </w:rPr>
        <w:t>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17" w:lineRule="exact"/>
        <w:rPr>
          <w:sz w:val="20"/>
          <w:szCs w:val="20"/>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44"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Revenue for the Company has historically been derived from biopharmaceutical product development agreements with collaborative partners for the research and development of therapeutic drug candidates. The terms of the agreements may include nonrefundable signing and licensing fees, funding for research,</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59"/>
        <w:spacing w:after="0" w:line="243" w:lineRule="auto"/>
        <w:rPr>
          <w:sz w:val="20"/>
          <w:szCs w:val="20"/>
          <w:color w:val="auto"/>
        </w:rPr>
      </w:pPr>
      <w:r>
        <w:rPr>
          <w:rFonts w:ascii="Arial" w:cs="Arial" w:eastAsia="Arial" w:hAnsi="Arial"/>
          <w:sz w:val="18"/>
          <w:szCs w:val="18"/>
          <w:color w:val="auto"/>
        </w:rPr>
        <w:t>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w:t>
      </w:r>
    </w:p>
    <w:p>
      <w:pPr>
        <w:spacing w:after="0" w:line="107"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Under product development agreements, revenue is generally recognized using a cost-to -cost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1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Intangible and Long-Lived Assets</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We evaluate the recoverability of our long-lived assets, including property and equipment, and finite-lived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IPR&amp;D assets acquired in a business combination initially are recorded at fair value and accounted for as indefinite-lived intangible assets. These assets are capitalized on our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Discounted cash flow models are typically used in these tests, and the models require the use of significant estimates and assumptions including but not limited to:</w:t>
      </w:r>
    </w:p>
    <w:p>
      <w:pPr>
        <w:spacing w:after="0" w:line="73" w:lineRule="exact"/>
        <w:rPr>
          <w:sz w:val="20"/>
          <w:szCs w:val="20"/>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timing and costs to complete the in-process projects;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timing and probability of success of clinical events or regulatory approvals;</w:t>
      </w:r>
    </w:p>
    <w:p>
      <w:pPr>
        <w:spacing w:after="0" w:line="103"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estimated future cash flows from product sales resulting from completed products and in-process projects;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Each IPR&amp;D asset is assessed for impairment at least annually or when impairment indicators are present. During the fourth quarter of 2020, we evaluated the TAM program IPR&amp;D asset for potential impairment as a result of changes in projected development and regulatory timelines related to the program. We concluded that the TAM IPR&amp;D asset was partially impaired, and a non-cash impairment charge of $14.5 million was recorded in the fourth quarter of 2020. As a result of the discontinuation of the CDX-3379 program in the second quarter of 2020, we concluded that the CDX-3379 IPR&amp;D asset was fully impaired, and a non- cash impairment charge of $3.5 million was recorded in the second quarter of 2020. We performed an annual impairment test of the remaining IPR&amp;D assets during the fourth quarter of 2020 and concluded that the IPR&amp;D assets were not impaired.</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19"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We accrue the cost of services rendered in connection with CRO and CMO activities based on our estimate of costs incurred. We maintain regular communication with our CROs and CMOs to assess the reasonableness of our estimates. Differences between actual expenses and estimated expenses recorded have not been material and are adjusted for in the period in which they become known.</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Stock-Based Compensation Expense</w:t>
      </w:r>
    </w:p>
    <w:p>
      <w:pPr>
        <w:spacing w:after="0" w:line="158"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record stock-based compensation expense for all stock-based awards made to employees, directors and non-employees based on the estimated fair values of the stock-based awards expected to vest at the grant date and adjust, if necessary, to reflect actual forfeitures. Our estimates of employee stock option values rely on estimates of future uncertain events. Significant assumptions include the use of historical volatility to estimate the expected stock price volatility. We also estimate expected term based on historical exercise patterns. For non-employee grants, we may elect to use the contractual term as the expected term in the option-pricing model. Actual volatility and lives of options may be significantly different from our estimates. Compensation expense for all stock-based awards to employees and directors is recognized using the straight-line method over the term of vesting 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Increase/</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Increase/</w:t>
            </w:r>
          </w:p>
        </w:tc>
      </w:tr>
      <w:tr>
        <w:trPr>
          <w:trHeight w:val="186"/>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(Decrease)</w:t>
            </w:r>
          </w:p>
        </w:tc>
      </w:tr>
      <w:tr>
        <w:trPr>
          <w:trHeight w:val="26"/>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21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6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r>
      <w:tr>
        <w:trPr>
          <w:trHeight w:val="26"/>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49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473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1,828</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22"/>
                <w:szCs w:val="22"/>
                <w:color w:val="auto"/>
              </w:rPr>
            </w:pPr>
          </w:p>
        </w:tc>
      </w:tr>
      <w:tr>
        <w:trPr>
          <w:trHeight w:val="263"/>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2"/>
                <w:szCs w:val="22"/>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9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7,418</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3,573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3,845</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3"/>
                <w:szCs w:val="23"/>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42,534</w:t>
            </w:r>
          </w:p>
        </w:tc>
        <w:tc>
          <w:tcPr>
            <w:tcW w:w="10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42,672</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56"/>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14,456</w:t>
            </w:r>
          </w:p>
        </w:tc>
        <w:tc>
          <w:tcPr>
            <w:tcW w:w="10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15,426</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(970)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Intangible asset impairment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18,000</w:t>
            </w:r>
          </w:p>
        </w:tc>
        <w:tc>
          <w:tcPr>
            <w:tcW w:w="10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18,000</w:t>
            </w:r>
          </w:p>
        </w:tc>
        <w:tc>
          <w:tcPr>
            <w:tcW w:w="200" w:type="dxa"/>
            <w:vAlign w:val="bottom"/>
          </w:tcPr>
          <w:p>
            <w:pPr>
              <w:spacing w:after="0"/>
              <w:rPr>
                <w:sz w:val="22"/>
                <w:szCs w:val="22"/>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n/a</w:t>
            </w:r>
          </w:p>
        </w:tc>
      </w:tr>
      <w:tr>
        <w:trPr>
          <w:trHeight w:val="25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asset impairment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Gain on fair value remeasurement of contingent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consideration</w:t>
            </w: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2,924</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70,772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58,604</w:t>
            </w: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12,168</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2"/>
                <w:szCs w:val="22"/>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9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(63,354)</w:t>
            </w:r>
          </w:p>
        </w:tc>
        <w:tc>
          <w:tcPr>
            <w:tcW w:w="1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(55,031)</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8,323</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2"/>
                <w:szCs w:val="22"/>
                <w:color w:val="auto"/>
              </w:rPr>
            </w:pPr>
          </w:p>
        </w:tc>
      </w:tr>
      <w:tr>
        <w:trPr>
          <w:trHeight w:val="26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(1,746)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6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920" w:type="dxa"/>
            <w:vAlign w:val="bottom"/>
            <w:gridSpan w:val="2"/>
          </w:tcPr>
          <w:p>
            <w:pPr>
              <w:spacing w:after="0"/>
              <w:rPr>
                <w:sz w:val="20"/>
                <w:szCs w:val="20"/>
                <w:color w:val="auto"/>
              </w:rPr>
            </w:pPr>
            <w:r>
              <w:rPr>
                <w:rFonts w:ascii="Arial" w:cs="Arial" w:eastAsia="Arial" w:hAnsi="Arial"/>
                <w:sz w:val="18"/>
                <w:szCs w:val="18"/>
                <w:color w:val="auto"/>
              </w:rPr>
              <w:t>Net loss before income tax benefit</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(60,947)</w:t>
            </w:r>
          </w:p>
        </w:tc>
        <w:tc>
          <w:tcPr>
            <w:tcW w:w="1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(50,878)</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10,069</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2"/>
                <w:szCs w:val="22"/>
                <w:color w:val="auto"/>
              </w:rPr>
            </w:pPr>
          </w:p>
        </w:tc>
      </w:tr>
      <w:tr>
        <w:trPr>
          <w:trHeight w:val="26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2"/>
                <w:szCs w:val="22"/>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9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(59,780)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(50,878)</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8,902</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3"/>
                <w:szCs w:val="23"/>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-1876425</wp:posOffset>
            </wp:positionV>
            <wp:extent cx="521208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-1550670</wp:posOffset>
            </wp:positionV>
            <wp:extent cx="521208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-728345</wp:posOffset>
            </wp:positionV>
            <wp:extent cx="52120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-1079500</wp:posOffset>
            </wp:positionV>
            <wp:extent cx="5740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-1079500</wp:posOffset>
            </wp:positionV>
            <wp:extent cx="42602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6021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-3059430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-3059430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-3059430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Net Loss</w:t>
      </w:r>
    </w:p>
    <w:p>
      <w:pPr>
        <w:spacing w:after="0" w:line="158" w:lineRule="exact"/>
        <w:rPr>
          <w:sz w:val="20"/>
          <w:szCs w:val="20"/>
          <w:color w:val="auto"/>
        </w:rPr>
      </w:pPr>
    </w:p>
    <w:p>
      <w:pPr>
        <w:jc w:val="both"/>
        <w:ind w:left="1260" w:right="579" w:firstLine="360"/>
        <w:spacing w:after="0" w:line="243" w:lineRule="auto"/>
        <w:rPr>
          <w:sz w:val="20"/>
          <w:szCs w:val="20"/>
          <w:color w:val="auto"/>
        </w:rPr>
      </w:pPr>
      <w:r>
        <w:rPr>
          <w:rFonts w:ascii="Arial" w:cs="Arial" w:eastAsia="Arial" w:hAnsi="Arial"/>
          <w:sz w:val="18"/>
          <w:szCs w:val="18"/>
          <w:color w:val="auto"/>
        </w:rPr>
        <w:t>The $8.9 million increase in net loss for the year ended December 31, 2020, as compared to the year ended December 31, 2019, was primarily the result of an increase in non -cash intangible asset impairment expense, partially offset by an increase in revenue and an increase in the gain on fair value remeasurement of contingent consideration.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w:t>
      </w:r>
    </w:p>
    <w:p>
      <w:pPr>
        <w:spacing w:after="0" w:line="144"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The $ 1.8 million increase in product development and licensing agreements revenue for the year ended December 31, 2020, as compared to the year ended December 31, 2019, was primarily due to the $1.8 million received from the Rockefeller Transaction. The $2.0 million increase in contracts and grants revenue for the year ended December 31, 2020, as compared to the year ended December 31, 2019, was primarily related to an increase in services performed under our contract manufacturing and research and development agreements with Rockefeller University and Gilead Sciences, partially offset by a decrease in services performed under our manufacturing and research and development agreement with Duke University. We expect revenue to decrease over the next twelve months as a result of a decrease in revenue from product development and licensing agreements.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 Expense</w:t>
      </w:r>
    </w:p>
    <w:p>
      <w:pPr>
        <w:spacing w:after="0" w:line="158"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c>
          <w:tcPr>
            <w:tcW w:w="10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Increase/</w:t>
            </w:r>
          </w:p>
        </w:tc>
      </w:tr>
      <w:tr>
        <w:trPr>
          <w:trHeight w:val="186"/>
        </w:trPr>
        <w:tc>
          <w:tcPr>
            <w:tcW w:w="5000" w:type="dxa"/>
            <w:vAlign w:val="bottom"/>
          </w:tcPr>
          <w:p>
            <w:pPr>
              <w:spacing w:after="0"/>
              <w:rPr>
                <w:sz w:val="16"/>
                <w:szCs w:val="16"/>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10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(Decrease)</w:t>
            </w:r>
          </w:p>
        </w:tc>
      </w:tr>
      <w:tr>
        <w:trPr>
          <w:trHeight w:val="26"/>
        </w:trPr>
        <w:tc>
          <w:tcPr>
            <w:tcW w:w="5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7"/>
        </w:trPr>
        <w:tc>
          <w:tcPr>
            <w:tcW w:w="5000" w:type="dxa"/>
            <w:vAlign w:val="bottom"/>
          </w:tcPr>
          <w:p>
            <w:pPr>
              <w:spacing w:after="0"/>
              <w:rPr>
                <w:sz w:val="17"/>
                <w:szCs w:val="17"/>
                <w:color w:val="auto"/>
              </w:rPr>
            </w:pPr>
          </w:p>
        </w:tc>
        <w:tc>
          <w:tcPr>
            <w:tcW w:w="720" w:type="dxa"/>
            <w:vAlign w:val="bottom"/>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460" w:type="dxa"/>
            <w:vAlign w:val="bottom"/>
          </w:tcPr>
          <w:p>
            <w:pPr>
              <w:jc w:val="right"/>
              <w:ind w:right="11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r>
      <w:tr>
        <w:trPr>
          <w:trHeight w:val="26"/>
        </w:trPr>
        <w:tc>
          <w:tcPr>
            <w:tcW w:w="50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5000" w:type="dxa"/>
            <w:vAlign w:val="bottom"/>
          </w:tcPr>
          <w:p>
            <w:pPr>
              <w:spacing w:after="0"/>
              <w:rPr>
                <w:sz w:val="17"/>
                <w:szCs w:val="17"/>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82"/>
        </w:trPr>
        <w:tc>
          <w:tcPr>
            <w:tcW w:w="5000" w:type="dxa"/>
            <w:vAlign w:val="bottom"/>
          </w:tcPr>
          <w:p>
            <w:pPr>
              <w:spacing w:after="0"/>
              <w:rPr>
                <w:sz w:val="20"/>
                <w:szCs w:val="20"/>
                <w:color w:val="auto"/>
              </w:rPr>
            </w:pPr>
            <w:r>
              <w:rPr>
                <w:rFonts w:ascii="Arial" w:cs="Arial" w:eastAsia="Arial" w:hAnsi="Arial"/>
                <w:sz w:val="18"/>
                <w:szCs w:val="18"/>
                <w:color w:val="auto"/>
              </w:rPr>
              <w:t>Personnel</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w w:val="89"/>
              </w:rPr>
              <w:t>$21,896</w:t>
            </w:r>
          </w:p>
        </w:tc>
        <w:tc>
          <w:tcPr>
            <w:tcW w:w="720" w:type="dxa"/>
            <w:vAlign w:val="bottom"/>
          </w:tcPr>
          <w:p>
            <w:pPr>
              <w:jc w:val="right"/>
              <w:spacing w:after="0"/>
              <w:rPr>
                <w:sz w:val="20"/>
                <w:szCs w:val="20"/>
                <w:color w:val="auto"/>
              </w:rPr>
            </w:pPr>
            <w:r>
              <w:rPr>
                <w:rFonts w:ascii="Arial" w:cs="Arial" w:eastAsia="Arial" w:hAnsi="Arial"/>
                <w:sz w:val="18"/>
                <w:szCs w:val="18"/>
                <w:color w:val="auto"/>
              </w:rPr>
              <w:t>$21,410</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$ 486</w:t>
            </w:r>
          </w:p>
        </w:tc>
        <w:tc>
          <w:tcPr>
            <w:tcW w:w="20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56"/>
        </w:trPr>
        <w:tc>
          <w:tcPr>
            <w:tcW w:w="5000" w:type="dxa"/>
            <w:vAlign w:val="bottom"/>
          </w:tcPr>
          <w:p>
            <w:pPr>
              <w:spacing w:after="0"/>
              <w:rPr>
                <w:sz w:val="20"/>
                <w:szCs w:val="20"/>
                <w:color w:val="auto"/>
              </w:rPr>
            </w:pPr>
            <w:r>
              <w:rPr>
                <w:rFonts w:ascii="Arial" w:cs="Arial" w:eastAsia="Arial" w:hAnsi="Arial"/>
                <w:sz w:val="18"/>
                <w:szCs w:val="18"/>
                <w:color w:val="auto"/>
              </w:rPr>
              <w:t>Laboratory supplies</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4,393</w:t>
            </w:r>
          </w:p>
        </w:tc>
        <w:tc>
          <w:tcPr>
            <w:tcW w:w="720" w:type="dxa"/>
            <w:vAlign w:val="bottom"/>
          </w:tcPr>
          <w:p>
            <w:pPr>
              <w:jc w:val="right"/>
              <w:spacing w:after="0"/>
              <w:rPr>
                <w:sz w:val="20"/>
                <w:szCs w:val="20"/>
                <w:color w:val="auto"/>
              </w:rPr>
            </w:pPr>
            <w:r>
              <w:rPr>
                <w:rFonts w:ascii="Arial" w:cs="Arial" w:eastAsia="Arial" w:hAnsi="Arial"/>
                <w:sz w:val="18"/>
                <w:szCs w:val="18"/>
                <w:color w:val="auto"/>
              </w:rPr>
              <w:t>4,249</w:t>
            </w: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Facility</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6,367</w:t>
            </w:r>
          </w:p>
        </w:tc>
        <w:tc>
          <w:tcPr>
            <w:tcW w:w="720" w:type="dxa"/>
            <w:vAlign w:val="bottom"/>
          </w:tcPr>
          <w:p>
            <w:pPr>
              <w:jc w:val="right"/>
              <w:spacing w:after="0"/>
              <w:rPr>
                <w:sz w:val="20"/>
                <w:szCs w:val="20"/>
                <w:color w:val="auto"/>
              </w:rPr>
            </w:pPr>
            <w:r>
              <w:rPr>
                <w:rFonts w:ascii="Arial" w:cs="Arial" w:eastAsia="Arial" w:hAnsi="Arial"/>
                <w:sz w:val="18"/>
                <w:szCs w:val="18"/>
                <w:color w:val="auto"/>
              </w:rPr>
              <w:t>6,790</w:t>
            </w:r>
          </w:p>
        </w:tc>
        <w:tc>
          <w:tcPr>
            <w:tcW w:w="20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4"/>
              </w:rPr>
              <w:t>(6)%</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Product development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6,233</w:t>
            </w:r>
          </w:p>
        </w:tc>
        <w:tc>
          <w:tcPr>
            <w:tcW w:w="720" w:type="dxa"/>
            <w:vAlign w:val="bottom"/>
          </w:tcPr>
          <w:p>
            <w:pPr>
              <w:jc w:val="right"/>
              <w:spacing w:after="0"/>
              <w:rPr>
                <w:sz w:val="20"/>
                <w:szCs w:val="20"/>
                <w:color w:val="auto"/>
              </w:rPr>
            </w:pPr>
            <w:r>
              <w:rPr>
                <w:rFonts w:ascii="Arial" w:cs="Arial" w:eastAsia="Arial" w:hAnsi="Arial"/>
                <w:sz w:val="18"/>
                <w:szCs w:val="18"/>
                <w:color w:val="auto"/>
              </w:rPr>
              <w:t>6,136</w:t>
            </w:r>
          </w:p>
        </w:tc>
        <w:tc>
          <w:tcPr>
            <w:tcW w:w="2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3"/>
                <w:szCs w:val="2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-659130</wp:posOffset>
            </wp:positionV>
            <wp:extent cx="4749165"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-334010</wp:posOffset>
            </wp:positionV>
            <wp:extent cx="4749165"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-814070</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$0.4 million increase in personnel expenses for the year ended December 31, 2020, as compared to the year ended December 31, 2019, was primarily due to an increase in bonus expense. We expect personnel expenses to remain relatively consistent over the next twelve months, although there may be fluctuations on a quarterly basis.</w:t>
      </w:r>
    </w:p>
    <w:p>
      <w:pPr>
        <w:spacing w:after="0" w:line="10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$0.1 million increase in laboratory supply expenses for the year ended December 31, 2020, as compared to the year ended December 31, 2019, was primarily due to higher laboratory materials and supplies purchases. We expect laboratory supplies expenses to remain relatively consistent over the next twelve months, although there may be fluctuations on a quarterly basis.</w:t>
      </w:r>
    </w:p>
    <w:p>
      <w:pPr>
        <w:spacing w:after="0" w:line="12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$0.4 million decrease in facility expenses for the year ended December 31, 2020, as compared to the year ended December 31, 2019, was primarily due to lower rent and depreciation expense. We expect facility expenses to remain relatively consistent over the next twelve months, although there may be fluctuations on a quarterly basis.</w:t>
      </w:r>
    </w:p>
    <w:p>
      <w:pPr>
        <w:spacing w:after="0" w:line="122" w:lineRule="exact"/>
        <w:rPr>
          <w:sz w:val="20"/>
          <w:szCs w:val="20"/>
          <w:color w:val="auto"/>
        </w:rPr>
      </w:pPr>
    </w:p>
    <w:p>
      <w:pPr>
        <w:ind w:left="1260" w:right="699" w:firstLine="360"/>
        <w:spacing w:after="0" w:line="258"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$0.1 million increase in product development expenses for the year ended December 31, 2020, as compared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year ended December 31, 2019, was primarily due to an increase in clinical trial and contract</w:t>
      </w:r>
    </w:p>
    <w:p>
      <w:pPr>
        <w:ind w:left="1260"/>
        <w:spacing w:after="0" w:line="234" w:lineRule="auto"/>
        <w:rPr>
          <w:sz w:val="20"/>
          <w:szCs w:val="20"/>
          <w:color w:val="auto"/>
        </w:rPr>
      </w:pPr>
      <w:r>
        <w:rPr>
          <w:rFonts w:ascii="Arial" w:cs="Arial" w:eastAsia="Arial" w:hAnsi="Arial"/>
          <w:sz w:val="18"/>
          <w:szCs w:val="18"/>
          <w:color w:val="auto"/>
        </w:rPr>
        <w:t>manufacturing expenses of $1.2 million, partially offset by a decrease in contract research expenses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 million. We expect product development expenses to increase over the next twelve months as a result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higher clinical trial, contract research, and contract manufacturing expenses.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31"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$1.0 million decrease in general and administrative expenses for the year ended December 31, 2020, as compared to the year ended December 31, 2019, was primarily due lower stock-based compensation expense and lower facility expenses as a result of the consolidation our Massachusetts lab and manufacturing facilities in the second quarter of 2020. We expect general and administrative expenses to remain relatively consistent over the next twelve months, although there may be fluctuations on a quarterly basis.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Intangible Asset Impairment</w:t>
      </w:r>
    </w:p>
    <w:p>
      <w:pPr>
        <w:spacing w:after="0" w:line="144"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We evaluated the TAM program IPR&amp;D asset for potential impairment as a result of changes in projected development and regulatory timelines related to the program in the fourth quarter of 2020. We concluded that the TAM program IPR&amp;D asset was partially impaired, and a non-cash impairment charge of $14.5 million was recorded in the fourth quarter of 2020. We evaluated the CDX- 3379 IPR&amp;D asset for potential impairment as a result of the discontinuation of the CDX-3379 program in the second quarter of 2020. We concluded that the CDX-3379 IPR&amp;D asset was fully impaired, and a non-cash impairment charge of $3.5 million was recorded in the second quarter of 2020.</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Asset Impairment</w:t>
      </w:r>
    </w:p>
    <w:p>
      <w:pPr>
        <w:spacing w:after="0" w:line="131"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We concluded that the Company’s investment in an undisclosed private company was impaired as a result of a deterioration in the private company’s financial condition and recorded a non-cash impairment charge of $1.8 million during the first quarter of 2019.</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144"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The $ 4.2 million gain on fair value remeasurement of contingent consideration for the year ended December 31, 2020 was primarily due to updated assumptions for CDX- 3379 related milestones due to the discontinuation of the CDX-3379 program partially offset by changes in discount rates and the passage of time.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Investment and Other Income, Net</w:t>
      </w:r>
    </w:p>
    <w:p>
      <w:pPr>
        <w:spacing w:after="0" w:line="15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$1.7 million decrease in investment and other income, net for the year ended December 31, 2020, as compared to the year ended December 31, 2019, was primarily due to lower interest rates on fixed income investments and lower other income related to our sale of New Jersey tax benefits. We expect investment income to decrease over the next twelve months due to lower other income related to our sale of New Jersey tax benefits.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Income Tax Benefit</w:t>
      </w:r>
    </w:p>
    <w:p>
      <w:pPr>
        <w:spacing w:after="0" w:line="15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A $1.2 million non-cash income tax benefit was recorded for the year ended December 31, 2020 related to the partial impairment of the TAM program IPR&amp;D asset in the fourth quarter of 2020 and the full impairment of the CDX-3379 IPR&amp;D asset in the second quarter of 2020.</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 Ended December 31, 2019 compared with Year Ended December 31, 2018</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Increase/</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Increase/</w:t>
            </w:r>
          </w:p>
        </w:tc>
      </w:tr>
      <w:tr>
        <w:trPr>
          <w:trHeight w:val="186"/>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(Decrease)</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(Decrease)</w:t>
            </w:r>
          </w:p>
        </w:tc>
      </w:tr>
      <w:tr>
        <w:trPr>
          <w:trHeight w:val="26"/>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r>
      <w:tr>
        <w:trPr>
          <w:trHeight w:val="26"/>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4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(2,868)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63"/>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6,197</w:t>
            </w:r>
          </w:p>
        </w:tc>
        <w:tc>
          <w:tcPr>
            <w:tcW w:w="100" w:type="dxa"/>
            <w:vAlign w:val="bottom"/>
          </w:tcPr>
          <w:p>
            <w:pPr>
              <w:spacing w:after="0"/>
              <w:rPr>
                <w:sz w:val="22"/>
                <w:szCs w:val="2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(3,097)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7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9,538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(5,965)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42,672</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66,449</w:t>
            </w:r>
          </w:p>
        </w:tc>
        <w:tc>
          <w:tcPr>
            <w:tcW w:w="100" w:type="dxa"/>
            <w:vAlign w:val="bottom"/>
          </w:tcPr>
          <w:p>
            <w:pPr>
              <w:spacing w:after="0"/>
              <w:rPr>
                <w:sz w:val="22"/>
                <w:szCs w:val="2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(23,777)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15,426</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19,269</w:t>
            </w:r>
          </w:p>
        </w:tc>
        <w:tc>
          <w:tcPr>
            <w:tcW w:w="100" w:type="dxa"/>
            <w:vAlign w:val="bottom"/>
          </w:tcPr>
          <w:p>
            <w:pPr>
              <w:spacing w:after="0"/>
              <w:rPr>
                <w:sz w:val="22"/>
                <w:szCs w:val="2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(3,843)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5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90,976</w:t>
            </w:r>
          </w:p>
        </w:tc>
        <w:tc>
          <w:tcPr>
            <w:tcW w:w="100" w:type="dxa"/>
            <w:vAlign w:val="bottom"/>
          </w:tcPr>
          <w:p>
            <w:pPr>
              <w:spacing w:after="0"/>
              <w:rPr>
                <w:sz w:val="22"/>
                <w:szCs w:val="2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(90,976)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Intangible asset impairment</w:t>
            </w: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18,677</w:t>
            </w:r>
          </w:p>
        </w:tc>
        <w:tc>
          <w:tcPr>
            <w:tcW w:w="100" w:type="dxa"/>
            <w:vAlign w:val="bottom"/>
          </w:tcPr>
          <w:p>
            <w:pPr>
              <w:spacing w:after="0"/>
              <w:rPr>
                <w:sz w:val="22"/>
                <w:szCs w:val="2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(18,677)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Other asset impairment</w:t>
            </w: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29"/>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Gain on fair value remeasurement of contingent</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consideration</w:t>
            </w: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(29,621)</w:t>
            </w:r>
          </w:p>
        </w:tc>
        <w:tc>
          <w:tcPr>
            <w:tcW w:w="10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(28,327)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77"/>
        </w:trPr>
        <w:tc>
          <w:tcPr>
            <w:tcW w:w="450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5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58,604</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165,974</w:t>
            </w:r>
          </w:p>
        </w:tc>
        <w:tc>
          <w:tcPr>
            <w:tcW w:w="100" w:type="dxa"/>
            <w:vAlign w:val="bottom"/>
          </w:tcPr>
          <w:p>
            <w:pPr>
              <w:spacing w:after="0"/>
              <w:rPr>
                <w:sz w:val="22"/>
                <w:szCs w:val="2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(107,370)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(55,031)</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(156,436)</w:t>
            </w:r>
          </w:p>
        </w:tc>
        <w:tc>
          <w:tcPr>
            <w:tcW w:w="100" w:type="dxa"/>
            <w:vAlign w:val="bottom"/>
          </w:tcPr>
          <w:p>
            <w:pPr>
              <w:spacing w:after="0"/>
              <w:rPr>
                <w:sz w:val="22"/>
                <w:szCs w:val="2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(101,405)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6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2"/>
                <w:szCs w:val="2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(334)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740" w:type="dxa"/>
            <w:vAlign w:val="bottom"/>
            <w:gridSpan w:val="2"/>
          </w:tcPr>
          <w:p>
            <w:pPr>
              <w:spacing w:after="0"/>
              <w:rPr>
                <w:sz w:val="20"/>
                <w:szCs w:val="20"/>
                <w:color w:val="auto"/>
              </w:rPr>
            </w:pPr>
            <w:r>
              <w:rPr>
                <w:rFonts w:ascii="Arial" w:cs="Arial" w:eastAsia="Arial" w:hAnsi="Arial"/>
                <w:sz w:val="18"/>
                <w:szCs w:val="18"/>
                <w:color w:val="auto"/>
              </w:rPr>
              <w:t>Net loss before income tax benefit</w:t>
            </w:r>
          </w:p>
        </w:tc>
        <w:tc>
          <w:tcPr>
            <w:tcW w:w="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(50,878)</w:t>
            </w:r>
          </w:p>
        </w:tc>
        <w:tc>
          <w:tcPr>
            <w:tcW w:w="1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(151,949)</w:t>
            </w:r>
          </w:p>
        </w:tc>
        <w:tc>
          <w:tcPr>
            <w:tcW w:w="100" w:type="dxa"/>
            <w:vAlign w:val="bottom"/>
          </w:tcPr>
          <w:p>
            <w:pPr>
              <w:spacing w:after="0"/>
              <w:rPr>
                <w:sz w:val="23"/>
                <w:szCs w:val="23"/>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(101,071)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4"/>
                <w:szCs w:val="24"/>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7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(50,878)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(151,184)</w:t>
            </w:r>
          </w:p>
        </w:tc>
        <w:tc>
          <w:tcPr>
            <w:tcW w:w="96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(100,306)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-2922270</wp:posOffset>
            </wp:positionV>
            <wp:extent cx="52120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-2219325</wp:posOffset>
            </wp:positionV>
            <wp:extent cx="521208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-1893570</wp:posOffset>
            </wp:positionV>
            <wp:extent cx="521208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-1567815</wp:posOffset>
            </wp:positionV>
            <wp:extent cx="5212080" cy="299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2080" cy="29972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-744855</wp:posOffset>
            </wp:positionV>
            <wp:extent cx="52120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-1096645</wp:posOffset>
            </wp:positionV>
            <wp:extent cx="521208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-3402330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-3402330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-3402330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Net Loss</w:t>
      </w:r>
    </w:p>
    <w:p>
      <w:pPr>
        <w:spacing w:after="0" w:line="14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$100.3 million decrease in net loss for the year ended December 31, 2019, as compared to the year ended December 31, 2018, was primarily the result of a decrease in non-cash goodwill and intangible asset impairment expense and a decrease in research and development expenses, partially offset by the decrease in gain on fair value remeasurement of contingent consideration.</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$2.9 million decrease in product development and licensing agreements revenue for the year ended December 31, 2019, as compared to the year ended December 31, 2018, was primarily due to a decrease in revenue related to our BMS agreement as a result of the completion of our combination clinical study. The $3.1 million decrease in contracts and grants revenue for the year ended December 31, 2019, as compared to the year ended December 31, 2018, was primarily related to a decrease in services performed under our contract manufacturing and research and development agreements with Rockefeller University and the International AIDS Vaccine Initiative.</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 Expense</w:t>
      </w:r>
    </w:p>
    <w:p>
      <w:pPr>
        <w:spacing w:after="0" w:line="158"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Year Ended</w:t>
            </w:r>
          </w:p>
        </w:tc>
        <w:tc>
          <w:tcPr>
            <w:tcW w:w="880" w:type="dxa"/>
            <w:vAlign w:val="bottom"/>
            <w:gridSpan w:val="2"/>
          </w:tcPr>
          <w:p>
            <w:pPr>
              <w:ind w:left="300"/>
              <w:spacing w:after="0"/>
              <w:rPr>
                <w:sz w:val="20"/>
                <w:szCs w:val="20"/>
                <w:color w:val="auto"/>
              </w:rPr>
            </w:pPr>
            <w:r>
              <w:rPr>
                <w:rFonts w:ascii="Arial" w:cs="Arial" w:eastAsia="Arial" w:hAnsi="Arial"/>
                <w:sz w:val="14"/>
                <w:szCs w:val="14"/>
                <w:b w:val="1"/>
                <w:bCs w:val="1"/>
                <w:color w:val="auto"/>
                <w:w w:val="92"/>
              </w:rPr>
              <w:t>Increase/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6"/>
        </w:trPr>
        <w:tc>
          <w:tcPr>
            <w:tcW w:w="4680" w:type="dxa"/>
            <w:vAlign w:val="bottom"/>
          </w:tcPr>
          <w:p>
            <w:pPr>
              <w:spacing w:after="0"/>
              <w:rPr>
                <w:sz w:val="16"/>
                <w:szCs w:val="16"/>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4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7"/>
        </w:trPr>
        <w:tc>
          <w:tcPr>
            <w:tcW w:w="4680" w:type="dxa"/>
            <w:vAlign w:val="bottom"/>
          </w:tcPr>
          <w:p>
            <w:pPr>
              <w:spacing w:after="0"/>
              <w:rPr>
                <w:sz w:val="17"/>
                <w:szCs w:val="17"/>
                <w:color w:val="auto"/>
              </w:rPr>
            </w:pPr>
          </w:p>
        </w:tc>
        <w:tc>
          <w:tcPr>
            <w:tcW w:w="720" w:type="dxa"/>
            <w:vAlign w:val="bottom"/>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720" w:type="dxa"/>
            <w:vAlign w:val="bottom"/>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68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r>
      <w:tr>
        <w:trPr>
          <w:trHeight w:val="26"/>
        </w:trPr>
        <w:tc>
          <w:tcPr>
            <w:tcW w:w="46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4680" w:type="dxa"/>
            <w:vAlign w:val="bottom"/>
          </w:tcPr>
          <w:p>
            <w:pPr>
              <w:spacing w:after="0"/>
              <w:rPr>
                <w:sz w:val="17"/>
                <w:szCs w:val="17"/>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
        </w:trPr>
        <w:tc>
          <w:tcPr>
            <w:tcW w:w="4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r>
      <w:tr>
        <w:trPr>
          <w:trHeight w:val="25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2"/>
              </w:rPr>
              <w:t>$21,410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 (6,635)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680" w:type="dxa"/>
            <w:vAlign w:val="bottom"/>
          </w:tcPr>
          <w:p>
            <w:pPr>
              <w:spacing w:after="0"/>
              <w:rPr>
                <w:sz w:val="20"/>
                <w:szCs w:val="20"/>
                <w:color w:val="auto"/>
              </w:rPr>
            </w:pPr>
            <w:r>
              <w:rPr>
                <w:rFonts w:ascii="Arial" w:cs="Arial" w:eastAsia="Arial" w:hAnsi="Arial"/>
                <w:sz w:val="18"/>
                <w:szCs w:val="18"/>
                <w:color w:val="auto"/>
              </w:rPr>
              <w:t>Laboratory supplies</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4,249</w:t>
            </w:r>
          </w:p>
        </w:tc>
        <w:tc>
          <w:tcPr>
            <w:tcW w:w="720" w:type="dxa"/>
            <w:vAlign w:val="bottom"/>
          </w:tcPr>
          <w:p>
            <w:pPr>
              <w:jc w:val="right"/>
              <w:spacing w:after="0"/>
              <w:rPr>
                <w:sz w:val="20"/>
                <w:szCs w:val="20"/>
                <w:color w:val="auto"/>
              </w:rPr>
            </w:pPr>
            <w:r>
              <w:rPr>
                <w:rFonts w:ascii="Arial" w:cs="Arial" w:eastAsia="Arial" w:hAnsi="Arial"/>
                <w:sz w:val="18"/>
                <w:szCs w:val="18"/>
                <w:color w:val="auto"/>
              </w:rPr>
              <w:t>4,176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4680" w:type="dxa"/>
            <w:vAlign w:val="bottom"/>
          </w:tcPr>
          <w:p>
            <w:pPr>
              <w:spacing w:after="0"/>
              <w:rPr>
                <w:sz w:val="20"/>
                <w:szCs w:val="20"/>
                <w:color w:val="auto"/>
              </w:rPr>
            </w:pPr>
            <w:r>
              <w:rPr>
                <w:rFonts w:ascii="Arial" w:cs="Arial" w:eastAsia="Arial" w:hAnsi="Arial"/>
                <w:sz w:val="18"/>
                <w:szCs w:val="18"/>
                <w:color w:val="auto"/>
              </w:rPr>
              <w:t>Facility</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6,790</w:t>
            </w:r>
          </w:p>
        </w:tc>
        <w:tc>
          <w:tcPr>
            <w:tcW w:w="720" w:type="dxa"/>
            <w:vAlign w:val="bottom"/>
          </w:tcPr>
          <w:p>
            <w:pPr>
              <w:jc w:val="right"/>
              <w:spacing w:after="0"/>
              <w:rPr>
                <w:sz w:val="20"/>
                <w:szCs w:val="20"/>
                <w:color w:val="auto"/>
              </w:rPr>
            </w:pPr>
            <w:r>
              <w:rPr>
                <w:rFonts w:ascii="Arial" w:cs="Arial" w:eastAsia="Arial" w:hAnsi="Arial"/>
                <w:sz w:val="18"/>
                <w:szCs w:val="18"/>
                <w:color w:val="auto"/>
              </w:rPr>
              <w:t>7,531</w:t>
            </w:r>
          </w:p>
        </w:tc>
        <w:tc>
          <w:tcPr>
            <w:tcW w:w="2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1"/>
              </w:rPr>
              <w:t>(10)%</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Product development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6,136</w:t>
            </w:r>
          </w:p>
        </w:tc>
        <w:tc>
          <w:tcPr>
            <w:tcW w:w="720" w:type="dxa"/>
            <w:vAlign w:val="bottom"/>
          </w:tcPr>
          <w:p>
            <w:pPr>
              <w:jc w:val="right"/>
              <w:spacing w:after="0"/>
              <w:rPr>
                <w:sz w:val="20"/>
                <w:szCs w:val="20"/>
                <w:color w:val="auto"/>
              </w:rPr>
            </w:pPr>
            <w:r>
              <w:rPr>
                <w:rFonts w:ascii="Arial" w:cs="Arial" w:eastAsia="Arial" w:hAnsi="Arial"/>
                <w:sz w:val="18"/>
                <w:szCs w:val="18"/>
                <w:color w:val="auto"/>
              </w:rPr>
              <w:t>18,540</w:t>
            </w:r>
          </w:p>
        </w:tc>
        <w:tc>
          <w:tcPr>
            <w:tcW w:w="22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(12,404)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1"/>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-333375</wp:posOffset>
            </wp:positionV>
            <wp:extent cx="4749165"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-814070</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$6.6 million decrease in personnel expenses for the year ended December 31, 2019, as compared to the year ended December 31, 2018, was primarily due to a decrease in headcount, lower stock-based compensation expense and lower severance expense related to the workforce reduction that occurred in the second quarter of 2018 as a result of the discontinuation of the Glemba program.</w:t>
      </w:r>
    </w:p>
    <w:p>
      <w:pPr>
        <w:spacing w:after="0" w:line="120"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Laboratory supplies expenses include laboratory materials and supplies, services, and other related expenses incurred in the development of our technology. The $0.1 million increase in laboratory supply expenses for the year ended December 31, 2019, as compared to the year ended December 31, 2018, was primarily due to higher laboratory materials and supplies purchases.</w:t>
      </w:r>
    </w:p>
    <w:p>
      <w:pPr>
        <w:spacing w:after="0" w:line="90"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$0.7 million decrease in facility expenses for the year ended December 31, 2019, as compared to the year ended December 31, 2018, was primarily due to lower depreciation expense.</w:t>
      </w:r>
    </w:p>
    <w:p>
      <w:pPr>
        <w:spacing w:after="0" w:line="11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$12.4 million decrease in product development expenses for the year ended December 31, 2019, as compared to the year ended December 31, 2018, was primarily due to a decrease in clinical trial expenses of $8.1 million and a decrease in contract manufacturing expenses of $3.6 million.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58" w:lineRule="exact"/>
        <w:rPr>
          <w:sz w:val="20"/>
          <w:szCs w:val="20"/>
          <w:color w:val="auto"/>
        </w:rPr>
      </w:pPr>
    </w:p>
    <w:p>
      <w:pPr>
        <w:jc w:val="both"/>
        <w:ind w:left="1260" w:right="719" w:firstLine="360"/>
        <w:spacing w:after="0" w:line="286" w:lineRule="auto"/>
        <w:rPr>
          <w:sz w:val="20"/>
          <w:szCs w:val="20"/>
          <w:color w:val="auto"/>
        </w:rPr>
      </w:pPr>
      <w:r>
        <w:rPr>
          <w:rFonts w:ascii="Arial" w:cs="Arial" w:eastAsia="Arial" w:hAnsi="Arial"/>
          <w:sz w:val="17"/>
          <w:szCs w:val="17"/>
          <w:color w:val="auto"/>
        </w:rPr>
        <w:t>The $3.8 million decrease in general and administrative expenses for the year ended December 31, 2019, as compared to the year ended December 31, 2018, was primarily due to a decrease in stock-based compensation expense, lower commercial planning costs and lower lease restructuring expense.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Goodwill Impairment</w:t>
      </w:r>
    </w:p>
    <w:p>
      <w:pPr>
        <w:spacing w:after="0" w:line="144"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We recorded a non-cash goodwill impairment charge of $91.0 million during the year ended December 31, 2018 as a result of the discontinuation of the Glemba program.</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Intangible Asset Impairment</w:t>
      </w:r>
    </w:p>
    <w:p>
      <w:pPr>
        <w:spacing w:after="0" w:line="144"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We recorded a non- cash intangible asset impairment charge of $18.7 million on the Glemba program intangible assets during the year ended December 31, 2018 as a result of the discontinuation of the Glemba program.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Asset Impairment</w:t>
      </w:r>
    </w:p>
    <w:p>
      <w:pPr>
        <w:spacing w:after="0" w:line="158"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We concluded that the Company’s investment in an undisclosed private company was impaired as a result of a deterioration in the private company’s financial condition and recorded a non-cash impairment charge of $1.8 million during the first quarter of 2019.</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158" w:lineRule="exact"/>
        <w:rPr>
          <w:sz w:val="20"/>
          <w:szCs w:val="20"/>
          <w:color w:val="auto"/>
        </w:rPr>
      </w:pPr>
    </w:p>
    <w:p>
      <w:pPr>
        <w:ind w:left="1260" w:right="899" w:firstLine="360"/>
        <w:spacing w:after="0" w:line="248" w:lineRule="auto"/>
        <w:rPr>
          <w:sz w:val="20"/>
          <w:szCs w:val="20"/>
          <w:color w:val="auto"/>
        </w:rPr>
      </w:pPr>
      <w:r>
        <w:rPr>
          <w:rFonts w:ascii="Arial" w:cs="Arial" w:eastAsia="Arial" w:hAnsi="Arial"/>
          <w:sz w:val="18"/>
          <w:szCs w:val="18"/>
          <w:color w:val="auto"/>
        </w:rPr>
        <w:t>The $ 1.3 million gain on fair value remeasurement of contingent consideration for the year ended December 31, 2019 was primarily due to changes in discount rates, the passage of time and updated assumptions for the varlilumab program.</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Amortization Expense</w:t>
      </w:r>
    </w:p>
    <w:p>
      <w:pPr>
        <w:spacing w:after="0" w:line="144"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$0.2 million decrease in amortization expenses for the year ended December 31, 2019, as compared to the year ended December 31, 2018, was due to the full impairment of intangible assets subject to amortization recorded in the first quarter of 2018 as a result of the discontinuation of the Glemba program.</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Investment and Other Income, Net</w:t>
      </w:r>
    </w:p>
    <w:p>
      <w:pPr>
        <w:spacing w:after="0" w:line="158"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$0.3 million decrease in investment and other income, net for the year ended December 31, 2019, as compared to the year ended December 31, 2018, was primarily due to lower levels of cash and investment balances.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Income Tax Benefit</w:t>
      </w:r>
    </w:p>
    <w:p>
      <w:pPr>
        <w:spacing w:after="0" w:line="158"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We recorded a non-cash income tax benefit of $0.8 million related to the impairment of the Glemba IPR&amp;D assets during the year ended December 31, 2018.</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26"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16" w:lineRule="exact"/>
        <w:rPr>
          <w:sz w:val="20"/>
          <w:szCs w:val="20"/>
          <w:color w:val="auto"/>
        </w:rPr>
      </w:pPr>
    </w:p>
    <w:p>
      <w:pPr>
        <w:jc w:val="center"/>
        <w:ind w:left="1660" w:right="180"/>
        <w:spacing w:after="0" w:line="291" w:lineRule="auto"/>
        <w:rPr>
          <w:sz w:val="20"/>
          <w:szCs w:val="20"/>
          <w:color w:val="auto"/>
        </w:rPr>
      </w:pPr>
      <w:r>
        <w:rPr>
          <w:rFonts w:ascii="Arial" w:cs="Arial" w:eastAsia="Arial" w:hAnsi="Arial"/>
          <w:sz w:val="17"/>
          <w:szCs w:val="17"/>
          <w:color w:val="auto"/>
        </w:rPr>
        <w:t>At December 31, 2020, our principal sources of liquidity consisted of cash, cash equivalents and marketable securities of $194.4 million. We have had recurring losses and incurred a loss of $59.8 million</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301" w:lineRule="auto"/>
        <w:rPr>
          <w:sz w:val="20"/>
          <w:szCs w:val="20"/>
          <w:color w:val="auto"/>
        </w:rPr>
      </w:pPr>
      <w:r>
        <w:rPr>
          <w:rFonts w:ascii="Arial" w:cs="Arial" w:eastAsia="Arial" w:hAnsi="Arial"/>
          <w:sz w:val="16"/>
          <w:szCs w:val="16"/>
          <w:color w:val="auto"/>
        </w:rPr>
        <w:t>for the year ended December 31, 2020. Net cash used in operations for the year ended December 31, 2020 was $40.4 million. We believe that the cash, cash equivalents and marketable securities at December 31, 2020 are sufficient to meet estimated working capital requirements and fund planned operations through 2023. This could be impacted if we elected to pay Kolltan contingent milestones, if any, in cash.</w:t>
      </w:r>
    </w:p>
    <w:p>
      <w:pPr>
        <w:spacing w:after="0" w:line="76"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Net cash used in operating activities was $40.4 million for the year ended December 31, 2020 compared to $46.4 million for the year ended December 31, 2019. The decrease in net cash used in operating activities was primarily due to an increase in revenue and decreases in both general and administrative and research and development expenses. We expect that cash used in operating activities will remain relatively consistent over the next twelve months, although there may be fluctuations on a quarterly basis.</w:t>
      </w:r>
    </w:p>
    <w:p>
      <w:pPr>
        <w:spacing w:after="0" w:line="125"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Net cash used in operating activities was $46.4 million for the year ended December 31, 2019 compared to $75.2 million for the year ended December 31, 2018. The decrease in net cash used in operating activities was primarily due to decreases in both general and administrative and research and development expenses.</w:t>
      </w:r>
    </w:p>
    <w:p>
      <w:pPr>
        <w:spacing w:after="0" w:line="106"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processes as well as to develop additional drug candidates. As our drug candidates progress through the clinical trial process, we may be obligated to make significant milestone payments.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Net cash used in investing activities was $98.2 million for the year ended December 31, 2020 compared to net cash provided by investing activities of $17.1 million for the year ended December 31, 2019. The increase in net cash used in investing activities was primarily due to net purchases of marketable securities for the year ended December 31, 2020 of $96.7 million as compared to net sales and maturities of marketable securities of $17.8 million for the year ended December 31, 2019. We expect that cash provided by investing activities will increase over the next twelve months as we fund our operations through the combination of net proceeds from the sales and maturities of marketable securities, cash provided by financing activities and/or new partnerships, although there may be significant fluctuations on a quarterly basis based on the amount of cash provided by financing activities and/or new partnerships.</w:t>
      </w:r>
    </w:p>
    <w:p>
      <w:pPr>
        <w:spacing w:after="0" w:line="113" w:lineRule="exact"/>
        <w:rPr>
          <w:sz w:val="20"/>
          <w:szCs w:val="20"/>
          <w:color w:val="auto"/>
        </w:rPr>
      </w:pPr>
    </w:p>
    <w:p>
      <w:pPr>
        <w:ind w:left="1260" w:right="779" w:firstLine="360"/>
        <w:spacing w:after="0" w:line="342" w:lineRule="auto"/>
        <w:rPr>
          <w:sz w:val="20"/>
          <w:szCs w:val="20"/>
          <w:color w:val="auto"/>
        </w:rPr>
      </w:pPr>
      <w:r>
        <w:rPr>
          <w:rFonts w:ascii="Arial" w:cs="Arial" w:eastAsia="Arial" w:hAnsi="Arial"/>
          <w:sz w:val="16"/>
          <w:szCs w:val="16"/>
          <w:color w:val="auto"/>
        </w:rPr>
        <w:t>Net cash provided by investing activities was $17.1 million for the year ended December 31, 2019 compared to $29.8 million for the year ended December 31, 2018. The decrease in net cash provided by</w:t>
      </w:r>
    </w:p>
    <w:p>
      <w:pPr>
        <w:sectPr>
          <w:pgSz w:w="11900" w:h="16838" w:orient="portrait"/>
          <w:cols w:equalWidth="0" w:num="1">
            <w:col w:w="9879"/>
          </w:cols>
          <w:pgMar w:left="580" w:top="132" w:right="1440" w:bottom="1440" w:gutter="0" w:footer="0" w:header="0"/>
        </w:sectPr>
      </w:pP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91" w:lineRule="auto"/>
        <w:rPr>
          <w:sz w:val="20"/>
          <w:szCs w:val="20"/>
          <w:color w:val="auto"/>
        </w:rPr>
      </w:pPr>
      <w:r>
        <w:rPr>
          <w:rFonts w:ascii="Arial" w:cs="Arial" w:eastAsia="Arial" w:hAnsi="Arial"/>
          <w:sz w:val="17"/>
          <w:szCs w:val="17"/>
          <w:color w:val="auto"/>
        </w:rPr>
        <w:t>investing activities was primarily due to net sales and maturities of marketable securities for the year ended December 31, 2019 of $17.8 million as compared to $30.3 million for the year ended December 31, 2018.</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left="1260" w:right="719" w:firstLine="360"/>
        <w:spacing w:after="0" w:line="262" w:lineRule="auto"/>
        <w:rPr>
          <w:sz w:val="20"/>
          <w:szCs w:val="20"/>
          <w:color w:val="auto"/>
        </w:rPr>
      </w:pPr>
      <w:r>
        <w:rPr>
          <w:rFonts w:ascii="Arial" w:cs="Arial" w:eastAsia="Arial" w:hAnsi="Arial"/>
          <w:sz w:val="17"/>
          <w:szCs w:val="17"/>
          <w:color w:val="auto"/>
        </w:rPr>
        <w:t>Net cash provided by financing activities was $171.2 million for the year ended December 31, 2020 compared to $16.3 million for the year ended December 31, 2019. Net proceeds from stock issuances, including stock issued pursuant to employee benefit plans, were $ 171.2 million during the year ended December 31, 2020 compared to $16.3 million for the year ended December 31, 2019.</w:t>
      </w:r>
    </w:p>
    <w:p>
      <w:pPr>
        <w:spacing w:after="0" w:line="105" w:lineRule="exact"/>
        <w:rPr>
          <w:sz w:val="20"/>
          <w:szCs w:val="20"/>
          <w:color w:val="auto"/>
        </w:rPr>
      </w:pPr>
    </w:p>
    <w:p>
      <w:pPr>
        <w:ind w:left="1260" w:right="819" w:firstLine="360"/>
        <w:spacing w:after="0" w:line="262" w:lineRule="auto"/>
        <w:rPr>
          <w:sz w:val="20"/>
          <w:szCs w:val="20"/>
          <w:color w:val="auto"/>
        </w:rPr>
      </w:pPr>
      <w:r>
        <w:rPr>
          <w:rFonts w:ascii="Arial" w:cs="Arial" w:eastAsia="Arial" w:hAnsi="Arial"/>
          <w:sz w:val="17"/>
          <w:szCs w:val="17"/>
          <w:color w:val="auto"/>
        </w:rPr>
        <w:t>Net cash provided by financing activities was $16.3 million for the year ended December 31, 2019 compared to $29.4 million for the year ended December 31, 2018. Net proceeds from stock issuances, including stock issued pursuant to employee benefit plans, were $ 16.3 million during the year ended December 31, 2019 compared to $29.4 million for the year ended December 31, 2018.</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Equity Offerings</w:t>
      </w:r>
    </w:p>
    <w:p>
      <w:pPr>
        <w:spacing w:after="0" w:line="158"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In November 2020, the Company filed an automatic shelf registration statement with the Securities and Exchange Commission to register for sale any combination of the types of securities described in the shelf registration statement.</w:t>
      </w:r>
    </w:p>
    <w:p>
      <w:pPr>
        <w:spacing w:after="0" w:line="101"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7"/>
          <w:szCs w:val="17"/>
          <w:color w:val="auto"/>
        </w:rPr>
        <w:t>In May 2016, we entered into a controlled equity offering sales agreement with Cantor Fitzgerald &amp; Co. (“Cantor”) to allow us to issue and sell shares of our common stock from time to time through Cantor, acting as agent. During the years ended December 31, 2020, 2019 and 2018, we issued 7.1 million,</w:t>
      </w:r>
    </w:p>
    <w:p>
      <w:pPr>
        <w:ind w:left="1260" w:right="439"/>
        <w:spacing w:after="0" w:line="238" w:lineRule="auto"/>
        <w:rPr>
          <w:sz w:val="20"/>
          <w:szCs w:val="20"/>
          <w:color w:val="auto"/>
        </w:rPr>
      </w:pPr>
      <w:r>
        <w:rPr>
          <w:rFonts w:ascii="Arial" w:cs="Arial" w:eastAsia="Arial" w:hAnsi="Arial"/>
          <w:sz w:val="18"/>
          <w:szCs w:val="18"/>
          <w:color w:val="auto"/>
        </w:rPr>
        <w:t>5.0 million and 2.7 million shares of common stock, respectively, under the agreement with Cantor resulting in net proceeds of $29.4 million, $16.2 million and $29.0 million, respectively, after deducting commission and offering expenses. At December 31, 2020, we had $50.0 million remaining in aggregate gross offering price available under our November 2020 prospectus supplement.</w:t>
      </w:r>
    </w:p>
    <w:p>
      <w:pPr>
        <w:spacing w:after="0" w:line="121"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In June 2020, the Company issued 15,384,614 shares of its common stock in an underwritten public offering resulting in net proceeds to the Company of $141.4 million, after deducting underwriting fees and offering expenses.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AGGREGATE CONTRACTUAL OBLIGATIONS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Because the achievement of these milestones had not occurred as of December 31, 2020 such contingencies have not been recorded in our financial statements. We expect to incur approximately $0.1 million of license and milestone payments in 2021.</w:t>
      </w:r>
    </w:p>
    <w:p>
      <w:pPr>
        <w:spacing w:after="0" w:line="111"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The following table summarizes our contractual obligations (not including contingent royalty and milestone payments as described above) at December 31, 2020 and the effect such obligations and commercial commitments are expected to have on our liquidity and cash flow in future years. These obligations, commitments and supporting arrangements represent expected payments based on current operating forecasts, which are subject to change:</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120" w:type="dxa"/>
            <w:vAlign w:val="bottom"/>
            <w:gridSpan w:val="4"/>
          </w:tcPr>
          <w:p>
            <w:pPr>
              <w:ind w:left="120"/>
              <w:spacing w:after="0"/>
              <w:rPr>
                <w:sz w:val="20"/>
                <w:szCs w:val="20"/>
                <w:color w:val="auto"/>
              </w:rPr>
            </w:pPr>
            <w:r>
              <w:rPr>
                <w:rFonts w:ascii="Arial" w:cs="Arial" w:eastAsia="Arial" w:hAnsi="Arial"/>
                <w:sz w:val="14"/>
                <w:szCs w:val="14"/>
                <w:b w:val="1"/>
                <w:bCs w:val="1"/>
                <w:color w:val="auto"/>
              </w:rPr>
              <w:t>2022 – 2023</w:t>
            </w: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2024 – 2025</w:t>
            </w:r>
          </w:p>
        </w:tc>
        <w:tc>
          <w:tcPr>
            <w:tcW w:w="760" w:type="dxa"/>
            <w:vAlign w:val="bottom"/>
            <w:gridSpan w:val="5"/>
          </w:tcPr>
          <w:p>
            <w:pPr>
              <w:ind w:left="120"/>
              <w:spacing w:after="0"/>
              <w:rPr>
                <w:sz w:val="20"/>
                <w:szCs w:val="20"/>
                <w:color w:val="auto"/>
              </w:rPr>
            </w:pPr>
            <w:r>
              <w:rPr>
                <w:rFonts w:ascii="Arial" w:cs="Arial" w:eastAsia="Arial" w:hAnsi="Arial"/>
                <w:sz w:val="14"/>
                <w:szCs w:val="14"/>
                <w:b w:val="1"/>
                <w:bCs w:val="1"/>
                <w:color w:val="auto"/>
                <w:w w:val="90"/>
              </w:rPr>
              <w:t>Thereafter</w:t>
            </w:r>
          </w:p>
        </w:tc>
      </w:tr>
      <w:tr>
        <w:trPr>
          <w:trHeight w:val="25"/>
        </w:trPr>
        <w:tc>
          <w:tcPr>
            <w:tcW w:w="1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ind w:left="260"/>
              <w:spacing w:after="0"/>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
        </w:trPr>
        <w:tc>
          <w:tcPr>
            <w:tcW w:w="1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4140" w:type="dxa"/>
            <w:vAlign w:val="bottom"/>
            <w:tcBorders>
              <w:right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Contractual obligations</w:t>
            </w:r>
            <w:r>
              <w:rPr>
                <w:rFonts w:ascii="Arial" w:cs="Arial" w:eastAsia="Arial" w:hAnsi="Arial"/>
                <w:sz w:val="26"/>
                <w:szCs w:val="26"/>
                <w:color w:val="auto"/>
                <w:vertAlign w:val="superscript"/>
              </w:rPr>
              <w:t>(1)(2)</w:t>
            </w:r>
            <w:r>
              <w:rPr>
                <w:rFonts w:ascii="Arial" w:cs="Arial" w:eastAsia="Arial" w:hAnsi="Arial"/>
                <w:sz w:val="18"/>
                <w:szCs w:val="18"/>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$2,891</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2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r>
      <w:tr>
        <w:trPr>
          <w:trHeight w:val="264"/>
        </w:trPr>
        <w:tc>
          <w:tcPr>
            <w:tcW w:w="4140" w:type="dxa"/>
            <w:vAlign w:val="bottom"/>
            <w:gridSpan w:val="2"/>
          </w:tcPr>
          <w:p>
            <w:pPr>
              <w:spacing w:after="0" w:line="263" w:lineRule="exact"/>
              <w:rPr>
                <w:sz w:val="20"/>
                <w:szCs w:val="20"/>
                <w:color w:val="auto"/>
              </w:rPr>
            </w:pPr>
            <w:r>
              <w:rPr>
                <w:rFonts w:ascii="Arial" w:cs="Arial" w:eastAsia="Arial" w:hAnsi="Arial"/>
                <w:sz w:val="18"/>
                <w:szCs w:val="18"/>
                <w:color w:val="auto"/>
              </w:rPr>
              <w:t>Total contractual obligations</w:t>
            </w:r>
            <w:r>
              <w:rPr>
                <w:rFonts w:ascii="Arial" w:cs="Arial" w:eastAsia="Arial" w:hAnsi="Arial"/>
                <w:sz w:val="26"/>
                <w:szCs w:val="26"/>
                <w:color w:val="auto"/>
                <w:vertAlign w:val="superscript"/>
              </w:rPr>
              <w:t>(3)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$2,891</w:t>
            </w:r>
          </w:p>
        </w:tc>
        <w:tc>
          <w:tcPr>
            <w:tcW w:w="2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$2,891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40"/>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2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-616585</wp:posOffset>
            </wp:positionV>
            <wp:extent cx="137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-616585</wp:posOffset>
            </wp:positionV>
            <wp:extent cx="137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-616585</wp:posOffset>
            </wp:positionV>
            <wp:extent cx="13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-616585</wp:posOffset>
            </wp:positionV>
            <wp:extent cx="13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620" w:right="539" w:hanging="360"/>
        <w:spacing w:after="0" w:line="308"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enter into agreements in the normal course of business with contract research organizations for clinical trials, contract manufacturing organizations, vendors for preclinical research studies and other</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39"/>
        <w:spacing w:after="0" w:line="263" w:lineRule="auto"/>
        <w:rPr>
          <w:sz w:val="20"/>
          <w:szCs w:val="20"/>
          <w:color w:val="auto"/>
        </w:rPr>
      </w:pPr>
      <w:r>
        <w:rPr>
          <w:rFonts w:ascii="Arial" w:cs="Arial" w:eastAsia="Arial" w:hAnsi="Arial"/>
          <w:sz w:val="18"/>
          <w:szCs w:val="18"/>
          <w:color w:val="auto"/>
        </w:rPr>
        <w:t>services and products for operating purposes. We have included obligations in the table above if the contracts are not cancelable at any time by us, generally upon 30 days prior written notice to the vendor.</w:t>
      </w:r>
    </w:p>
    <w:p>
      <w:pPr>
        <w:spacing w:after="0" w:line="35" w:lineRule="exact"/>
        <w:rPr>
          <w:sz w:val="20"/>
          <w:szCs w:val="20"/>
          <w:color w:val="auto"/>
        </w:rPr>
      </w:pPr>
    </w:p>
    <w:p>
      <w:pPr>
        <w:ind w:left="1620" w:right="439" w:hanging="360"/>
        <w:spacing w:after="0" w:line="267" w:lineRule="auto"/>
        <w:tabs>
          <w:tab w:leader="none" w:pos="1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merger agreement between us and Kolltan (“Merger Agreement”) provides that we will be required to pay Kolltan’s former stockholders contingent consideration in the form of development, regulatory approval and sales-based milestones (“Kolltan Milestones”) of up to $172.5 million. Certain Kolltan Milestones related to the METRIC clinical study, TAM partnership closing within two years of the acquisition, CDX-3379 and CDX-0158 have been abandoned and, because of this, as of December 31, 2020, we believe that the adjusted amount we may be required to pay for future consideration is up to $107.5 million contingent upon the achievement of the Kolltan Milestones. We have previously sent abandonment notices to the representative of Kolltan's former stockholders with respect to each of the abandoned Kolltan Milestones, and the representative subsequently objected to the abandonment notices for CDX-3379 and CDX-0158. We disagree with their objection and believe their objection to be without merit. We have filed a Verified Complaint in the Court of Chancery of the State of Delaware seeking declaratory relief with respect to the rights and obligations of the parties relating to certain contingent milestone payments under the Merger Agreement relating to the discontinued CDX-0158 program. At this time, we are unable to reasonably assess the ultimate outcome of our litigation with the representative of Kolltan’s former stockholders over its objection to our abandonment of certain Kolltan Milestones or determine an estimate of potential losses, if any. Further, there are disagreements between that representative and us with respect to our abandonment notice related to the discontinued CDX-3379 program, which could result in litigation. Because the timing and certainty of these milestones being achieved and the outcome of litigation with the representative of Kolltan’s former stockholders is unknown, these potential future obligations are not included within the table.</w:t>
      </w:r>
    </w:p>
    <w:p>
      <w:pPr>
        <w:spacing w:after="0" w:line="38" w:lineRule="exact"/>
        <w:rPr>
          <w:rFonts w:ascii="Arial" w:cs="Arial" w:eastAsia="Arial" w:hAnsi="Arial"/>
          <w:sz w:val="17"/>
          <w:szCs w:val="17"/>
          <w:color w:val="auto"/>
        </w:rPr>
      </w:pPr>
    </w:p>
    <w:p>
      <w:pPr>
        <w:ind w:left="1620" w:right="639" w:hanging="360"/>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Refer to Note 7, “Leases,” in the accompanying notes to the financial statements for details on future minimum lease payments that will become due under non-cancellable leases.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Refer to Note 2, “Summary of Significant Accounting Policies,” in the accompanying notes to the financial statements for a discussion of recent accounting pronouncements.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changes in interest rates is not material.</w:t>
      </w:r>
    </w:p>
    <w:p>
      <w:pPr>
        <w:spacing w:after="0" w:line="124"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We do not utilize derivative financial instruments. The carrying amounts reflected in the balance sheet of cash and cash equivalents, accounts receivables and accounts payable approximates fair value at December 31, 2020 due to the short-term maturities of these instruments.</w:t>
      </w: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ind w:left="1620" w:right="2359" w:firstLine="1591"/>
        <w:spacing w:after="0" w:line="47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Stockholders of Celldex Therapeutics, Inc.</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58"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We have audited the accompanying consolidated balance sheets of Celldex Therapeutics, Inc. and its subsidiary (the “Company”) as of December 31, 2020 and 2019, and the related consolidated statements of operations and comprehensive loss, of stockholders’ equity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Change in Accounting Principle</w:t>
      </w:r>
    </w:p>
    <w:p>
      <w:pPr>
        <w:spacing w:after="0" w:line="158"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44"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Fair Value of Contingent Consideration Liabilities</w:t>
      </w:r>
    </w:p>
    <w:p>
      <w:pPr>
        <w:spacing w:after="0" w:line="144"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As described in Notes 2 and 4 to the consolidated financial statements, contingent consideration resulting from a business combination is recorded at fair value on the acquisition date and is revalued on a quarterly basis, with increases or decreases in their fair value as an adjustment to operating earnings. As of and for the year ended December 31, 2020, management recorded total contingent consideration liabilities of $8.3 million and a gain on fair value remeasurement of contingent consideration of $4.2 million. The valuation technique used to measure fair value of the Company’s contingent consideration liabilities was primarily an income approach. The significant unobservable inputs used in the fair value measurement of the contingent consideration are estimates, including probability of success, discount rates and amount of time until the conditions of the milestone payments are met.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w:t>
      </w:r>
    </w:p>
    <w:p>
      <w:pPr>
        <w:spacing w:after="0" w:line="113"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principal considerations for our determination that performing procedures relating to the fair value of contingent consideration liabilities is a critical audit matter are the significant judgment by management when estimating the fair value of these contingent obligations, including a high degree of estimation uncertainty in evaluating the discount rate, the timing and probability of success of achieving development or commercial milestones, and changes in the probability of success associated with achieving clinical events or regulatory approval. This in turn led to a high degree of auditor judgment, subjectivity, and effort in performing procedures to evaluate the fair value of contingent consideration liabilities. Also, the evaluation of audit evidence available to support the fair value of the contingent consideration liabilities is complex and resulted in significant auditor judgment as the nature of the evidence is highly subjective and the audit effort involved the use of professionals with specialized skill and knowledge.</w:t>
      </w:r>
    </w:p>
    <w:p>
      <w:pPr>
        <w:spacing w:after="0" w:line="11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among others, testing management’s process for developing the fair value of contingent consideration liabilities; evaluating the appropriateness of the valuation technique used and the reasonableness of significant assumptions used by management related to the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Evaluating management’s assumptions related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involved evaluating whether the assumptions used by management were reasonable considering the agreements associated with the transaction, the consistency with industry studies, historical data, and the stage of product development. Professionals with specialized skill and knowledge were used in the evaluation of management’s valuation technique and the discount rate assumption.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Indefinite-lived In-process Research and Development Intangible TAM Asset Impairment Assessment</w:t>
      </w:r>
    </w:p>
    <w:p>
      <w:pPr>
        <w:spacing w:after="0" w:line="144"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As described in Notes 2 and 8 to the consolidated financial statements, indefinite-lived in-process research and development (IPR&amp;D) intangible assets acquired in a business combination are recorded at fair value on the acquisition date until the project is completed or impaired. If a project is completed, the carrying value of the related intangible asset is amortized over the remaining estimated life of the asset. If a project becomes impaired or is abandoned, the carrying value of the related intangible asset is written down to its fair value and an impairment charge is recorded. Each IPR&amp;D asset is assessed for impairment at least annually or when impairment indicators are present. As of December 31, 2020, the carrying value of the indefinite-lived intangible assets was $30.7 million. For the year ended December 31, 2020, management recorded impairment adjustments of $18.0 million, $14.5 million of which relates to the TAM IPR&amp;D asset. The valuation technique used to measure fair value of the IPR&amp;D TAM asset was primarily a discounted cash flow approach. Management determines the fair value of the indefinite-lived IPR&amp;D TAM intangible asset based primarily on the (i) probability of success; (ii) probability of partnership; (iii) partnership milestones; and (iv) discount rate.</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principal considerations for our determination that performing procedures relating to the indefinite-lived IPR&amp;D intangible TAM asset impairment assessment is a critical audit matter are the significant judgment by management when developing the fair value estimate of the indefinite-lived IPR&amp;D TAM asset. This in turn led to a high degree of auditor judgment, subjectivity, and effort in performing procedures and evaluating management’s significant assumptions related to the probability of success, probability of partnership, partnership milestones, and discount rate. The audit effort also involved the use of professionals with specialized skill and knowledge.</w:t>
      </w:r>
    </w:p>
    <w:p>
      <w:pPr>
        <w:spacing w:after="0" w:line="114"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among others, testing management’s process for developing the fair value estimate and evaluating the appropriateness of the discounted cash flow analysis, testing the completeness and accuracy of the underlying data used in the analysis, and evaluating the reasonableness of the assumptions related to probability of success, probability of partnership, partnership milestones and discount rate. Evaluating management’s assumptions related to probability of success, probability of partnership, partnership milestones and discount rate involved evaluating whether the assumptions used by management were reasonable considering their consistency with data from external sources and the stage of product development. Professionals with specialized skill and knowledge were used to assist in evaluating the appropriateness of management’s discounted cash flow analysis and evaluating the reasonableness of the assumptions used in the technique.</w:t>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29, 2021</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CELLDEX THERAPEUTICS, INC.</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6340" w:type="dxa"/>
            <w:vAlign w:val="bottom"/>
            <w:gridSpan w:val="2"/>
          </w:tcPr>
          <w:p>
            <w:pPr>
              <w:spacing w:after="0" w:line="202" w:lineRule="exact"/>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4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43,836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11,232</w:t>
            </w:r>
          </w:p>
        </w:tc>
        <w:tc>
          <w:tcPr>
            <w:tcW w:w="60" w:type="dxa"/>
            <w:vAlign w:val="bottom"/>
          </w:tcPr>
          <w:p>
            <w:pPr>
              <w:spacing w:after="0"/>
              <w:rPr>
                <w:sz w:val="17"/>
                <w:szCs w:val="17"/>
                <w:color w:val="auto"/>
              </w:rPr>
            </w:pPr>
          </w:p>
        </w:tc>
      </w:tr>
      <w:tr>
        <w:trPr>
          <w:trHeight w:val="203"/>
        </w:trPr>
        <w:tc>
          <w:tcPr>
            <w:tcW w:w="6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150,586</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53,151</w:t>
            </w:r>
          </w:p>
        </w:tc>
        <w:tc>
          <w:tcPr>
            <w:tcW w:w="60" w:type="dxa"/>
            <w:vAlign w:val="bottom"/>
          </w:tcPr>
          <w:p>
            <w:pPr>
              <w:spacing w:after="0"/>
              <w:rPr>
                <w:sz w:val="17"/>
                <w:szCs w:val="17"/>
                <w:color w:val="auto"/>
              </w:rPr>
            </w:pPr>
          </w:p>
        </w:tc>
      </w:tr>
      <w:tr>
        <w:trPr>
          <w:trHeight w:val="203"/>
        </w:trPr>
        <w:tc>
          <w:tcPr>
            <w:tcW w:w="634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and other receivables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1,802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c>
          <w:tcPr>
            <w:tcW w:w="60" w:type="dxa"/>
            <w:vAlign w:val="bottom"/>
          </w:tcPr>
          <w:p>
            <w:pPr>
              <w:spacing w:after="0"/>
              <w:rPr>
                <w:sz w:val="17"/>
                <w:szCs w:val="17"/>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1,619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18"/>
                <w:szCs w:val="18"/>
                <w:color w:val="auto"/>
              </w:rPr>
            </w:pPr>
          </w:p>
        </w:tc>
      </w:tr>
      <w:tr>
        <w:trPr>
          <w:trHeight w:val="210"/>
        </w:trPr>
        <w:tc>
          <w:tcPr>
            <w:tcW w:w="6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197,843</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66,698</w:t>
            </w:r>
          </w:p>
        </w:tc>
        <w:tc>
          <w:tcPr>
            <w:tcW w:w="60" w:type="dxa"/>
            <w:vAlign w:val="bottom"/>
          </w:tcPr>
          <w:p>
            <w:pPr>
              <w:spacing w:after="0"/>
              <w:rPr>
                <w:sz w:val="18"/>
                <w:szCs w:val="18"/>
                <w:color w:val="auto"/>
              </w:rPr>
            </w:pPr>
          </w:p>
        </w:tc>
      </w:tr>
      <w:tr>
        <w:trPr>
          <w:trHeight w:val="196"/>
        </w:trPr>
        <w:tc>
          <w:tcPr>
            <w:tcW w:w="6100" w:type="dxa"/>
            <w:vAlign w:val="bottom"/>
          </w:tcPr>
          <w:p>
            <w:pPr>
              <w:spacing w:after="0" w:line="196"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3,815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4,031</w:t>
            </w:r>
          </w:p>
        </w:tc>
        <w:tc>
          <w:tcPr>
            <w:tcW w:w="60" w:type="dxa"/>
            <w:vAlign w:val="bottom"/>
          </w:tcPr>
          <w:p>
            <w:pPr>
              <w:spacing w:after="0"/>
              <w:rPr>
                <w:sz w:val="17"/>
                <w:szCs w:val="17"/>
                <w:color w:val="auto"/>
              </w:rPr>
            </w:pPr>
          </w:p>
        </w:tc>
      </w:tr>
      <w:tr>
        <w:trPr>
          <w:trHeight w:val="203"/>
        </w:trPr>
        <w:tc>
          <w:tcPr>
            <w:tcW w:w="63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 net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3,449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3,473</w:t>
            </w:r>
          </w:p>
        </w:tc>
        <w:tc>
          <w:tcPr>
            <w:tcW w:w="60" w:type="dxa"/>
            <w:vAlign w:val="bottom"/>
          </w:tcPr>
          <w:p>
            <w:pPr>
              <w:spacing w:after="0"/>
              <w:rPr>
                <w:sz w:val="17"/>
                <w:szCs w:val="17"/>
                <w:color w:val="auto"/>
              </w:rPr>
            </w:pPr>
          </w:p>
        </w:tc>
      </w:tr>
      <w:tr>
        <w:trPr>
          <w:trHeight w:val="203"/>
        </w:trPr>
        <w:tc>
          <w:tcPr>
            <w:tcW w:w="63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30,690</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48,690</w:t>
            </w:r>
          </w:p>
        </w:tc>
        <w:tc>
          <w:tcPr>
            <w:tcW w:w="60" w:type="dxa"/>
            <w:vAlign w:val="bottom"/>
          </w:tcPr>
          <w:p>
            <w:pPr>
              <w:spacing w:after="0"/>
              <w:rPr>
                <w:sz w:val="17"/>
                <w:szCs w:val="17"/>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r>
      <w:tr>
        <w:trPr>
          <w:trHeight w:val="209"/>
        </w:trPr>
        <w:tc>
          <w:tcPr>
            <w:tcW w:w="634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235,838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122,933</w:t>
            </w:r>
          </w:p>
        </w:tc>
        <w:tc>
          <w:tcPr>
            <w:tcW w:w="60" w:type="dxa"/>
            <w:vAlign w:val="bottom"/>
          </w:tcPr>
          <w:p>
            <w:pPr>
              <w:spacing w:after="0"/>
              <w:rPr>
                <w:sz w:val="18"/>
                <w:szCs w:val="18"/>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0"/>
        </w:trPr>
        <w:tc>
          <w:tcPr>
            <w:tcW w:w="6340" w:type="dxa"/>
            <w:vAlign w:val="bottom"/>
            <w:tcBorders>
              <w:right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3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4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1,048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1,174</w:t>
            </w:r>
          </w:p>
        </w:tc>
        <w:tc>
          <w:tcPr>
            <w:tcW w:w="60" w:type="dxa"/>
            <w:vAlign w:val="bottom"/>
          </w:tcPr>
          <w:p>
            <w:pPr>
              <w:spacing w:after="0"/>
              <w:rPr>
                <w:sz w:val="17"/>
                <w:szCs w:val="17"/>
                <w:color w:val="auto"/>
              </w:rPr>
            </w:pPr>
          </w:p>
        </w:tc>
      </w:tr>
      <w:tr>
        <w:trPr>
          <w:trHeight w:val="203"/>
        </w:trPr>
        <w:tc>
          <w:tcPr>
            <w:tcW w:w="6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8,459</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6,499</w:t>
            </w:r>
          </w:p>
        </w:tc>
        <w:tc>
          <w:tcPr>
            <w:tcW w:w="60" w:type="dxa"/>
            <w:vAlign w:val="bottom"/>
          </w:tcPr>
          <w:p>
            <w:pPr>
              <w:spacing w:after="0"/>
              <w:rPr>
                <w:sz w:val="17"/>
                <w:szCs w:val="17"/>
                <w:color w:val="auto"/>
              </w:rPr>
            </w:pPr>
          </w:p>
        </w:tc>
      </w:tr>
      <w:tr>
        <w:trPr>
          <w:trHeight w:val="203"/>
        </w:trPr>
        <w:tc>
          <w:tcPr>
            <w:tcW w:w="634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1,327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1,944</w:t>
            </w:r>
          </w:p>
        </w:tc>
        <w:tc>
          <w:tcPr>
            <w:tcW w:w="60" w:type="dxa"/>
            <w:vAlign w:val="bottom"/>
          </w:tcPr>
          <w:p>
            <w:pPr>
              <w:spacing w:after="0"/>
              <w:rPr>
                <w:sz w:val="17"/>
                <w:szCs w:val="17"/>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liabilities</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3,372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2,026</w:t>
            </w:r>
          </w:p>
        </w:tc>
        <w:tc>
          <w:tcPr>
            <w:tcW w:w="60" w:type="dxa"/>
            <w:vAlign w:val="bottom"/>
          </w:tcPr>
          <w:p>
            <w:pPr>
              <w:spacing w:after="0"/>
              <w:rPr>
                <w:sz w:val="18"/>
                <w:szCs w:val="18"/>
                <w:color w:val="auto"/>
              </w:rPr>
            </w:pPr>
          </w:p>
        </w:tc>
      </w:tr>
      <w:tr>
        <w:trPr>
          <w:trHeight w:val="209"/>
        </w:trPr>
        <w:tc>
          <w:tcPr>
            <w:tcW w:w="6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14,206</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60" w:type="dxa"/>
            <w:vAlign w:val="bottom"/>
          </w:tcPr>
          <w:p>
            <w:pPr>
              <w:spacing w:after="0"/>
              <w:rPr>
                <w:sz w:val="18"/>
                <w:szCs w:val="18"/>
                <w:color w:val="auto"/>
              </w:rPr>
            </w:pPr>
          </w:p>
        </w:tc>
      </w:tr>
      <w:tr>
        <w:trPr>
          <w:trHeight w:val="196"/>
        </w:trPr>
        <w:tc>
          <w:tcPr>
            <w:tcW w:w="6100" w:type="dxa"/>
            <w:vAlign w:val="bottom"/>
          </w:tcPr>
          <w:p>
            <w:pPr>
              <w:spacing w:after="0" w:line="196" w:lineRule="exact"/>
              <w:rPr>
                <w:sz w:val="20"/>
                <w:szCs w:val="20"/>
                <w:color w:val="auto"/>
              </w:rPr>
            </w:pPr>
            <w:r>
              <w:rPr>
                <w:rFonts w:ascii="Arial" w:cs="Arial" w:eastAsia="Arial" w:hAnsi="Arial"/>
                <w:sz w:val="18"/>
                <w:szCs w:val="18"/>
                <w:color w:val="auto"/>
              </w:rPr>
              <w:t>Long-term portion of operating lease liabilities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2,154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1,713</w:t>
            </w:r>
          </w:p>
        </w:tc>
        <w:tc>
          <w:tcPr>
            <w:tcW w:w="60" w:type="dxa"/>
            <w:vAlign w:val="bottom"/>
          </w:tcPr>
          <w:p>
            <w:pPr>
              <w:spacing w:after="0"/>
              <w:rPr>
                <w:sz w:val="17"/>
                <w:szCs w:val="17"/>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10,121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15,551</w:t>
            </w:r>
          </w:p>
        </w:tc>
        <w:tc>
          <w:tcPr>
            <w:tcW w:w="60" w:type="dxa"/>
            <w:vAlign w:val="bottom"/>
          </w:tcPr>
          <w:p>
            <w:pPr>
              <w:spacing w:after="0"/>
              <w:rPr>
                <w:sz w:val="18"/>
                <w:szCs w:val="18"/>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26,481</w:t>
            </w: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28,907</w:t>
            </w:r>
          </w:p>
        </w:tc>
      </w:tr>
      <w:tr>
        <w:trPr>
          <w:trHeight w:val="209"/>
        </w:trPr>
        <w:tc>
          <w:tcPr>
            <w:tcW w:w="63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Commitments and contingent liabilities (Note 14)</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Convertible preferred stock, $.01 par value; 3,000,000 shares authorized; no</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3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at December 31, 2020 and 2019</w:t>
            </w: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5"/>
        </w:trPr>
        <w:tc>
          <w:tcPr>
            <w:tcW w:w="6340" w:type="dxa"/>
            <w:vAlign w:val="bottom"/>
            <w:gridSpan w:val="2"/>
          </w:tcPr>
          <w:p>
            <w:pPr>
              <w:ind w:left="180"/>
              <w:spacing w:after="0"/>
              <w:rPr>
                <w:sz w:val="20"/>
                <w:szCs w:val="20"/>
                <w:color w:val="auto"/>
              </w:rPr>
            </w:pPr>
            <w:r>
              <w:rPr>
                <w:rFonts w:ascii="Arial" w:cs="Arial" w:eastAsia="Arial" w:hAnsi="Arial"/>
                <w:sz w:val="18"/>
                <w:szCs w:val="18"/>
                <w:color w:val="auto"/>
                <w:w w:val="99"/>
              </w:rPr>
              <w:t>Common stock, $.001 par value; 297,000,000 shares authorized; 39,603,771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and 16,972,077 shares issued and outstanding at December 31, 2020 and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2019, respectively</w:t>
            </w: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1,279,824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1,104,706</w:t>
            </w:r>
          </w:p>
        </w:tc>
        <w:tc>
          <w:tcPr>
            <w:tcW w:w="60" w:type="dxa"/>
            <w:vAlign w:val="bottom"/>
          </w:tcPr>
          <w:p>
            <w:pPr>
              <w:spacing w:after="0"/>
              <w:rPr>
                <w:sz w:val="18"/>
                <w:szCs w:val="18"/>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2,589</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2,619</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(1,073,096)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(1,013,316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209,357</w:t>
            </w: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94,026</w:t>
            </w: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63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235,838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122,933</w:t>
            </w:r>
          </w:p>
        </w:tc>
        <w:tc>
          <w:tcPr>
            <w:tcW w:w="60" w:type="dxa"/>
            <w:vAlign w:val="bottom"/>
          </w:tcPr>
          <w:p>
            <w:pPr>
              <w:spacing w:after="0"/>
              <w:rPr>
                <w:sz w:val="21"/>
                <w:szCs w:val="2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46545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-1748155</wp:posOffset>
            </wp:positionV>
            <wp:extent cx="46545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-2322195</wp:posOffset>
            </wp:positionV>
            <wp:extent cx="46545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-3942715</wp:posOffset>
            </wp:positionV>
            <wp:extent cx="46545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6545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-4748530</wp:posOffset>
            </wp:positionV>
            <wp:extent cx="46462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CELLDEX THERAPEUTICS, INC.</w:t>
      </w:r>
    </w:p>
    <w:p>
      <w:pPr>
        <w:spacing w:after="0" w:line="11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c>
          <w:tcPr>
            <w:tcW w:w="11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11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1"/>
              </w:rPr>
              <w:t>December 31,</w:t>
            </w:r>
          </w:p>
        </w:tc>
      </w:t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tcBorders>
              <w:left w:val="single" w:sz="8" w:color="CCEEFF"/>
            </w:tcBorders>
          </w:tcPr>
          <w:p>
            <w:pPr>
              <w:spacing w:after="0"/>
              <w:rPr>
                <w:sz w:val="21"/>
                <w:szCs w:val="21"/>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2,301</w:t>
            </w:r>
          </w:p>
        </w:tc>
        <w:tc>
          <w:tcPr>
            <w:tcW w:w="2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3,341</w:t>
            </w:r>
          </w:p>
        </w:tc>
        <w:tc>
          <w:tcPr>
            <w:tcW w:w="60" w:type="dxa"/>
            <w:vAlign w:val="bottom"/>
          </w:tcPr>
          <w:p>
            <w:pPr>
              <w:spacing w:after="0"/>
              <w:rPr>
                <w:sz w:val="22"/>
                <w:szCs w:val="22"/>
                <w:color w:val="auto"/>
              </w:rPr>
            </w:pPr>
          </w:p>
        </w:tc>
      </w:tr>
      <w:tr>
        <w:trPr>
          <w:trHeight w:val="26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5,117</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w:t>
            </w:r>
          </w:p>
        </w:tc>
        <w:tc>
          <w:tcPr>
            <w:tcW w:w="2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60" w:type="dxa"/>
            <w:vAlign w:val="bottom"/>
            <w:tcBorders>
              <w:left w:val="single" w:sz="8" w:color="CCEEFF"/>
            </w:tcBorders>
          </w:tcPr>
          <w:p>
            <w:pPr>
              <w:spacing w:after="0"/>
              <w:rPr>
                <w:sz w:val="22"/>
                <w:szCs w:val="22"/>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7,418</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3,573</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9,538</w:t>
            </w:r>
          </w:p>
        </w:tc>
        <w:tc>
          <w:tcPr>
            <w:tcW w:w="60" w:type="dxa"/>
            <w:vAlign w:val="bottom"/>
          </w:tcPr>
          <w:p>
            <w:pPr>
              <w:spacing w:after="0"/>
              <w:rPr>
                <w:sz w:val="22"/>
                <w:szCs w:val="22"/>
                <w:color w:val="auto"/>
              </w:rPr>
            </w:pPr>
          </w:p>
        </w:tc>
      </w:tr>
      <w:tr>
        <w:trPr>
          <w:trHeight w:val="257"/>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60" w:type="dxa"/>
            <w:vAlign w:val="bottom"/>
            <w:tcBorders>
              <w:left w:val="single" w:sz="8" w:color="CCEEFF"/>
            </w:tcBorders>
          </w:tcPr>
          <w:p>
            <w:pPr>
              <w:spacing w:after="0"/>
              <w:rPr>
                <w:sz w:val="22"/>
                <w:szCs w:val="22"/>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42,534</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42,672</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66,449</w:t>
            </w:r>
          </w:p>
        </w:tc>
        <w:tc>
          <w:tcPr>
            <w:tcW w:w="60" w:type="dxa"/>
            <w:vAlign w:val="bottom"/>
          </w:tcPr>
          <w:p>
            <w:pPr>
              <w:spacing w:after="0"/>
              <w:rPr>
                <w:sz w:val="22"/>
                <w:szCs w:val="22"/>
                <w:color w:val="auto"/>
              </w:rPr>
            </w:pPr>
          </w:p>
        </w:tc>
      </w:tr>
      <w:tr>
        <w:trPr>
          <w:trHeight w:val="25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14,456</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15,426</w:t>
            </w:r>
          </w:p>
        </w:tc>
        <w:tc>
          <w:tcPr>
            <w:tcW w:w="2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60" w:type="dxa"/>
            <w:vAlign w:val="bottom"/>
            <w:tcBorders>
              <w:left w:val="single" w:sz="8" w:color="CCEEFF"/>
            </w:tcBorders>
          </w:tcPr>
          <w:p>
            <w:pPr>
              <w:spacing w:after="0"/>
              <w:rPr>
                <w:sz w:val="22"/>
                <w:szCs w:val="22"/>
                <w:color w:val="auto"/>
              </w:rPr>
            </w:pPr>
          </w:p>
        </w:tc>
      </w:tr>
      <w:tr>
        <w:trPr>
          <w:trHeight w:val="256"/>
        </w:trPr>
        <w:tc>
          <w:tcPr>
            <w:tcW w:w="5040" w:type="dxa"/>
            <w:vAlign w:val="bottom"/>
          </w:tcPr>
          <w:p>
            <w:pPr>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90,976</w:t>
            </w:r>
          </w:p>
        </w:tc>
        <w:tc>
          <w:tcPr>
            <w:tcW w:w="60" w:type="dxa"/>
            <w:vAlign w:val="bottom"/>
          </w:tcPr>
          <w:p>
            <w:pPr>
              <w:spacing w:after="0"/>
              <w:rPr>
                <w:sz w:val="22"/>
                <w:szCs w:val="22"/>
                <w:color w:val="auto"/>
              </w:rPr>
            </w:pPr>
          </w:p>
        </w:tc>
      </w:tr>
      <w:tr>
        <w:trPr>
          <w:trHeight w:val="25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18,000</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60" w:type="dxa"/>
            <w:vAlign w:val="bottom"/>
            <w:tcBorders>
              <w:left w:val="single" w:sz="8" w:color="CCEEFF"/>
            </w:tcBorders>
          </w:tcPr>
          <w:p>
            <w:pPr>
              <w:spacing w:after="0"/>
              <w:rPr>
                <w:sz w:val="22"/>
                <w:szCs w:val="22"/>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Other asset impairment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Gain on fair value remeasurement of contingent consideration</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(4,218)</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(1,294)</w:t>
            </w:r>
          </w:p>
        </w:tc>
        <w:tc>
          <w:tcPr>
            <w:tcW w:w="2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(29,621)</w:t>
            </w:r>
          </w:p>
        </w:tc>
        <w:tc>
          <w:tcPr>
            <w:tcW w:w="60" w:type="dxa"/>
            <w:vAlign w:val="bottom"/>
            <w:tcBorders>
              <w:left w:val="single" w:sz="8" w:color="CCEEFF"/>
            </w:tcBorders>
          </w:tcPr>
          <w:p>
            <w:pPr>
              <w:spacing w:after="0"/>
              <w:rPr>
                <w:sz w:val="22"/>
                <w:szCs w:val="22"/>
                <w:color w:val="auto"/>
              </w:rPr>
            </w:pPr>
          </w:p>
        </w:tc>
      </w:tr>
      <w:tr>
        <w:trPr>
          <w:trHeight w:val="263"/>
        </w:trPr>
        <w:tc>
          <w:tcPr>
            <w:tcW w:w="504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22"/>
                <w:szCs w:val="22"/>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6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70,772</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58,604</w:t>
            </w:r>
          </w:p>
        </w:tc>
        <w:tc>
          <w:tcPr>
            <w:tcW w:w="2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165,974</w:t>
            </w:r>
          </w:p>
        </w:tc>
        <w:tc>
          <w:tcPr>
            <w:tcW w:w="60" w:type="dxa"/>
            <w:vAlign w:val="bottom"/>
            <w:tcBorders>
              <w:left w:val="single" w:sz="8" w:color="CCEEFF"/>
            </w:tcBorders>
          </w:tcPr>
          <w:p>
            <w:pPr>
              <w:spacing w:after="0"/>
              <w:rPr>
                <w:sz w:val="22"/>
                <w:szCs w:val="22"/>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(63,354)</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(55,031)</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(156,436)</w:t>
            </w:r>
          </w:p>
        </w:tc>
      </w:tr>
      <w:tr>
        <w:trPr>
          <w:trHeight w:val="26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4,153</w:t>
            </w:r>
          </w:p>
        </w:tc>
        <w:tc>
          <w:tcPr>
            <w:tcW w:w="2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60" w:type="dxa"/>
            <w:vAlign w:val="bottom"/>
            <w:tcBorders>
              <w:left w:val="single" w:sz="8" w:color="CCEEFF"/>
            </w:tcBorders>
          </w:tcPr>
          <w:p>
            <w:pPr>
              <w:spacing w:after="0"/>
              <w:rPr>
                <w:sz w:val="22"/>
                <w:szCs w:val="22"/>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504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28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(60,947)</w:t>
            </w:r>
          </w:p>
        </w:tc>
        <w:tc>
          <w:tcPr>
            <w:tcW w:w="2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(50,878)</w:t>
            </w:r>
          </w:p>
        </w:tc>
        <w:tc>
          <w:tcPr>
            <w:tcW w:w="28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(151,949)</w:t>
            </w:r>
          </w:p>
        </w:tc>
      </w:tr>
      <w:tr>
        <w:trPr>
          <w:trHeight w:val="26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0" w:type="dxa"/>
            <w:vAlign w:val="bottom"/>
            <w:tcBorders>
              <w:left w:val="single" w:sz="8" w:color="CCEEFF"/>
            </w:tcBorders>
          </w:tcPr>
          <w:p>
            <w:pPr>
              <w:spacing w:after="0"/>
              <w:rPr>
                <w:sz w:val="22"/>
                <w:szCs w:val="22"/>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(59,780)</w:t>
            </w:r>
          </w:p>
        </w:tc>
        <w:tc>
          <w:tcPr>
            <w:tcW w:w="2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(50,878)</w:t>
            </w:r>
          </w:p>
        </w:tc>
        <w:tc>
          <w:tcPr>
            <w:tcW w:w="280" w:type="dxa"/>
            <w:vAlign w:val="bottom"/>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(151,184)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80" w:type="dxa"/>
            <w:vAlign w:val="bottom"/>
            <w:gridSpan w:val="2"/>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tcBorders>
              <w:left w:val="single" w:sz="8" w:color="CCEEFF"/>
            </w:tcBorders>
          </w:tcPr>
          <w:p>
            <w:pPr>
              <w:spacing w:after="0"/>
              <w:rPr>
                <w:sz w:val="23"/>
                <w:szCs w:val="23"/>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Shares used in calculating basic and diluted net loss per share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29,640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14,507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10,442</w:t>
            </w:r>
          </w:p>
        </w:tc>
        <w:tc>
          <w:tcPr>
            <w:tcW w:w="60" w:type="dxa"/>
            <w:vAlign w:val="bottom"/>
          </w:tcPr>
          <w:p>
            <w:pPr>
              <w:spacing w:after="0"/>
              <w:rPr>
                <w:sz w:val="20"/>
                <w:szCs w:val="20"/>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(59,780)</w:t>
            </w:r>
          </w:p>
        </w:tc>
        <w:tc>
          <w:tcPr>
            <w:tcW w:w="2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(50,878)</w:t>
            </w:r>
          </w:p>
        </w:tc>
        <w:tc>
          <w:tcPr>
            <w:tcW w:w="280" w:type="dxa"/>
            <w:vAlign w:val="bottom"/>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(151,184)</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tcBorders>
              <w:left w:val="single" w:sz="8" w:color="CCEEFF"/>
            </w:tcBorders>
          </w:tcPr>
          <w:p>
            <w:pPr>
              <w:spacing w:after="0"/>
              <w:rPr>
                <w:sz w:val="23"/>
                <w:szCs w:val="23"/>
                <w:color w:val="auto"/>
              </w:rPr>
            </w:pPr>
          </w:p>
        </w:tc>
      </w:tr>
      <w:tr>
        <w:trPr>
          <w:trHeight w:val="277"/>
        </w:trPr>
        <w:tc>
          <w:tcPr>
            <w:tcW w:w="504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30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80" w:type="dxa"/>
            <w:vAlign w:val="bottom"/>
            <w:gridSpan w:val="2"/>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(59,810)</w:t>
            </w:r>
          </w:p>
        </w:tc>
        <w:tc>
          <w:tcPr>
            <w:tcW w:w="2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(50,842)</w:t>
            </w:r>
          </w:p>
        </w:tc>
        <w:tc>
          <w:tcPr>
            <w:tcW w:w="2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(151,165)</w:t>
            </w:r>
          </w:p>
        </w:tc>
        <w:tc>
          <w:tcPr>
            <w:tcW w:w="60" w:type="dxa"/>
            <w:vAlign w:val="bottom"/>
            <w:tcBorders>
              <w:left w:val="single" w:sz="8" w:color="CCEEFF"/>
            </w:tcBorders>
          </w:tcPr>
          <w:p>
            <w:pPr>
              <w:spacing w:after="0"/>
              <w:rPr>
                <w:sz w:val="24"/>
                <w:szCs w:val="24"/>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-222250</wp:posOffset>
            </wp:positionV>
            <wp:extent cx="34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7059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-1499870</wp:posOffset>
            </wp:positionV>
            <wp:extent cx="342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-1842135</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-2185035</wp:posOffset>
            </wp:positionV>
            <wp:extent cx="34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-2365375</wp:posOffset>
            </wp:positionV>
            <wp:extent cx="342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-2365375</wp:posOffset>
            </wp:positionV>
            <wp:extent cx="47059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-3685540</wp:posOffset>
            </wp:positionV>
            <wp:extent cx="342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-3685540</wp:posOffset>
            </wp:positionV>
            <wp:extent cx="47059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-3865245</wp:posOffset>
            </wp:positionV>
            <wp:extent cx="34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-4371340</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-4371340</wp:posOffset>
            </wp:positionV>
            <wp:extent cx="39947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CELLDEX THERAPEUTICS,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 thousands, except share amounts)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Common</w:t>
            </w:r>
          </w:p>
        </w:tc>
        <w:tc>
          <w:tcPr>
            <w:tcW w:w="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Common</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4"/>
                <w:szCs w:val="14"/>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Stock Par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Comprehensive</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8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200" w:type="dxa"/>
            <w:vAlign w:val="bottom"/>
          </w:tcPr>
          <w:p>
            <w:pPr>
              <w:spacing w:after="0"/>
              <w:rPr>
                <w:sz w:val="16"/>
                <w:szCs w:val="16"/>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6"/>
                <w:szCs w:val="16"/>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2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7"/>
              </w:rPr>
              <w:t>9,234,693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$1,046,313</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$ 2,564</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(812,517)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236,369</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Shares issued under stock</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option and employee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stock purchase plans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16,047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20"/>
                <w:szCs w:val="20"/>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Shares issued in</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connection with at the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 agreement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2,702,660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29,019</w:t>
            </w:r>
          </w:p>
        </w:tc>
        <w:tc>
          <w:tcPr>
            <w:tcW w:w="2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29,022</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Shares issued in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connection with Kolltan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4,235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0"/>
                <w:szCs w:val="20"/>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8,081</w:t>
            </w: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8,081</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Unrealized gain 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Adoption of ASC 606</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1,263</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(151,184)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(151,184)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top w:val="single" w:sz="8" w:color="CCEEFF"/>
              <w:right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6"/>
              </w:rPr>
              <w:t>11,957,635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79"/>
              </w:rPr>
              <w:t>12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$1,083,903</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$ 2,583</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(962,438)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124,060</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Shares issued under stock</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option and employee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stock purchase plans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Shares issued in</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connection with at the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 agreement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5,011,157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16,243</w:t>
            </w:r>
          </w:p>
        </w:tc>
        <w:tc>
          <w:tcPr>
            <w:tcW w:w="2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4,551</w:t>
            </w:r>
          </w:p>
        </w:tc>
        <w:tc>
          <w:tcPr>
            <w:tcW w:w="200" w:type="dxa"/>
            <w:vAlign w:val="bottom"/>
          </w:tcPr>
          <w:p>
            <w:pPr>
              <w:spacing w:after="0"/>
              <w:rPr>
                <w:sz w:val="17"/>
                <w:szCs w:val="17"/>
                <w:color w:val="auto"/>
              </w:rPr>
            </w:pPr>
          </w:p>
        </w:tc>
        <w:tc>
          <w:tcPr>
            <w:tcW w:w="9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4,551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Unrealized gain on</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(50,878)</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top w:val="single" w:sz="8" w:color="CCEEFF"/>
              <w:right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6"/>
              </w:rPr>
              <w:t>16,972,077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79"/>
              </w:rPr>
              <w:t>17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$1,104,706</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$ 2,619</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(1,013,316)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94,026</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Shares issued under stock</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option and employee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stock purchase plans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122,076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20"/>
                <w:szCs w:val="20"/>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Shares issued in</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connection with at the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 agreement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7,125,004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29,423</w:t>
            </w:r>
          </w:p>
        </w:tc>
        <w:tc>
          <w:tcPr>
            <w:tcW w:w="2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29,431</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Shares issued in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underwritten public</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offering</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15,384,614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15</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141,346</w:t>
            </w:r>
          </w:p>
        </w:tc>
        <w:tc>
          <w:tcPr>
            <w:tcW w:w="200" w:type="dxa"/>
            <w:vAlign w:val="bottom"/>
          </w:tcPr>
          <w:p>
            <w:pPr>
              <w:spacing w:after="0"/>
              <w:rPr>
                <w:sz w:val="20"/>
                <w:szCs w:val="20"/>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141,361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3,915</w:t>
            </w: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3,915</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Unrealized loss 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(59,780)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(59,780)</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6"/>
              </w:rPr>
              <w:t>39,603,771</w:t>
            </w:r>
          </w:p>
        </w:tc>
        <w:tc>
          <w:tcPr>
            <w:tcW w:w="18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79"/>
              </w:rPr>
              <w:t>40</w:t>
            </w:r>
          </w:p>
        </w:tc>
        <w:tc>
          <w:tcPr>
            <w:tcW w:w="20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1,279,824</w:t>
            </w: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rPr>
              <w:t>$ 2,589</w:t>
            </w:r>
          </w:p>
        </w:tc>
        <w:tc>
          <w:tcPr>
            <w:tcW w:w="2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89"/>
              </w:rPr>
              <w:t>(1,073,096)</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209,357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8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-307975</wp:posOffset>
            </wp:positionV>
            <wp:extent cx="342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-2365375</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-2365375</wp:posOffset>
            </wp:positionV>
            <wp:extent cx="1543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-2365375</wp:posOffset>
            </wp:positionV>
            <wp:extent cx="274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-2365375</wp:posOffset>
            </wp:positionV>
            <wp:extent cx="2482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-2365375</wp:posOffset>
            </wp:positionV>
            <wp:extent cx="2400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-2365375</wp:posOffset>
            </wp:positionV>
            <wp:extent cx="21856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8567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-4011295</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-4011295</wp:posOffset>
            </wp:positionV>
            <wp:extent cx="1543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-4011295</wp:posOffset>
            </wp:positionV>
            <wp:extent cx="274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-4011295</wp:posOffset>
            </wp:positionV>
            <wp:extent cx="2482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-4011295</wp:posOffset>
            </wp:positionV>
            <wp:extent cx="2400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-4011295</wp:posOffset>
            </wp:positionV>
            <wp:extent cx="21856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8567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-6214110</wp:posOffset>
            </wp:positionV>
            <wp:extent cx="1289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-6214110</wp:posOffset>
            </wp:positionV>
            <wp:extent cx="1200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-6214110</wp:posOffset>
            </wp:positionV>
            <wp:extent cx="120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-6214110</wp:posOffset>
            </wp:positionV>
            <wp:extent cx="120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-6214110</wp:posOffset>
            </wp:positionV>
            <wp:extent cx="20745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6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line="196" w:lineRule="auto"/>
        <w:framePr w:w="280" w:h="160" w:wrap="auto" w:vAnchor="page" w:hAnchor="page" w:x="5780" w:y="13169"/>
        <w:rPr>
          <w:rFonts w:ascii="Arial" w:cs="Arial" w:eastAsia="Arial" w:hAnsi="Arial"/>
          <w:sz w:val="17"/>
          <w:szCs w:val="17"/>
          <w:color w:val="auto"/>
        </w:rPr>
      </w:pPr>
      <w:r>
        <w:rPr>
          <w:rFonts w:ascii="Arial" w:cs="Arial" w:eastAsia="Arial" w:hAnsi="Arial"/>
          <w:sz w:val="17"/>
          <w:szCs w:val="17"/>
          <w:color w:val="auto"/>
        </w:rPr>
        <w:t>74</w:t>
      </w:r>
    </w:p>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4020"/>
        <w:spacing w:after="0"/>
        <w:rPr>
          <w:sz w:val="20"/>
          <w:szCs w:val="20"/>
          <w:color w:val="auto"/>
        </w:rPr>
      </w:pPr>
      <w:r>
        <w:rPr>
          <w:rFonts w:ascii="Arial" w:cs="Arial" w:eastAsia="Arial" w:hAnsi="Arial"/>
          <w:sz w:val="18"/>
          <w:szCs w:val="18"/>
          <w:b w:val="1"/>
          <w:bCs w:val="1"/>
          <w:color w:val="auto"/>
        </w:rPr>
        <w:t>CELLDEX THERAPEUTICS, INC.</w:t>
      </w:r>
    </w:p>
    <w:p>
      <w:pPr>
        <w:spacing w:after="0" w:line="117" w:lineRule="exact"/>
        <w:rPr>
          <w:rFonts w:ascii="Arial" w:cs="Arial" w:eastAsia="Arial" w:hAnsi="Arial"/>
          <w:sz w:val="17"/>
          <w:szCs w:val="17"/>
          <w:color w:val="auto"/>
        </w:rPr>
      </w:pPr>
    </w:p>
    <w:p>
      <w:pPr>
        <w:ind w:left="33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rFonts w:ascii="Arial" w:cs="Arial" w:eastAsia="Arial" w:hAnsi="Arial"/>
          <w:sz w:val="17"/>
          <w:szCs w:val="17"/>
          <w:color w:val="auto"/>
        </w:rPr>
      </w:pPr>
    </w:p>
    <w:p>
      <w:pPr>
        <w:ind w:left="4840"/>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rFonts w:ascii="Arial" w:cs="Arial" w:eastAsia="Arial" w:hAnsi="Arial"/>
          <w:sz w:val="17"/>
          <w:szCs w:val="17"/>
          <w:color w:val="auto"/>
        </w:rPr>
      </w:pPr>
    </w:p>
    <w:tbl>
      <w:tblPr>
        <w:tblLayout w:type="fixed"/>
        <w:tblInd w:w="126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1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1"/>
              </w:rPr>
              <w:t>December 31,</w:t>
            </w:r>
          </w:p>
        </w:tc>
        <w:tc>
          <w:tcPr>
            <w:tcW w:w="11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1"/>
              </w:rPr>
              <w:t>December 31,</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(59,780)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(50,878)</w:t>
            </w:r>
          </w:p>
        </w:tc>
        <w:tc>
          <w:tcPr>
            <w:tcW w:w="2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(151,184)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Adjustments to reconcile net loss to net cash used in operating</w:t>
            </w:r>
          </w:p>
        </w:tc>
        <w:tc>
          <w:tcPr>
            <w:tcW w:w="2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2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4,858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 net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(1,140)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sale or disposal of assets</w:t>
            </w:r>
          </w:p>
        </w:tc>
        <w:tc>
          <w:tcPr>
            <w:tcW w:w="2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90,976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 impairment</w:t>
            </w: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Other asset impairment</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1,800</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Gain on fair value remeasurement of contingent consideration</w:t>
            </w:r>
          </w:p>
        </w:tc>
        <w:tc>
          <w:tcPr>
            <w:tcW w:w="2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w:t>
            </w:r>
          </w:p>
        </w:tc>
        <w:tc>
          <w:tcPr>
            <w:tcW w:w="2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(29,621)</w:t>
            </w:r>
          </w:p>
        </w:tc>
        <w:tc>
          <w:tcPr>
            <w:tcW w:w="6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Non-cash income tax benefit</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4,551</w:t>
            </w:r>
          </w:p>
        </w:tc>
        <w:tc>
          <w:tcPr>
            <w:tcW w:w="2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and other receivables</w:t>
            </w: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2,274</w:t>
            </w:r>
          </w:p>
        </w:tc>
        <w:tc>
          <w:tcPr>
            <w:tcW w:w="2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(13,110)</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6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(6,599)</w:t>
            </w:r>
          </w:p>
        </w:tc>
        <w:tc>
          <w:tcPr>
            <w:tcW w:w="2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(40,404)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(46,415)</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(75,235)</w:t>
            </w:r>
          </w:p>
        </w:tc>
        <w:tc>
          <w:tcPr>
            <w:tcW w:w="0" w:type="dxa"/>
            <w:vAlign w:val="bottom"/>
          </w:tcPr>
          <w:p>
            <w:pPr>
              <w:spacing w:after="0"/>
              <w:rPr>
                <w:sz w:val="1"/>
                <w:szCs w:val="1"/>
                <w:color w:val="auto"/>
              </w:rPr>
            </w:pPr>
          </w:p>
        </w:tc>
      </w:tr>
      <w:tr>
        <w:trPr>
          <w:trHeight w:val="237"/>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right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123,600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113,173</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201,469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(220,321)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(95,382)</w:t>
            </w:r>
          </w:p>
        </w:tc>
        <w:tc>
          <w:tcPr>
            <w:tcW w:w="2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(171,182)</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(731)</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or disposal of assets</w:t>
            </w:r>
          </w:p>
        </w:tc>
        <w:tc>
          <w:tcPr>
            <w:tcW w:w="26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(98,218)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17,080</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right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Net proceeds from stock issuances</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170,792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16,248</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Proceeds from issuance of stock from employee benefit plans</w:t>
            </w: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Issuance of term loan</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term loan</w:t>
            </w:r>
          </w:p>
        </w:tc>
        <w:tc>
          <w:tcPr>
            <w:tcW w:w="26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171,226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16,257</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29,441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32,604</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(13,078)</w:t>
            </w: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11,232</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24,310</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40,288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43,836</w:t>
            </w:r>
          </w:p>
        </w:tc>
        <w:tc>
          <w:tcPr>
            <w:tcW w:w="2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11,232</w:t>
            </w:r>
          </w:p>
        </w:tc>
        <w:tc>
          <w:tcPr>
            <w:tcW w:w="2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Non-cash investing activities</w:t>
            </w: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construction in progress</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2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Non-cash supplemental disclosure</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to former Kolltan executive for settlement of</w:t>
            </w:r>
          </w:p>
        </w:tc>
        <w:tc>
          <w:tcPr>
            <w:tcW w:w="2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severance</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5977890</wp:posOffset>
            </wp:positionH>
            <wp:positionV relativeFrom="paragraph">
              <wp:posOffset>-942340</wp:posOffset>
            </wp:positionV>
            <wp:extent cx="342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-942340</wp:posOffset>
            </wp:positionV>
            <wp:extent cx="47059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05985"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-1276350</wp:posOffset>
            </wp:positionV>
            <wp:extent cx="34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-1276350</wp:posOffset>
            </wp:positionV>
            <wp:extent cx="47059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-1456690</wp:posOffset>
            </wp:positionV>
            <wp:extent cx="342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-2253615</wp:posOffset>
            </wp:positionV>
            <wp:extent cx="342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-2253615</wp:posOffset>
            </wp:positionV>
            <wp:extent cx="47059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05985"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-2433955</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-3230880</wp:posOffset>
            </wp:positionV>
            <wp:extent cx="342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-3230880</wp:posOffset>
            </wp:positionV>
            <wp:extent cx="47059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-3411220</wp:posOffset>
            </wp:positionV>
            <wp:extent cx="342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-6471285</wp:posOffset>
            </wp:positionV>
            <wp:extent cx="46716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60" w:lineRule="exact"/>
        <w:rPr>
          <w:rFonts w:ascii="Arial" w:cs="Arial" w:eastAsia="Arial" w:hAnsi="Arial"/>
          <w:sz w:val="17"/>
          <w:szCs w:val="17"/>
          <w:color w:val="auto"/>
        </w:rPr>
      </w:pPr>
    </w:p>
    <w:p>
      <w:pPr>
        <w:ind w:left="26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-9525</wp:posOffset>
            </wp:positionH>
            <wp:positionV relativeFrom="paragraph">
              <wp:posOffset>439420</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CELLDEX THERAPEUTICS,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Nature of Business and Overview</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Celldex Therapeutics, Inc. (the “Company” or “Celldex”) is a biopharmaceutical company dedicated to developing therapeutic monoclonal and bispecific antibodies that address diseases for which available treatments are inadequate. The Company is primarily focusing its efforts and resources on the continued research and development of CDX-0159, CDX-1140 and CDX-527.</w:t>
      </w:r>
    </w:p>
    <w:p>
      <w:pPr>
        <w:spacing w:after="0" w:line="120"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Board of Directors of the Company approved a one for fifteen reverse stock split of the Company’s outstanding common stock, which was effected on February 8, 2019. All share and per share amounts in the financial statements have been retroactively adjusted for all periods presented to give effect to the reverse stock split, including reclassifying an amount equal to the reduction in par value to additional paid-in capital.</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December 31, 2020, the Company had cash, cash equivalents and marketable securities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$194.4 million. The Company has had recurring losses and incurred a loss of $59.8 million for the year</w:t>
      </w:r>
    </w:p>
    <w:p>
      <w:pPr>
        <w:ind w:left="1260"/>
        <w:spacing w:after="0" w:line="234" w:lineRule="auto"/>
        <w:rPr>
          <w:sz w:val="20"/>
          <w:szCs w:val="20"/>
          <w:color w:val="auto"/>
        </w:rPr>
      </w:pPr>
      <w:r>
        <w:rPr>
          <w:rFonts w:ascii="Arial" w:cs="Arial" w:eastAsia="Arial" w:hAnsi="Arial"/>
          <w:sz w:val="18"/>
          <w:szCs w:val="18"/>
          <w:color w:val="auto"/>
        </w:rPr>
        <w:t>ended December 31, 2020. Net cash used in operations for the year ended December 31, 2020 was</w:t>
      </w:r>
    </w:p>
    <w:p>
      <w:pPr>
        <w:spacing w:after="0" w:line="1" w:lineRule="exact"/>
        <w:rPr>
          <w:sz w:val="20"/>
          <w:szCs w:val="20"/>
          <w:color w:val="auto"/>
        </w:rPr>
      </w:pPr>
    </w:p>
    <w:p>
      <w:pPr>
        <w:jc w:val="both"/>
        <w:ind w:left="1260" w:right="559"/>
        <w:spacing w:after="0" w:line="260" w:lineRule="auto"/>
        <w:rPr>
          <w:sz w:val="20"/>
          <w:szCs w:val="20"/>
          <w:color w:val="auto"/>
        </w:rPr>
      </w:pPr>
      <w:r>
        <w:rPr>
          <w:rFonts w:ascii="Arial" w:cs="Arial" w:eastAsia="Arial" w:hAnsi="Arial"/>
          <w:sz w:val="17"/>
          <w:szCs w:val="17"/>
          <w:color w:val="auto"/>
        </w:rPr>
        <w:t>$40.4 million. The Company believes that the cash, cash equivalents and marketable securities at the filing date of this Form 10-K will be sufficient to meet estimated working capital requirements and fund planned operations for at least the next twelve months from the date of issuance of these financial statements.</w:t>
      </w:r>
    </w:p>
    <w:p>
      <w:pPr>
        <w:spacing w:after="0" w:line="91"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26"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December 2019, a novel strain of coronavirus, now referred to as COVID-19, surfaced in Wuhan, China. The virus continues to spread globally, has been declared a pandemic by the World Health Organization and has spread to hundreds of countries, including the United States. The impact of this pandemic has been and will likely continue to be extensive in many aspects of society, which has resulted in and will likely continue to result in significant disruptions to the global economy, as well as businesses and capital markets around the world. In an effort to halt the outbreak of COVID -19, various states, including New Jersey, Massachusetts and Connecticut, where the Company has office, research and manufacturing facilities, have placed significant restrictions on travel and many businesses have announced extended closures which could adversely impact our operations. To date, the Company has not experienced significant delays or disruptions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other third-party service providers, temporary closures of our facilities, disruptions or restrictions on our employees’ ability to travel, and delays in manufacturing and/or shipments</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to and from third party suppliers and contract manufacturers for APIs and drug product. Any prolonged negative impacts to our business could materially impact our operating results and could lead to impairments of our Intangible (IPR&amp;D) assets with a carrying value of $30.7 million at December 31, 2020.</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Basis of Presentation</w:t>
      </w:r>
    </w:p>
    <w:p>
      <w:pPr>
        <w:spacing w:after="0" w:line="15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balance sheets and statements of operations and comprehensive loss, stockholders’ equity, and cash flows, are consolidated for the years ended December 31, 2020, 2019 and 2018. These consolidated financial statements reflect the operations of the Company and its wholly-owned subsidiaries. All intercompany balances and transactions have been eliminated in consolidation. The Company operates in one segment, which is the business of development, manufacturing and commercialization of novel therapeutics for human health care.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Use of Estimates</w:t>
      </w:r>
    </w:p>
    <w:p>
      <w:pPr>
        <w:spacing w:after="0" w:line="144" w:lineRule="exact"/>
        <w:rPr>
          <w:sz w:val="20"/>
          <w:szCs w:val="20"/>
          <w:color w:val="auto"/>
        </w:rPr>
      </w:pPr>
    </w:p>
    <w:p>
      <w:pPr>
        <w:jc w:val="both"/>
        <w:ind w:left="1260" w:right="439" w:firstLine="360"/>
        <w:spacing w:after="0" w:line="241" w:lineRule="auto"/>
        <w:rPr>
          <w:sz w:val="20"/>
          <w:szCs w:val="20"/>
          <w:color w:val="auto"/>
        </w:rPr>
      </w:pPr>
      <w:r>
        <w:rPr>
          <w:rFonts w:ascii="Arial" w:cs="Arial" w:eastAsia="Arial" w:hAnsi="Arial"/>
          <w:sz w:val="18"/>
          <w:szCs w:val="18"/>
          <w:color w:val="auto"/>
        </w:rPr>
        <w:t>The preparation of the financial statements in conformity with accounting principles generally accepted in the United States of America (U.S. GAAP) requires management to make estimates and use assumptions that affect the reported amounts of assets and liabilities, the disclosure of contingent assets and liabilities at the dates of the financial statements and the reported amounts of revenues and expenses during the reporting period. Actual results could differ from those estimates.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and Cash Equivalents</w:t>
      </w:r>
    </w:p>
    <w:p>
      <w:pPr>
        <w:spacing w:after="0" w:line="158"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Marketable Securities</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Company invests its excess cash balances in marketable securities, including municipal bond securities, U.S. government agency securities, and highly rated corporate bonds. The Company classifies all of its marketable securities as current assets on the balance sheets because they are available-for-sale and available to fund current operations. Marketable securities are stated at fair value with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reclassified from accumulated other comprehensive income (loss) to the statements of operations. Realized gains and losses are determined on the specific identification method and are included in investment and other income, net.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Concentration of Credit Risk and of Significant Customers and Suppliers</w:t>
      </w:r>
    </w:p>
    <w:p>
      <w:pPr>
        <w:spacing w:after="0" w:line="144"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12"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Revenue from Rockefeller University and Gilead Sciences represented 85% of total Company revenue for the year ended December 31, 2020. Combined revenue from Rockefeller University and Duke University represented 74% of total Company revenue for the year ended December 31, 2019 and combined revenue from BMS, Rockefeller University and International AIDS Vaccine Initiative represented 86% of total Company revenue for the year ended December 31, 2018.</w:t>
      </w:r>
    </w:p>
    <w:p>
      <w:pPr>
        <w:spacing w:after="0" w:line="122"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The Company relies on contract manufacturing organizations (CMO) to manufacture drug substance and drug product as well as for future commercial supplies. The Company also relies on CMOs for supply</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color w:val="auto"/>
        </w:rPr>
        <w:t>of raw materials as well as filling, packaging, storing and shipping our drug products. The Company relies on third-party collaborators to develop companion diagnostic tests.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Fair Value Measurements</w:t>
      </w:r>
    </w:p>
    <w:p>
      <w:pPr>
        <w:spacing w:after="0" w:line="144"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22" w:lineRule="exact"/>
        <w:rPr>
          <w:sz w:val="20"/>
          <w:szCs w:val="20"/>
          <w:color w:val="auto"/>
        </w:rPr>
      </w:pPr>
    </w:p>
    <w:p>
      <w:pPr>
        <w:ind w:left="1620" w:right="439"/>
        <w:spacing w:after="0" w:line="270" w:lineRule="auto"/>
        <w:rPr>
          <w:sz w:val="20"/>
          <w:szCs w:val="20"/>
          <w:color w:val="auto"/>
        </w:rPr>
      </w:pPr>
      <w:r>
        <w:rPr>
          <w:rFonts w:ascii="Arial" w:cs="Arial" w:eastAsia="Arial" w:hAnsi="Arial"/>
          <w:sz w:val="17"/>
          <w:szCs w:val="17"/>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6" w:lineRule="exact"/>
        <w:rPr>
          <w:sz w:val="20"/>
          <w:szCs w:val="20"/>
          <w:color w:val="auto"/>
        </w:rPr>
      </w:pPr>
    </w:p>
    <w:p>
      <w:pPr>
        <w:ind w:left="1620" w:right="739"/>
        <w:spacing w:after="0" w:line="248" w:lineRule="auto"/>
        <w:rPr>
          <w:sz w:val="20"/>
          <w:szCs w:val="20"/>
          <w:color w:val="auto"/>
        </w:rPr>
      </w:pPr>
      <w:r>
        <w:rPr>
          <w:rFonts w:ascii="Arial" w:cs="Arial" w:eastAsia="Arial" w:hAnsi="Arial"/>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01" w:lineRule="exact"/>
        <w:rPr>
          <w:sz w:val="20"/>
          <w:szCs w:val="20"/>
          <w:color w:val="auto"/>
        </w:rPr>
      </w:pPr>
    </w:p>
    <w:p>
      <w:pPr>
        <w:ind w:left="1620" w:right="859"/>
        <w:spacing w:after="0" w:line="261"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Property and Equipment</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depreciated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spacing w:after="0" w:line="11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Leases</w:t>
      </w:r>
    </w:p>
    <w:p>
      <w:pPr>
        <w:spacing w:after="0" w:line="14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On January 1, 2019, the Company adopted a new U.S. GAAP accounting standard which requires that all lessees recognize the assets and liabilities that arise from leases on the balance sheet and disclose qualitative and quantitative information about its leasing arrangements (ASC 842). The new standard was adopted using the modified retrospective transition method, which requires the Company to apply the standard as of the effective date and does not require restatement of prior periods. The Company elected to apply the package of practical expedients, which allowed the Company to not reassess: (i) whether expired or existing contracts contain leases; (ii) lease classification for any expired or existing leases; and (iii) initial direct costs for any existing leases. Adoption of this standard did not have a material impact on the Company’s Consolidated Statement of Operations and Comprehensive Loss or Statement of Cash Flow, however, upon adoption, the Company recorded right-of-use assets of $3.8 million and lease liabilities of $4.7 million on its Consolidated Balance Sheet related to the Company’s operating leases.</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The Company has operating leases of office, manufacturing and laboratory space, which have remaining lease terms of one to five years and may include one or more options to renew or terminate early.</w:t>
      </w:r>
    </w:p>
    <w:p>
      <w:pPr>
        <w:spacing w:after="0" w:line="6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Company determines if an arrangement contains a lease at inception. Operating lease right-of-use assets and lease liabilities are recognized based on the present value of the future minimum lease payments over the lease term at commencement date. Certain adjustments to the right -of-use asset may be required for items such as prepaid or accrued lease payments, initial direct costs paid or incentives received. The Company’s leases do not contain an implicit rate, and therefore the Company uses an estimated incremental borrowing rate based on the information available at the lease commencement date in determining the present value of lease payments. Options to extend or terminate the lease are reflected in the calculation when it is reasonably certain that the option will be exercised. The Company has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 -use asset and operating lease liability and are reflected as an expense in the period incurred. Leases with an initial term of 12 months or less are not recorded on the balance sheet.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Assets</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Other assets included a $1.8 million non-controlling investment in a privately-held company that was accounted for under the cost method of accounting as of December 31, 2018. Based on information received in April 2019, it was determined that there was a deterioration of the private company’s financial condition due to a working capital deficiency and an inability to secure additional funding. Therefore, the Company concluded that the investment was impaired, and a non-cash impairment charge of $1.8 million was recorded during the first quarter of 2019.</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Contingent Consideration</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The Company records contingent consideration resulting from a business combination at its fair value on the acquisition date. The Company determines the fair value of the contingent consideration based primarily on the (i) timing and probability of success of clinical events or regulatory approvals; (ii) timing and probability of success of meeting clinical and commercial milestones; and (iii) discount rates. The Company’s contingent consideration liabilities arose in connection with its acquisition of Kolltan. On a quarterly basis, the Company revalues these obligations and records increases or decreases in their fair value as an adjustment to operating earnings.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Intangible Assets</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IPR&amp;D assets acquired in a business combination initially are recorded at fair value and accounted for as indefinite-lived intangible assets. The valuation model used to measure the fair value of the Company’s IPR&amp;D assets was primarily a discounted cash flow approach. The assumptions used in determining the fair value of the Company’s IPR&amp;D assets include (i) probability of success; (ii) probability of partnership;</w:t>
      </w:r>
    </w:p>
    <w:p>
      <w:pPr>
        <w:spacing w:after="0" w:line="2" w:lineRule="exact"/>
        <w:rPr>
          <w:sz w:val="20"/>
          <w:szCs w:val="20"/>
          <w:color w:val="auto"/>
        </w:rPr>
      </w:pPr>
    </w:p>
    <w:p>
      <w:pPr>
        <w:ind w:left="1260" w:right="599"/>
        <w:spacing w:after="0" w:line="253" w:lineRule="auto"/>
        <w:tabs>
          <w:tab w:leader="none" w:pos="1596"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partnership milestones; and (iv) discount rate. These assets are capitalized on the Company’s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111" w:lineRule="exact"/>
        <w:rPr>
          <w:sz w:val="20"/>
          <w:szCs w:val="20"/>
          <w:color w:val="auto"/>
        </w:rPr>
      </w:pPr>
    </w:p>
    <w:p>
      <w:pPr>
        <w:ind w:left="1260" w:right="619" w:firstLine="360"/>
        <w:spacing w:after="0" w:line="270" w:lineRule="auto"/>
        <w:rPr>
          <w:sz w:val="20"/>
          <w:szCs w:val="20"/>
          <w:color w:val="auto"/>
        </w:rPr>
      </w:pPr>
      <w:r>
        <w:rPr>
          <w:rFonts w:ascii="Arial" w:cs="Arial" w:eastAsia="Arial" w:hAnsi="Arial"/>
          <w:sz w:val="17"/>
          <w:szCs w:val="17"/>
          <w:color w:val="auto"/>
        </w:rPr>
        <w:t>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Goodwill</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The difference between the purchase price and the fair value of assets acquired and liabilities assumed in a business combination is allocated to goodwill. Goodwill is evaluated for impairment on an annual basis or when impairment indicators are present. The Company has the option to assess qualitative factors to determine if it is more likely than not that goodwill is impaired and whether it is necessary to perform a quantitative single-step goodwill impairment test. As a result of the discontinuation of the Glemba program, the Company evaluated goodwill for potential impairment in the first quarter of 2018. It was determined that the goodwill asset was fully impaired and an impairment charge of $91.0 million was recorded.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Impairment of Intangible and Long-Lived Assets</w:t>
      </w:r>
    </w:p>
    <w:p>
      <w:pPr>
        <w:spacing w:after="0" w:line="15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Company evaluates the recoverability of its long-lived assets, including property and equipment, right-of-use assets,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 Recognition</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On January 1, 2018, the Company adopted a new revenue accounting standard,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(ASC 606)</w:t>
      </w:r>
      <w:r>
        <w:rPr>
          <w:rFonts w:ascii="Arial" w:cs="Arial" w:eastAsia="Arial" w:hAnsi="Arial"/>
          <w:sz w:val="17"/>
          <w:szCs w:val="17"/>
          <w:color w:val="auto"/>
        </w:rPr>
        <w:t>. Upon adoption using the modified retrospective application,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recognized a $1.3 million decrease to accumulated deficit, a $0.8 million decrease in deferred revenue and $0.5 million increase in accounts receivable due to the cumulative impact of adopting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This impact was driven by the acceleration of revenue using a percentage-of-completion method of accounting under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for an open contract that had previously been accounted for using the Contingency Adjusted Performance Model (“CAPM”) under previous guidance. Results for reporting periods beginning after January 1, 2018 are presented under </w:t>
      </w:r>
      <w:r>
        <w:rPr>
          <w:rFonts w:ascii="Arial" w:cs="Arial" w:eastAsia="Arial" w:hAnsi="Arial"/>
          <w:sz w:val="17"/>
          <w:szCs w:val="17"/>
          <w:i w:val="1"/>
          <w:iCs w:val="1"/>
          <w:color w:val="auto"/>
        </w:rPr>
        <w:t>ASC 606</w:t>
      </w:r>
      <w:r>
        <w:rPr>
          <w:rFonts w:ascii="Arial" w:cs="Arial" w:eastAsia="Arial" w:hAnsi="Arial"/>
          <w:sz w:val="17"/>
          <w:szCs w:val="17"/>
          <w:color w:val="auto"/>
        </w:rPr>
        <w:t>. There were no significant changes to the Company’s business processes, systems or internal controls as a result of adopting the new standard. Revenue recognition remained largely unchanged under the new standard.</w:t>
      </w:r>
    </w:p>
    <w:p>
      <w:pPr>
        <w:spacing w:after="0" w:line="99"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17" w:lineRule="exact"/>
        <w:rPr>
          <w:sz w:val="20"/>
          <w:szCs w:val="20"/>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44"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color w:val="auto"/>
        </w:rPr>
        <w:t>Revenue for the Company has historically been derived from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w:t>
      </w:r>
    </w:p>
    <w:p>
      <w:pPr>
        <w:spacing w:after="0" w:line="112" w:lineRule="exact"/>
        <w:rPr>
          <w:sz w:val="20"/>
          <w:szCs w:val="20"/>
          <w:color w:val="auto"/>
        </w:rPr>
      </w:pPr>
    </w:p>
    <w:p>
      <w:pPr>
        <w:ind w:left="1260" w:right="479" w:firstLine="360"/>
        <w:spacing w:after="0" w:line="324" w:lineRule="auto"/>
        <w:rPr>
          <w:sz w:val="20"/>
          <w:szCs w:val="20"/>
          <w:color w:val="auto"/>
        </w:rPr>
      </w:pPr>
      <w:r>
        <w:rPr>
          <w:rFonts w:ascii="Arial" w:cs="Arial" w:eastAsia="Arial" w:hAnsi="Arial"/>
          <w:sz w:val="16"/>
          <w:szCs w:val="16"/>
          <w:color w:val="auto"/>
        </w:rPr>
        <w:t>Under product development agreements, revenue is generally recognized using a cost-to -cost measure of progress. Revenue is recognized based on the costs incurred to date as a percentage of the total estimated</w:t>
      </w:r>
    </w:p>
    <w:p>
      <w:pPr>
        <w:sectPr>
          <w:pgSz w:w="11900" w:h="16838" w:orient="portrait"/>
          <w:cols w:equalWidth="0" w:num="1">
            <w:col w:w="9879"/>
          </w:cols>
          <w:pgMar w:left="580" w:top="131" w:right="1440" w:bottom="1440" w:gutter="0" w:footer="0" w:header="0"/>
        </w:sect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76" w:lineRule="auto"/>
        <w:rPr>
          <w:sz w:val="20"/>
          <w:szCs w:val="20"/>
          <w:color w:val="auto"/>
        </w:rPr>
      </w:pPr>
      <w:r>
        <w:rPr>
          <w:rFonts w:ascii="Arial" w:cs="Arial" w:eastAsia="Arial" w:hAnsi="Arial"/>
          <w:sz w:val="16"/>
          <w:szCs w:val="16"/>
          <w:color w:val="auto"/>
        </w:rPr>
        <w:t>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8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Contract Assets and Liabilities</w:t>
      </w:r>
    </w:p>
    <w:p>
      <w:pPr>
        <w:spacing w:after="0" w:line="144" w:lineRule="exact"/>
        <w:rPr>
          <w:sz w:val="20"/>
          <w:szCs w:val="20"/>
          <w:color w:val="auto"/>
        </w:rPr>
      </w:pPr>
    </w:p>
    <w:p>
      <w:pPr>
        <w:jc w:val="both"/>
        <w:ind w:left="1260" w:right="519" w:firstLine="360"/>
        <w:spacing w:after="0" w:line="243" w:lineRule="auto"/>
        <w:rPr>
          <w:sz w:val="20"/>
          <w:szCs w:val="20"/>
          <w:color w:val="auto"/>
        </w:rPr>
      </w:pPr>
      <w:r>
        <w:rPr>
          <w:rFonts w:ascii="Arial" w:cs="Arial" w:eastAsia="Arial" w:hAnsi="Arial"/>
          <w:sz w:val="18"/>
          <w:szCs w:val="18"/>
          <w:color w:val="auto"/>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w:t>
      </w:r>
    </w:p>
    <w:p>
      <w:pPr>
        <w:spacing w:after="0" w:line="120"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The Company’s contract liabilities result from arrangements where the Company has received payment in advance of performance under the contract. These amounts are included as deferred revenue within current portion of long-term liabilities on the condensed consolidated balance sheets.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20"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The Company accrues the cost of services rendered in connection with CRO and CMO activities based on our estimate of costs incurred. The Company maintains regular communication with our CROs and CMOs to assess the reasonableness of its estimates. Differences between actual expenses and estimated expenses recorded have not been material and are adjusted for in the period in which they become known.</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Patent Costs</w:t>
      </w:r>
    </w:p>
    <w:p>
      <w:pPr>
        <w:spacing w:after="0" w:line="131" w:lineRule="exact"/>
        <w:rPr>
          <w:sz w:val="20"/>
          <w:szCs w:val="20"/>
          <w:color w:val="auto"/>
        </w:rPr>
      </w:pPr>
    </w:p>
    <w:p>
      <w:pPr>
        <w:ind w:left="1260" w:right="479" w:firstLine="360"/>
        <w:spacing w:after="0" w:line="294" w:lineRule="auto"/>
        <w:rPr>
          <w:sz w:val="20"/>
          <w:szCs w:val="20"/>
          <w:color w:val="auto"/>
        </w:rPr>
      </w:pPr>
      <w:r>
        <w:rPr>
          <w:rFonts w:ascii="Arial" w:cs="Arial" w:eastAsia="Arial" w:hAnsi="Arial"/>
          <w:sz w:val="16"/>
          <w:szCs w:val="16"/>
          <w:color w:val="auto"/>
        </w:rPr>
        <w:t>Patent costs are expensed to general and administrative expense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The Company records stock-based compensation expense for all stock-based awards made to employees, directors and non-employees based on the estimated fair values of the stock-based awards expected to vest at the grant date and adjusts, if necessary, to reflect actual forfeitures. Compensation expense for all stock-based awards is recognized using the straight-line method over the term of vesting or performance.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Foreign Currency Translation</w:t>
      </w:r>
    </w:p>
    <w:p>
      <w:pPr>
        <w:spacing w:after="0" w:line="131"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Net unrealized gains and losses resulting from foreign currency translation are included in accumulated other comprehensive income. At December 31, 2020 and 2019, accumulated other comprehensive income includes a net unrealized gain related to foreign currency translation of $2.6 million.</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10"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Comprehensive Loss</w:t>
      </w:r>
    </w:p>
    <w:p>
      <w:pPr>
        <w:spacing w:after="0" w:line="158" w:lineRule="exact"/>
        <w:rPr>
          <w:sz w:val="20"/>
          <w:szCs w:val="20"/>
          <w:color w:val="auto"/>
        </w:rPr>
      </w:pPr>
    </w:p>
    <w:p>
      <w:pPr>
        <w:ind w:left="1260" w:right="419" w:firstLine="360"/>
        <w:spacing w:after="0" w:line="301" w:lineRule="auto"/>
        <w:rPr>
          <w:sz w:val="20"/>
          <w:szCs w:val="20"/>
          <w:color w:val="auto"/>
        </w:rPr>
      </w:pPr>
      <w:r>
        <w:rPr>
          <w:rFonts w:ascii="Arial" w:cs="Arial" w:eastAsia="Arial" w:hAnsi="Arial"/>
          <w:sz w:val="16"/>
          <w:szCs w:val="16"/>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statements of operations and comprehensive loss reflect total comprehensive loss for the years ended December 31, 2020, 2019 and 2018.</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Net Loss Per Share</w:t>
      </w:r>
    </w:p>
    <w:p>
      <w:pPr>
        <w:spacing w:after="0" w:line="144"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4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gridSpan w:val="6"/>
          </w:tcPr>
          <w:p>
            <w:pPr>
              <w:jc w:val="right"/>
              <w:ind w:right="415"/>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4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2018</w:t>
            </w:r>
          </w:p>
        </w:tc>
      </w:tr>
      <w:tr>
        <w:trPr>
          <w:trHeight w:val="25"/>
        </w:trPr>
        <w:tc>
          <w:tcPr>
            <w:tcW w:w="4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3,042,229</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1,699,202</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866,132</w:t>
            </w:r>
          </w:p>
        </w:tc>
      </w:tr>
      <w:tr>
        <w:trPr>
          <w:trHeight w:val="263"/>
        </w:trPr>
        <w:tc>
          <w:tcPr>
            <w:tcW w:w="4980" w:type="dxa"/>
            <w:vAlign w:val="bottom"/>
            <w:gridSpan w:val="2"/>
          </w:tcPr>
          <w:p>
            <w:pPr>
              <w:spacing w:after="0"/>
              <w:rPr>
                <w:sz w:val="20"/>
                <w:szCs w:val="20"/>
                <w:color w:val="auto"/>
              </w:rPr>
            </w:pPr>
            <w:r>
              <w:rPr>
                <w:rFonts w:ascii="Arial" w:cs="Arial" w:eastAsia="Arial" w:hAnsi="Arial"/>
                <w:sz w:val="18"/>
                <w:szCs w:val="18"/>
                <w:color w:val="auto"/>
              </w:rPr>
              <w:t>Restricted stock</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3,552</w:t>
            </w:r>
          </w:p>
        </w:tc>
      </w:tr>
      <w:tr>
        <w:trPr>
          <w:trHeight w:val="288"/>
        </w:trPr>
        <w:tc>
          <w:tcPr>
            <w:tcW w:w="496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3,042,229</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1,700,312</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869,684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3630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Newly-Adopted Accounting Pronouncements</w:t>
      </w:r>
    </w:p>
    <w:p>
      <w:pPr>
        <w:spacing w:after="0" w:line="15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On January 1, 2020, the Company adopted a new accounting standard that modifies certain disclosure requirements for fair value measurements. For instance, the Company is required to disclose weighted average information for significant unobservable inputs for all Level 3 fair value measurements. The adoption of this new guidance did not have a material impact on the Company’s consolidated financial statements and related disclosures. Refer to Note 4 for the disclosures related to the Company’s level 3 fair value measurements.</w:t>
      </w:r>
    </w:p>
    <w:p>
      <w:pPr>
        <w:spacing w:after="0" w:line="125" w:lineRule="exact"/>
        <w:rPr>
          <w:sz w:val="20"/>
          <w:szCs w:val="20"/>
          <w:color w:val="auto"/>
        </w:rPr>
      </w:pPr>
    </w:p>
    <w:p>
      <w:pPr>
        <w:ind w:left="1260" w:right="459" w:firstLine="360"/>
        <w:spacing w:after="0" w:line="293" w:lineRule="auto"/>
        <w:rPr>
          <w:sz w:val="20"/>
          <w:szCs w:val="20"/>
          <w:color w:val="auto"/>
        </w:rPr>
      </w:pPr>
      <w:r>
        <w:rPr>
          <w:rFonts w:ascii="Arial" w:cs="Arial" w:eastAsia="Arial" w:hAnsi="Arial"/>
          <w:sz w:val="16"/>
          <w:szCs w:val="16"/>
          <w:color w:val="auto"/>
        </w:rPr>
        <w:t>On January 1, 2020, the Company adopted a new accounting standard that clarifies the interaction between the accounting guidance for collaborative arrangements and revenue from contracts with customers. The amendments clarify that certain transactions between collaborative arrangement participants should be accounted for as revenue under ASC 606, when the collaborative arrangement participant is a customer in the context of a unit of account. The adoption of this standard did not have a material impact on our consolidated financial statements, as we have no arrangements within the scope of ASC 808.</w:t>
      </w: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20"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We are currently evaluating the potential impact that this standard may have on the Company’s consolidated financial statements and related disclosures.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Accumulated Other Comprehensive Income</w:t>
      </w:r>
    </w:p>
    <w:p>
      <w:pPr>
        <w:spacing w:after="0" w:line="162" w:lineRule="exact"/>
        <w:rPr>
          <w:sz w:val="20"/>
          <w:szCs w:val="20"/>
          <w:color w:val="auto"/>
        </w:rPr>
      </w:pPr>
    </w:p>
    <w:p>
      <w:pPr>
        <w:ind w:left="1260" w:right="1079" w:firstLine="360"/>
        <w:spacing w:after="0" w:line="308" w:lineRule="auto"/>
        <w:rPr>
          <w:sz w:val="20"/>
          <w:szCs w:val="20"/>
          <w:color w:val="auto"/>
        </w:rPr>
      </w:pPr>
      <w:r>
        <w:rPr>
          <w:rFonts w:ascii="Arial" w:cs="Arial" w:eastAsia="Arial" w:hAnsi="Arial"/>
          <w:sz w:val="17"/>
          <w:szCs w:val="17"/>
          <w:color w:val="auto"/>
        </w:rPr>
        <w:t>The changes in accumulated other comprehensive income, which is reported as a component of stockholders’ equity, for the year ended December 31, 2020 are summarized below:</w:t>
      </w:r>
    </w:p>
    <w:p>
      <w:pPr>
        <w:spacing w:after="0" w:line="9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2360" w:type="dxa"/>
            <w:vAlign w:val="bottom"/>
            <w:gridSpan w:val="5"/>
          </w:tcPr>
          <w:p>
            <w:pPr>
              <w:jc w:val="center"/>
              <w:ind w:left="1159"/>
              <w:spacing w:after="0"/>
              <w:rPr>
                <w:sz w:val="20"/>
                <w:szCs w:val="20"/>
                <w:color w:val="auto"/>
              </w:rPr>
            </w:pPr>
            <w:r>
              <w:rPr>
                <w:rFonts w:ascii="Arial" w:cs="Arial" w:eastAsia="Arial" w:hAnsi="Arial"/>
                <w:sz w:val="14"/>
                <w:szCs w:val="14"/>
                <w:b w:val="1"/>
                <w:bCs w:val="1"/>
                <w:color w:val="auto"/>
                <w:w w:val="89"/>
              </w:rPr>
              <w:t>Gain (Loss) on</w:t>
            </w:r>
          </w:p>
        </w:tc>
        <w:tc>
          <w:tcPr>
            <w:tcW w:w="16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2"/>
              </w:rPr>
              <w:t>Marketable</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Currency</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3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86"/>
              </w:rPr>
              <w:t>Securities</w:t>
            </w:r>
          </w:p>
        </w:tc>
        <w:tc>
          <w:tcPr>
            <w:tcW w:w="16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Items</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6"/>
        </w:trPr>
        <w:tc>
          <w:tcPr>
            <w:tcW w:w="3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3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3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$2,619</w:t>
            </w:r>
          </w:p>
        </w:tc>
        <w:tc>
          <w:tcPr>
            <w:tcW w:w="60" w:type="dxa"/>
            <w:vAlign w:val="bottom"/>
          </w:tcPr>
          <w:p>
            <w:pPr>
              <w:spacing w:after="0"/>
              <w:rPr>
                <w:sz w:val="22"/>
                <w:szCs w:val="22"/>
                <w:color w:val="auto"/>
              </w:rPr>
            </w:pPr>
          </w:p>
        </w:tc>
      </w:tr>
      <w:tr>
        <w:trPr>
          <w:trHeight w:val="263"/>
        </w:trPr>
        <w:tc>
          <w:tcPr>
            <w:tcW w:w="36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48"/>
              <w:spacing w:after="0"/>
              <w:rPr>
                <w:sz w:val="20"/>
                <w:szCs w:val="20"/>
                <w:color w:val="auto"/>
              </w:rPr>
            </w:pPr>
            <w:r>
              <w:rPr>
                <w:rFonts w:ascii="Arial" w:cs="Arial" w:eastAsia="Arial" w:hAnsi="Arial"/>
                <w:sz w:val="18"/>
                <w:szCs w:val="18"/>
                <w:color w:val="auto"/>
                <w:w w:val="87"/>
              </w:rPr>
              <w:t>(30)</w:t>
            </w:r>
          </w:p>
        </w:tc>
        <w:tc>
          <w:tcPr>
            <w:tcW w:w="16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36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640" w:type="dxa"/>
            <w:vAlign w:val="bottom"/>
            <w:gridSpan w:val="2"/>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$2,589</w:t>
            </w:r>
          </w:p>
        </w:tc>
        <w:tc>
          <w:tcPr>
            <w:tcW w:w="60" w:type="dxa"/>
            <w:vAlign w:val="bottom"/>
          </w:tcPr>
          <w:p>
            <w:pPr>
              <w:spacing w:after="0"/>
              <w:rPr>
                <w:sz w:val="24"/>
                <w:szCs w:val="24"/>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4316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-702310</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-702310</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No amounts were reclassified out of accumulated other comprehensive income during the years ended December 31, 2020, 2019 and 2018.</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Fair Value Measurements</w:t>
      </w:r>
    </w:p>
    <w:p>
      <w:pPr>
        <w:spacing w:after="0" w:line="162"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6"/>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Level 1</w:t>
            </w:r>
          </w:p>
        </w:tc>
        <w:tc>
          <w:tcPr>
            <w:tcW w:w="8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Level 3</w:t>
            </w:r>
          </w:p>
        </w:tc>
      </w:tr>
      <w:tr>
        <w:trPr>
          <w:trHeight w:val="25"/>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6"/>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6"/>
          </w:tcPr>
          <w:p>
            <w:pPr>
              <w:ind w:left="2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7"/>
                <w:szCs w:val="17"/>
                <w:color w:val="auto"/>
              </w:rPr>
            </w:pPr>
          </w:p>
        </w:tc>
      </w:tr>
      <w:tr>
        <w:trPr>
          <w:trHeight w:val="25"/>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57"/>
        </w:trPr>
        <w:tc>
          <w:tcPr>
            <w:tcW w:w="482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35,066</w:t>
            </w:r>
          </w:p>
        </w:tc>
        <w:tc>
          <w:tcPr>
            <w:tcW w:w="260" w:type="dxa"/>
            <w:vAlign w:val="bottom"/>
          </w:tcPr>
          <w:p>
            <w:pPr>
              <w:spacing w:after="0"/>
              <w:rPr>
                <w:sz w:val="22"/>
                <w:szCs w:val="22"/>
                <w:color w:val="auto"/>
              </w:rPr>
            </w:pPr>
          </w:p>
        </w:tc>
        <w:tc>
          <w:tcPr>
            <w:tcW w:w="5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35,066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150,586</w:t>
            </w:r>
          </w:p>
        </w:tc>
        <w:tc>
          <w:tcPr>
            <w:tcW w:w="26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150,586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63"/>
        </w:trPr>
        <w:tc>
          <w:tcPr>
            <w:tcW w:w="48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185,652</w:t>
            </w:r>
          </w:p>
        </w:tc>
        <w:tc>
          <w:tcPr>
            <w:tcW w:w="260" w:type="dxa"/>
            <w:vAlign w:val="bottom"/>
          </w:tcPr>
          <w:p>
            <w:pPr>
              <w:spacing w:after="0"/>
              <w:rPr>
                <w:sz w:val="22"/>
                <w:szCs w:val="22"/>
                <w:color w:val="auto"/>
              </w:rPr>
            </w:pPr>
          </w:p>
        </w:tc>
        <w:tc>
          <w:tcPr>
            <w:tcW w:w="5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185,652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324"/>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3"/>
        </w:trPr>
        <w:tc>
          <w:tcPr>
            <w:tcW w:w="482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30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8,267</w:t>
            </w:r>
          </w:p>
        </w:tc>
        <w:tc>
          <w:tcPr>
            <w:tcW w:w="260" w:type="dxa"/>
            <w:vAlign w:val="bottom"/>
          </w:tcPr>
          <w:p>
            <w:pPr>
              <w:spacing w:after="0"/>
              <w:rPr>
                <w:sz w:val="22"/>
                <w:szCs w:val="22"/>
                <w:color w:val="auto"/>
              </w:rPr>
            </w:pPr>
          </w:p>
        </w:tc>
        <w:tc>
          <w:tcPr>
            <w:tcW w:w="5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$8,267</w:t>
            </w:r>
          </w:p>
        </w:tc>
      </w:tr>
      <w:tr>
        <w:trPr>
          <w:trHeight w:val="20"/>
        </w:trPr>
        <w:tc>
          <w:tcPr>
            <w:tcW w:w="4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83"/>
        </w:trPr>
        <w:tc>
          <w:tcPr>
            <w:tcW w:w="4820" w:type="dxa"/>
            <w:vAlign w:val="bottom"/>
            <w:shd w:val="clear" w:color="auto" w:fill="CCEEFF"/>
          </w:tcPr>
          <w:p>
            <w:pPr>
              <w:spacing w:after="0"/>
              <w:rPr>
                <w:sz w:val="24"/>
                <w:szCs w:val="24"/>
                <w:color w:val="auto"/>
              </w:rPr>
            </w:pPr>
          </w:p>
        </w:tc>
        <w:tc>
          <w:tcPr>
            <w:tcW w:w="300" w:type="dxa"/>
            <w:vAlign w:val="bottom"/>
            <w:gridSpan w:val="2"/>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8,267</w:t>
            </w:r>
          </w:p>
        </w:tc>
        <w:tc>
          <w:tcPr>
            <w:tcW w:w="2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$8,267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-213995</wp:posOffset>
            </wp:positionV>
            <wp:extent cx="1460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3116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-1456690</wp:posOffset>
            </wp:positionV>
            <wp:extent cx="137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-1456690</wp:posOffset>
            </wp:positionV>
            <wp:extent cx="137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-1456690</wp:posOffset>
            </wp:positionV>
            <wp:extent cx="137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6"/>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6"/>
                <w:szCs w:val="16"/>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Level 1</w:t>
            </w: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r>
      <w:tr>
        <w:trPr>
          <w:trHeight w:val="26"/>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6"/>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7"/>
        </w:trPr>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7"/>
                <w:szCs w:val="17"/>
                <w:color w:val="auto"/>
              </w:rPr>
            </w:pPr>
          </w:p>
        </w:tc>
      </w:tr>
      <w:tr>
        <w:trPr>
          <w:trHeight w:val="26"/>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7"/>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257"/>
        </w:trPr>
        <w:tc>
          <w:tcPr>
            <w:tcW w:w="484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4,024</w:t>
            </w:r>
          </w:p>
        </w:tc>
        <w:tc>
          <w:tcPr>
            <w:tcW w:w="260" w:type="dxa"/>
            <w:vAlign w:val="bottom"/>
          </w:tcPr>
          <w:p>
            <w:pPr>
              <w:spacing w:after="0"/>
              <w:rPr>
                <w:sz w:val="22"/>
                <w:szCs w:val="22"/>
                <w:color w:val="auto"/>
              </w:rPr>
            </w:pPr>
          </w:p>
        </w:tc>
        <w:tc>
          <w:tcPr>
            <w:tcW w:w="5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4,024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53,151</w:t>
            </w:r>
          </w:p>
        </w:tc>
        <w:tc>
          <w:tcPr>
            <w:tcW w:w="26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53,151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63"/>
        </w:trPr>
        <w:tc>
          <w:tcPr>
            <w:tcW w:w="484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57,175</w:t>
            </w:r>
          </w:p>
        </w:tc>
        <w:tc>
          <w:tcPr>
            <w:tcW w:w="260" w:type="dxa"/>
            <w:vAlign w:val="bottom"/>
          </w:tcPr>
          <w:p>
            <w:pPr>
              <w:spacing w:after="0"/>
              <w:rPr>
                <w:sz w:val="22"/>
                <w:szCs w:val="22"/>
                <w:color w:val="auto"/>
              </w:rPr>
            </w:pPr>
          </w:p>
        </w:tc>
        <w:tc>
          <w:tcPr>
            <w:tcW w:w="5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57,175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4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324"/>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63"/>
        </w:trPr>
        <w:tc>
          <w:tcPr>
            <w:tcW w:w="484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12,485</w:t>
            </w:r>
          </w:p>
        </w:tc>
        <w:tc>
          <w:tcPr>
            <w:tcW w:w="260" w:type="dxa"/>
            <w:vAlign w:val="bottom"/>
          </w:tcPr>
          <w:p>
            <w:pPr>
              <w:spacing w:after="0"/>
              <w:rPr>
                <w:sz w:val="22"/>
                <w:szCs w:val="22"/>
                <w:color w:val="auto"/>
              </w:rPr>
            </w:pPr>
          </w:p>
        </w:tc>
        <w:tc>
          <w:tcPr>
            <w:tcW w:w="5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$12,485</w:t>
            </w:r>
          </w:p>
        </w:tc>
      </w:tr>
      <w:tr>
        <w:trPr>
          <w:trHeight w:val="20"/>
        </w:trPr>
        <w:tc>
          <w:tcPr>
            <w:tcW w:w="4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83"/>
        </w:trPr>
        <w:tc>
          <w:tcPr>
            <w:tcW w:w="484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12,485</w:t>
            </w:r>
          </w:p>
        </w:tc>
        <w:tc>
          <w:tcPr>
            <w:tcW w:w="2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$12,485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-213995</wp:posOffset>
            </wp:positionV>
            <wp:extent cx="1460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3116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-1456690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-1456690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-1456690</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The Company’s financial assets consist mainly of cash and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25" w:lineRule="exact"/>
        <w:rPr>
          <w:sz w:val="20"/>
          <w:szCs w:val="20"/>
          <w:color w:val="auto"/>
        </w:rPr>
      </w:pPr>
    </w:p>
    <w:p>
      <w:pPr>
        <w:ind w:left="1260" w:right="1159" w:firstLine="360"/>
        <w:spacing w:after="0" w:line="308" w:lineRule="auto"/>
        <w:rPr>
          <w:sz w:val="20"/>
          <w:szCs w:val="20"/>
          <w:color w:val="auto"/>
        </w:rPr>
      </w:pPr>
      <w:r>
        <w:rPr>
          <w:rFonts w:ascii="Arial" w:cs="Arial" w:eastAsia="Arial" w:hAnsi="Arial"/>
          <w:sz w:val="17"/>
          <w:szCs w:val="17"/>
          <w:color w:val="auto"/>
        </w:rPr>
        <w:t>The following table reflects the activity for the Company’s contingent consideration liabilities measured at fair value using Level 3 inputs for the year ended December 31, 2020 (in thousands):</w:t>
      </w:r>
    </w:p>
    <w:p>
      <w:pPr>
        <w:spacing w:after="0" w:line="9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220" w:type="dxa"/>
            <w:vAlign w:val="bottom"/>
            <w:gridSpan w:val="5"/>
          </w:tcPr>
          <w:p>
            <w:pPr>
              <w:jc w:val="center"/>
              <w:ind w:left="1039"/>
              <w:spacing w:after="0"/>
              <w:rPr>
                <w:sz w:val="20"/>
                <w:szCs w:val="20"/>
                <w:color w:val="auto"/>
              </w:rPr>
            </w:pPr>
            <w:r>
              <w:rPr>
                <w:rFonts w:ascii="Arial" w:cs="Arial" w:eastAsia="Arial" w:hAnsi="Arial"/>
                <w:sz w:val="14"/>
                <w:szCs w:val="14"/>
                <w:b w:val="1"/>
                <w:bCs w:val="1"/>
                <w:color w:val="auto"/>
                <w:w w:val="92"/>
              </w:rPr>
              <w:t>Other Liabilities:</w:t>
            </w:r>
          </w:p>
        </w:tc>
      </w:tr>
      <w:tr>
        <w:trPr>
          <w:trHeight w:val="162"/>
        </w:trPr>
        <w:tc>
          <w:tcPr>
            <w:tcW w:w="5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Contingent</w:t>
            </w:r>
          </w:p>
        </w:tc>
      </w:tr>
      <w:tr>
        <w:trPr>
          <w:trHeight w:val="186"/>
        </w:trPr>
        <w:tc>
          <w:tcPr>
            <w:tcW w:w="5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Consideration</w:t>
            </w:r>
          </w:p>
        </w:tc>
      </w:tr>
      <w:tr>
        <w:trPr>
          <w:trHeight w:val="25"/>
        </w:trPr>
        <w:tc>
          <w:tcPr>
            <w:tcW w:w="5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12,485</w:t>
            </w:r>
          </w:p>
        </w:tc>
        <w:tc>
          <w:tcPr>
            <w:tcW w:w="220" w:type="dxa"/>
            <w:vAlign w:val="bottom"/>
            <w:shd w:val="clear" w:color="auto" w:fill="CCEEFF"/>
          </w:tcPr>
          <w:p>
            <w:pPr>
              <w:spacing w:after="0"/>
              <w:rPr>
                <w:sz w:val="21"/>
                <w:szCs w:val="21"/>
                <w:color w:val="auto"/>
              </w:rPr>
            </w:pPr>
          </w:p>
        </w:tc>
      </w:tr>
      <w:tr>
        <w:trPr>
          <w:trHeight w:val="264"/>
        </w:trPr>
        <w:tc>
          <w:tcPr>
            <w:tcW w:w="526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(4,218)</w:t>
            </w:r>
          </w:p>
        </w:tc>
      </w:tr>
      <w:tr>
        <w:trPr>
          <w:trHeight w:val="295"/>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400" w:type="dxa"/>
            <w:vAlign w:val="bottom"/>
            <w:tcBorders>
              <w:top w:val="single" w:sz="8" w:color="CCEEFF"/>
              <w:bottom w:val="single" w:sz="8" w:color="CCEEFF"/>
            </w:tcBorders>
            <w:gridSpan w:val="2"/>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0805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195"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6"/>
          <w:szCs w:val="16"/>
          <w:color w:val="auto"/>
        </w:rPr>
        <w:t>The valuation technique used to measure fair value of the Company’s Level 3 liabilities, which consist of contingent consideration related to the acquisition of Kolltan in 2016 (Note 17), was primarily an income approach. The significant unobservable inputs used in the fair value measurement of the contingent consideration are estimates, including probability of success, discount rates and amount of time until the conditions of the milestone payments are met. As of December 31, 2020, the weighted average discount rate used in calculating the fair value of contingent consideration was 8.1% (with a range of 8.0% to 9.0%) and the weighted average amount of time until the conditions of the milestone payments are met was 4 years.</w:t>
      </w:r>
    </w:p>
    <w:p>
      <w:pPr>
        <w:spacing w:after="0" w:line="99"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During the year ended December 31, 2020, the Company recorded a $4.2 million gain on fair value remeasurement of contingent consideration, primarily due to updated assumptions for CDX-3379 related milestones due to the discontinuation of the CDX-3379 program partially offset by changes in discount rates and the passage of time.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10"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Company did not have any transfers of assets or liabilities between the fair value measurement classifications during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Marketable Securities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Gross</w:t>
            </w:r>
          </w:p>
        </w:tc>
        <w:tc>
          <w:tcPr>
            <w:tcW w:w="1040" w:type="dxa"/>
            <w:vAlign w:val="bottom"/>
            <w:gridSpan w:val="4"/>
          </w:tcPr>
          <w:p>
            <w:pPr>
              <w:ind w:left="28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8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Unrealized</w:t>
            </w:r>
          </w:p>
        </w:tc>
        <w:tc>
          <w:tcPr>
            <w:tcW w:w="10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880" w:type="dxa"/>
            <w:vAlign w:val="bottom"/>
            <w:gridSpan w:val="4"/>
          </w:tcPr>
          <w:p>
            <w:pPr>
              <w:ind w:left="260"/>
              <w:spacing w:after="0"/>
              <w:rPr>
                <w:sz w:val="20"/>
                <w:szCs w:val="20"/>
                <w:color w:val="auto"/>
              </w:rPr>
            </w:pPr>
            <w:r>
              <w:rPr>
                <w:rFonts w:ascii="Arial" w:cs="Arial" w:eastAsia="Arial" w:hAnsi="Arial"/>
                <w:sz w:val="14"/>
                <w:szCs w:val="14"/>
                <w:b w:val="1"/>
                <w:bCs w:val="1"/>
                <w:color w:val="auto"/>
              </w:rPr>
              <w:t>Gains</w:t>
            </w:r>
          </w:p>
        </w:tc>
        <w:tc>
          <w:tcPr>
            <w:tcW w:w="1040" w:type="dxa"/>
            <w:vAlign w:val="bottom"/>
            <w:gridSpan w:val="4"/>
          </w:tcPr>
          <w:p>
            <w:pPr>
              <w:ind w:left="2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40,328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57"/>
        </w:trPr>
        <w:tc>
          <w:tcPr>
            <w:tcW w:w="482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40,328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110,265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110,257</w:t>
            </w:r>
          </w:p>
        </w:tc>
        <w:tc>
          <w:tcPr>
            <w:tcW w:w="0" w:type="dxa"/>
            <w:vAlign w:val="bottom"/>
          </w:tcPr>
          <w:p>
            <w:pPr>
              <w:spacing w:after="0"/>
              <w:rPr>
                <w:sz w:val="1"/>
                <w:szCs w:val="1"/>
                <w:color w:val="auto"/>
              </w:rPr>
            </w:pPr>
          </w:p>
        </w:tc>
      </w:tr>
      <w:tr>
        <w:trPr>
          <w:trHeight w:val="257"/>
        </w:trPr>
        <w:tc>
          <w:tcPr>
            <w:tcW w:w="482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Pr>
          <w:p>
            <w:pPr>
              <w:ind w:left="360"/>
              <w:spacing w:after="0"/>
              <w:rPr>
                <w:sz w:val="20"/>
                <w:szCs w:val="20"/>
                <w:color w:val="auto"/>
              </w:rPr>
            </w:pPr>
            <w:r>
              <w:rPr>
                <w:rFonts w:ascii="Arial" w:cs="Arial" w:eastAsia="Arial" w:hAnsi="Arial"/>
                <w:sz w:val="18"/>
                <w:szCs w:val="18"/>
                <w:color w:val="auto"/>
              </w:rPr>
              <w:t>Total corporate debt securities</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110,265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80" w:type="dxa"/>
            <w:vAlign w:val="bottom"/>
            <w:gridSpan w:val="2"/>
          </w:tcPr>
          <w:p>
            <w:pPr>
              <w:ind w:left="28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110,257</w:t>
            </w:r>
          </w:p>
        </w:tc>
        <w:tc>
          <w:tcPr>
            <w:tcW w:w="0" w:type="dxa"/>
            <w:vAlign w:val="bottom"/>
          </w:tcPr>
          <w:p>
            <w:pPr>
              <w:spacing w:after="0"/>
              <w:rPr>
                <w:sz w:val="1"/>
                <w:szCs w:val="1"/>
                <w:color w:val="auto"/>
              </w:rPr>
            </w:pPr>
          </w:p>
        </w:tc>
      </w:tr>
      <w:tr>
        <w:trPr>
          <w:trHeight w:val="20"/>
        </w:trPr>
        <w:tc>
          <w:tcPr>
            <w:tcW w:w="4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150,593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150,586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Maturing in one year or less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13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18,522</w:t>
            </w:r>
          </w:p>
        </w:tc>
        <w:tc>
          <w:tcPr>
            <w:tcW w:w="0" w:type="dxa"/>
            <w:vAlign w:val="bottom"/>
          </w:tcPr>
          <w:p>
            <w:pPr>
              <w:spacing w:after="0"/>
              <w:rPr>
                <w:sz w:val="1"/>
                <w:szCs w:val="1"/>
                <w:color w:val="auto"/>
              </w:rPr>
            </w:pPr>
          </w:p>
        </w:tc>
      </w:tr>
      <w:tr>
        <w:trPr>
          <w:trHeight w:val="257"/>
        </w:trPr>
        <w:tc>
          <w:tcPr>
            <w:tcW w:w="4820" w:type="dxa"/>
            <w:vAlign w:val="bottom"/>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13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18,522</w:t>
            </w:r>
          </w:p>
        </w:tc>
        <w:tc>
          <w:tcPr>
            <w:tcW w:w="0" w:type="dxa"/>
            <w:vAlign w:val="bottom"/>
          </w:tcPr>
          <w:p>
            <w:pPr>
              <w:spacing w:after="0"/>
              <w:rPr>
                <w:sz w:val="1"/>
                <w:szCs w:val="1"/>
                <w:color w:val="auto"/>
              </w:rPr>
            </w:pPr>
          </w:p>
        </w:tc>
      </w:tr>
      <w:tr>
        <w:trPr>
          <w:trHeight w:val="237"/>
        </w:trPr>
        <w:tc>
          <w:tcPr>
            <w:tcW w:w="482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Corporate debt securities</w:t>
            </w: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82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Maturing in one year or less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13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34,629</w:t>
            </w:r>
          </w:p>
        </w:tc>
        <w:tc>
          <w:tcPr>
            <w:tcW w:w="0" w:type="dxa"/>
            <w:vAlign w:val="bottom"/>
          </w:tcPr>
          <w:p>
            <w:pPr>
              <w:spacing w:after="0"/>
              <w:rPr>
                <w:sz w:val="1"/>
                <w:szCs w:val="1"/>
                <w:color w:val="auto"/>
              </w:rPr>
            </w:pPr>
          </w:p>
        </w:tc>
      </w:tr>
      <w:tr>
        <w:trPr>
          <w:trHeight w:val="270"/>
        </w:trPr>
        <w:tc>
          <w:tcPr>
            <w:tcW w:w="4820" w:type="dxa"/>
            <w:vAlign w:val="bottom"/>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corporate debt securities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13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34,629</w:t>
            </w:r>
          </w:p>
        </w:tc>
        <w:tc>
          <w:tcPr>
            <w:tcW w:w="0" w:type="dxa"/>
            <w:vAlign w:val="bottom"/>
          </w:tcPr>
          <w:p>
            <w:pPr>
              <w:spacing w:after="0"/>
              <w:rPr>
                <w:sz w:val="1"/>
                <w:szCs w:val="1"/>
                <w:color w:val="auto"/>
              </w:rPr>
            </w:pPr>
          </w:p>
        </w:tc>
      </w:tr>
      <w:tr>
        <w:trPr>
          <w:trHeight w:val="20"/>
        </w:trPr>
        <w:tc>
          <w:tcPr>
            <w:tcW w:w="48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Total marketable securities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26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53,151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-376555</wp:posOffset>
            </wp:positionV>
            <wp:extent cx="2571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-376555</wp:posOffset>
            </wp:positionV>
            <wp:extent cx="42945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94505"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-1045210</wp:posOffset>
            </wp:positionV>
            <wp:extent cx="2571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-1045210</wp:posOffset>
            </wp:positionV>
            <wp:extent cx="42945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94505"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-2065020</wp:posOffset>
            </wp:positionV>
            <wp:extent cx="2571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-2065020</wp:posOffset>
            </wp:positionV>
            <wp:extent cx="42945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-2699385</wp:posOffset>
            </wp:positionV>
            <wp:extent cx="2571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-2699385</wp:posOffset>
            </wp:positionV>
            <wp:extent cx="42945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-3771265</wp:posOffset>
            </wp:positionV>
            <wp:extent cx="137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-3771265</wp:posOffset>
            </wp:positionV>
            <wp:extent cx="137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-3771265</wp:posOffset>
            </wp:positionV>
            <wp:extent cx="1289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22" w:lineRule="exact"/>
        <w:rPr>
          <w:sz w:val="20"/>
          <w:szCs w:val="20"/>
          <w:color w:val="auto"/>
        </w:rPr>
      </w:pPr>
    </w:p>
    <w:p>
      <w:pPr>
        <w:ind w:left="1260" w:right="1420" w:firstLine="360"/>
        <w:spacing w:after="0" w:line="263" w:lineRule="auto"/>
        <w:rPr>
          <w:sz w:val="20"/>
          <w:szCs w:val="20"/>
          <w:color w:val="auto"/>
        </w:rPr>
      </w:pPr>
      <w:r>
        <w:rPr>
          <w:rFonts w:ascii="Arial" w:cs="Arial" w:eastAsia="Arial" w:hAnsi="Arial"/>
          <w:sz w:val="18"/>
          <w:szCs w:val="18"/>
          <w:color w:val="auto"/>
        </w:rPr>
        <w:t>The Company holds investment grade marketable securities, and none were considered to be other-than-temporarily impaired as of December 31, 2020. Marketable securities include $0.2 million in accrued interest at December 31, 2020 and December 31, 2019.</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Property and Equipment, Net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Property and Equipment, Net includes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9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6"/>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00" w:type="dxa"/>
            <w:vAlign w:val="bottom"/>
            <w:shd w:val="clear" w:color="auto" w:fill="CCEEFF"/>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1620"/>
              <w:spacing w:after="0"/>
              <w:rPr>
                <w:sz w:val="20"/>
                <w:szCs w:val="20"/>
                <w:color w:val="auto"/>
              </w:rPr>
            </w:pPr>
            <w:r>
              <w:rPr>
                <w:rFonts w:ascii="Arial" w:cs="Arial" w:eastAsia="Arial" w:hAnsi="Arial"/>
                <w:sz w:val="18"/>
                <w:szCs w:val="18"/>
                <w:color w:val="auto"/>
              </w:rPr>
              <w:t>Manufacturing equipment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16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10,103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17,238</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25,052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32,434</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(21,237)</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(28,403)</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5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CCEEFF"/>
            </w:tcBorders>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3,815</w:t>
            </w: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Borders>
              <w:top w:val="single" w:sz="8" w:color="CCEEFF"/>
            </w:tcBorders>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jc w:val="right"/>
              <w:ind w:right="145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9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-2056765</wp:posOffset>
            </wp:positionV>
            <wp:extent cx="137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8" w:name="page89"/>
    <w:bookmarkEnd w:id="8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Depreciation and amortization expense related to property and equipment was $2.0 million,</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$2.7 million and $3.6 million for the years ended December 31, 2020, 2019 and 2018, respectively.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Leases</w:t>
      </w:r>
    </w:p>
    <w:p>
      <w:pPr>
        <w:spacing w:after="0" w:line="148"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The Company has operating leases of office, manufacturing and laboratory space, which have remaining lease terms of one to five years and may include one or more options to renew or terminate early.</w:t>
      </w:r>
    </w:p>
    <w:p>
      <w:pPr>
        <w:spacing w:after="0" w:line="7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During the year ended December 31, 2020, the Company recorded right of use assets and lease liabilities of $1.9 million related to new leases and lease extensions. During the first quarter of 2019, the Company amended its Hampton, New Jersey lease to eliminate 16,200 square feet of space and extend the remaining 33,400 square feet of space for an additional five-year term with an early termination option after three years. This resulted in an increase to the Company’s right-of-use assets and lease liabilities of $1.4 million during the first quarter of 2019 for the initial 3 years related to the amendment.</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Operating lease expense was $2.3 million and $2.5 million for years ended December 31, 2020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2019, respectively. Variable lease expense was $1.2 million and $1.5 million for years ended December 31,</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 and 2019, respectively. Under the prior lease accounting guidance, the Company recorded total</w:t>
      </w:r>
    </w:p>
    <w:p>
      <w:pPr>
        <w:ind w:left="1260"/>
        <w:spacing w:after="0"/>
        <w:rPr>
          <w:sz w:val="20"/>
          <w:szCs w:val="20"/>
          <w:color w:val="auto"/>
        </w:rPr>
      </w:pPr>
      <w:r>
        <w:rPr>
          <w:rFonts w:ascii="Arial" w:cs="Arial" w:eastAsia="Arial" w:hAnsi="Arial"/>
          <w:sz w:val="17"/>
          <w:szCs w:val="17"/>
          <w:color w:val="auto"/>
        </w:rPr>
        <w:t>operating lease expense and variable lease expense of $4.0 million for the year ended December 31, 2018.</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Cash paid for amounts included in the measurement of operating lease liabilities was $2.4 million and</w:t>
      </w:r>
    </w:p>
    <w:p>
      <w:pPr>
        <w:ind w:left="1260"/>
        <w:spacing w:after="0"/>
        <w:rPr>
          <w:sz w:val="20"/>
          <w:szCs w:val="20"/>
          <w:color w:val="auto"/>
        </w:rPr>
      </w:pPr>
      <w:r>
        <w:rPr>
          <w:rFonts w:ascii="Arial" w:cs="Arial" w:eastAsia="Arial" w:hAnsi="Arial"/>
          <w:sz w:val="17"/>
          <w:szCs w:val="17"/>
          <w:color w:val="auto"/>
        </w:rPr>
        <w:t>$3.3 million for the years ended December 31, 2020 and 2019, respectively. As of December 31, 2020,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weighted-average remaining lease term was 2 years and the weighted-average discount rate was 10.4%,</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compared to a weighted-average remaining lease term of 2 years and weighted average discount rate of 11%</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of December 31, 2019.</w:t>
      </w:r>
    </w:p>
    <w:p>
      <w:pPr>
        <w:spacing w:after="0" w:line="115"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Future minimum lease payments under non-cancellable leases as of December 31, 2020 were as follows:</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$1,620</w:t>
            </w:r>
          </w:p>
        </w:tc>
        <w:tc>
          <w:tcPr>
            <w:tcW w:w="60" w:type="dxa"/>
            <w:vAlign w:val="bottom"/>
          </w:tcPr>
          <w:p>
            <w:pPr>
              <w:spacing w:after="0"/>
              <w:rPr>
                <w:sz w:val="17"/>
                <w:szCs w:val="17"/>
                <w:color w:val="auto"/>
              </w:rPr>
            </w:pPr>
          </w:p>
        </w:tc>
      </w:tr>
      <w:tr>
        <w:trPr>
          <w:trHeight w:val="257"/>
        </w:trPr>
        <w:tc>
          <w:tcPr>
            <w:tcW w:w="6980" w:type="dxa"/>
            <w:vAlign w:val="bottom"/>
          </w:tcPr>
          <w:p>
            <w:pPr>
              <w:spacing w:after="0"/>
              <w:rPr>
                <w:sz w:val="20"/>
                <w:szCs w:val="20"/>
                <w:color w:val="auto"/>
              </w:rPr>
            </w:pPr>
            <w:r>
              <w:rPr>
                <w:rFonts w:ascii="Arial" w:cs="Arial" w:eastAsia="Arial" w:hAnsi="Arial"/>
                <w:sz w:val="18"/>
                <w:szCs w:val="18"/>
                <w:color w:val="auto"/>
              </w:rPr>
              <w:t>2022</w:t>
            </w:r>
          </w:p>
        </w:tc>
        <w:tc>
          <w:tcPr>
            <w:tcW w:w="500" w:type="dxa"/>
            <w:vAlign w:val="bottom"/>
          </w:tcPr>
          <w:p>
            <w:pPr>
              <w:jc w:val="right"/>
              <w:spacing w:after="0"/>
              <w:rPr>
                <w:sz w:val="20"/>
                <w:szCs w:val="20"/>
                <w:color w:val="auto"/>
              </w:rPr>
            </w:pPr>
            <w:r>
              <w:rPr>
                <w:rFonts w:ascii="Arial" w:cs="Arial" w:eastAsia="Arial" w:hAnsi="Arial"/>
                <w:sz w:val="18"/>
                <w:szCs w:val="18"/>
                <w:color w:val="auto"/>
              </w:rPr>
              <w:t>1,615</w:t>
            </w:r>
          </w:p>
        </w:tc>
        <w:tc>
          <w:tcPr>
            <w:tcW w:w="60" w:type="dxa"/>
            <w:vAlign w:val="bottom"/>
          </w:tcPr>
          <w:p>
            <w:pPr>
              <w:spacing w:after="0"/>
              <w:rPr>
                <w:sz w:val="22"/>
                <w:szCs w:val="22"/>
                <w:color w:val="auto"/>
              </w:rPr>
            </w:pPr>
          </w:p>
        </w:tc>
      </w:tr>
      <w:tr>
        <w:trPr>
          <w:trHeight w:val="263"/>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0" w:type="dxa"/>
            <w:vAlign w:val="bottom"/>
          </w:tcPr>
          <w:p>
            <w:pPr>
              <w:spacing w:after="0"/>
              <w:rPr>
                <w:sz w:val="22"/>
                <w:szCs w:val="22"/>
                <w:color w:val="auto"/>
              </w:rPr>
            </w:pPr>
          </w:p>
        </w:tc>
      </w:tr>
      <w:tr>
        <w:trPr>
          <w:trHeight w:val="257"/>
        </w:trPr>
        <w:tc>
          <w:tcPr>
            <w:tcW w:w="6980" w:type="dxa"/>
            <w:vAlign w:val="bottom"/>
          </w:tcPr>
          <w:p>
            <w:pPr>
              <w:spacing w:after="0"/>
              <w:rPr>
                <w:sz w:val="20"/>
                <w:szCs w:val="20"/>
                <w:color w:val="auto"/>
              </w:rPr>
            </w:pPr>
            <w:r>
              <w:rPr>
                <w:rFonts w:ascii="Arial" w:cs="Arial" w:eastAsia="Arial" w:hAnsi="Arial"/>
                <w:sz w:val="18"/>
                <w:szCs w:val="18"/>
                <w:color w:val="auto"/>
              </w:rPr>
              <w:t>Total lease payments</w:t>
            </w:r>
          </w:p>
        </w:tc>
        <w:tc>
          <w:tcPr>
            <w:tcW w:w="500" w:type="dxa"/>
            <w:vAlign w:val="bottom"/>
          </w:tcPr>
          <w:p>
            <w:pPr>
              <w:jc w:val="right"/>
              <w:spacing w:after="0"/>
              <w:rPr>
                <w:sz w:val="20"/>
                <w:szCs w:val="20"/>
                <w:color w:val="auto"/>
              </w:rPr>
            </w:pPr>
            <w:r>
              <w:rPr>
                <w:rFonts w:ascii="Arial" w:cs="Arial" w:eastAsia="Arial" w:hAnsi="Arial"/>
                <w:sz w:val="18"/>
                <w:szCs w:val="18"/>
                <w:color w:val="auto"/>
              </w:rPr>
              <w:t>3,933</w:t>
            </w:r>
          </w:p>
        </w:tc>
        <w:tc>
          <w:tcPr>
            <w:tcW w:w="60" w:type="dxa"/>
            <w:vAlign w:val="bottom"/>
          </w:tcPr>
          <w:p>
            <w:pPr>
              <w:spacing w:after="0"/>
              <w:rPr>
                <w:sz w:val="22"/>
                <w:szCs w:val="22"/>
                <w:color w:val="auto"/>
              </w:rPr>
            </w:pPr>
          </w:p>
        </w:tc>
      </w:tr>
      <w:tr>
        <w:trPr>
          <w:trHeight w:val="263"/>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22"/>
                <w:szCs w:val="22"/>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Present value of operating lease liabilities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$3,481</w:t>
            </w:r>
          </w:p>
        </w:tc>
        <w:tc>
          <w:tcPr>
            <w:tcW w:w="60" w:type="dxa"/>
            <w:vAlign w:val="bottom"/>
          </w:tcPr>
          <w:p>
            <w:pPr>
              <w:spacing w:after="0"/>
              <w:rPr>
                <w:sz w:val="23"/>
                <w:szCs w:val="23"/>
                <w:color w:val="auto"/>
              </w:rPr>
            </w:pPr>
          </w:p>
        </w:tc>
      </w:tr>
      <w:tr>
        <w:trPr>
          <w:trHeight w:val="20"/>
        </w:trPr>
        <w:tc>
          <w:tcPr>
            <w:tcW w:w="6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Intangible Assets and Goodwill</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Intangible Assets, Net</w:t>
      </w:r>
    </w:p>
    <w:p>
      <w:pPr>
        <w:spacing w:after="0" w:line="158"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The Company’s finite-lived intangible assets consisted solely of license rights amended under a 2009 agreement with Amgen Fremont related to developing and commercializing Glemba. As a result of the discontinuation of the Glemba program, the Company concluded that the finite -lived intangible asset was fully impaired and a non-cash impairment charge of $6.9 million was recorded in the first quarter of 2018. Amortization expense for finite intangible assets was $0.2 million for the year ended December 31, 2018 and $0.0 million for the years ended December 31, 2020 and 2019.</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At December 31, 2020 and 2019, the carrying value of the Company’s indefinite-lived intangible assets was $30.7 million and $48.7 million, respectively. At December 31, 2020, indefinite-lived intangible assets consist of acquired in-process research and development (“IPR&amp;D”) related to the development of the anti-KIT program (including CDX-0159) and the TAM program, a broad antibody discovery effort to generate antibodies that modulate the TAM family of RTKs, comprised of Tyro3, AXL and MerTK. CDX-0159 is in Phase 1 development and the TAM program is in preclinical development. As of December 31, 2020, no IPR&amp;D asset had reached technological feasibility nor did any have alternative future uses.</w:t>
      </w:r>
    </w:p>
    <w:p>
      <w:pPr>
        <w:spacing w:after="0" w:line="112" w:lineRule="exact"/>
        <w:rPr>
          <w:sz w:val="20"/>
          <w:szCs w:val="20"/>
          <w:color w:val="auto"/>
        </w:rPr>
      </w:pPr>
    </w:p>
    <w:p>
      <w:pPr>
        <w:ind w:left="1260" w:right="479" w:firstLine="360"/>
        <w:spacing w:after="0" w:line="294" w:lineRule="auto"/>
        <w:rPr>
          <w:sz w:val="20"/>
          <w:szCs w:val="20"/>
          <w:color w:val="auto"/>
        </w:rPr>
      </w:pPr>
      <w:r>
        <w:rPr>
          <w:rFonts w:ascii="Arial" w:cs="Arial" w:eastAsia="Arial" w:hAnsi="Arial"/>
          <w:sz w:val="16"/>
          <w:szCs w:val="16"/>
          <w:color w:val="auto"/>
        </w:rPr>
        <w:t>Each IPR&amp;D asset is assessed for impairment at least annually, or more frequently if events or changes in circumstances indicate that IPR&amp;D assets may be impaired. During the fourth quarter of 2020, the Company prioritized its preclinical resources towards ILT4 and non-oncology bispecific antibody programs</w:t>
      </w:r>
    </w:p>
    <w:p>
      <w:pPr>
        <w:spacing w:after="0" w:line="3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based on recent data supporting their value. The Company also decided that although it had developed promising data for the AxL target within the TAM program, it will focus its efforts on out-licensing opportunities for its TAM program. As a result, the Company evaluated the TAM program IPR&amp;D asset for potential impairment as a result of changes in projected development and regulatory timelines related to the program. As part of this evaluation, the present value of probability adjusted estimated net future cash flows was used to determine the fair value of the program. The Company concluded that the TAM IPR&amp;D asset was partially impaired, and a non-cash impairment charge of $14.5 million was recorded in the fourth quarter of 2020. The Company evaluated the CDX-3379 IPR&amp;D asset for potential impairment as a result of the discontinuation of the CDX-3379 program in the second quarter of 2020. The Company concluded that the CDX-3379 IPR&amp;D asset was fully impaired, and a non-cash impairment charge of $3.5 million was recorded during the second quarter of 2020. In the first quarter of 2018, as a result of the discontinuation of the Glemba program, the Company concluded that the Glemba IPR&amp;D asset was fully impaired and a non-cash impairment charge of $11.8 million was recorded. The Company performed its annual impairment test of the remaining IPR&amp;D assets during the fourth quarter of 2020 and concluded that the IPR&amp;D assets were not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Goodwill</w:t>
      </w:r>
    </w:p>
    <w:p>
      <w:pPr>
        <w:spacing w:after="0" w:line="144"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In the first quarter of 2018, the Company’s goodwill was evaluated for potential impairment due to the discontinuation of the Glemba program and it was determined that the carrying amount of the Company exceeded its fair value by over $91.0 million. As such, the Company concluded that the goodwill asset was fully impaired and a non-cash impairment charge of $91.0 million was recorded during the first quarter of 2018.</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Accrued Expenses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Accrued expenses include the following:</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980" w:type="dxa"/>
            <w:vAlign w:val="bottom"/>
            <w:gridSpan w:val="5"/>
          </w:tcPr>
          <w:p>
            <w:pPr>
              <w:jc w:val="center"/>
              <w:ind w:left="15"/>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68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3"/>
          </w:tcPr>
          <w:p>
            <w:pPr>
              <w:jc w:val="center"/>
              <w:ind w:left="235"/>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5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60" w:type="dxa"/>
            <w:vAlign w:val="bottom"/>
          </w:tcPr>
          <w:p>
            <w:pPr>
              <w:spacing w:after="0"/>
              <w:rPr>
                <w:sz w:val="22"/>
                <w:szCs w:val="22"/>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benefits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$ 6,113</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Accrued research and development contract costs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1,590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1,186</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CCEEFF"/>
            </w:tcBorders>
            <w:gridSpan w:val="2"/>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gridSpan w:val="2"/>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5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$8,459</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Other Long-Term Liabilities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Other long-term liabilities include the following:</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980" w:type="dxa"/>
            <w:vAlign w:val="bottom"/>
            <w:gridSpan w:val="5"/>
          </w:tcPr>
          <w:p>
            <w:pPr>
              <w:jc w:val="center"/>
              <w:ind w:left="15"/>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68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3"/>
          </w:tcPr>
          <w:p>
            <w:pPr>
              <w:jc w:val="center"/>
              <w:ind w:left="235"/>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5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15)</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$ 1,840</w:t>
            </w:r>
          </w:p>
        </w:tc>
        <w:tc>
          <w:tcPr>
            <w:tcW w:w="22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$ 3,007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Deferred income from sale of tax benefits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1,831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Contingent milestones (Note 4)</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22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 (Note 13)</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3,386</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13,493</w:t>
            </w:r>
          </w:p>
        </w:tc>
        <w:tc>
          <w:tcPr>
            <w:tcW w:w="220" w:type="dxa"/>
            <w:vAlign w:val="bottom"/>
            <w:shd w:val="clear" w:color="auto" w:fill="CCEEFF"/>
          </w:tcPr>
          <w:p>
            <w:pPr>
              <w:spacing w:after="0"/>
              <w:rPr>
                <w:sz w:val="21"/>
                <w:szCs w:val="21"/>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24"/>
                <w:szCs w:val="24"/>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(3,372)</w:t>
            </w:r>
          </w:p>
        </w:tc>
        <w:tc>
          <w:tcPr>
            <w:tcW w:w="980" w:type="dxa"/>
            <w:vAlign w:val="bottom"/>
            <w:gridSpan w:val="5"/>
          </w:tcPr>
          <w:p>
            <w:pPr>
              <w:jc w:val="right"/>
              <w:ind w:right="8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2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$10,121</w:t>
            </w:r>
          </w:p>
        </w:tc>
        <w:tc>
          <w:tcPr>
            <w:tcW w:w="22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$15,551</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-2451100</wp:posOffset>
            </wp:positionV>
            <wp:extent cx="47491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-3265170</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-565150</wp:posOffset>
            </wp:positionV>
            <wp:extent cx="47491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-1336675</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November 2015, the Company received approval from the New Jersey Economic Development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Authority and agreed to sell New Jersey tax benefits of $9.8 million to an independent third party for</w:t>
      </w:r>
    </w:p>
    <w:p>
      <w:pPr>
        <w:ind w:left="1260"/>
        <w:spacing w:after="0" w:line="234" w:lineRule="auto"/>
        <w:rPr>
          <w:sz w:val="20"/>
          <w:szCs w:val="20"/>
          <w:color w:val="auto"/>
        </w:rPr>
      </w:pPr>
      <w:r>
        <w:rPr>
          <w:rFonts w:ascii="Arial" w:cs="Arial" w:eastAsia="Arial" w:hAnsi="Arial"/>
          <w:sz w:val="18"/>
          <w:szCs w:val="18"/>
          <w:color w:val="auto"/>
        </w:rPr>
        <w:t>$9.2 million. Under the agreement, the Company must maintain a base of operations in New Jersey for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five years or the tax benefits must be paid back on a pro-rata basis based on the number of years completed.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During the years ended December 31, 2020, 2019 and 2018, the Company recorded $1.8 million,</w:t>
      </w:r>
    </w:p>
    <w:p>
      <w:pPr>
        <w:ind w:left="1260"/>
        <w:spacing w:after="0"/>
        <w:rPr>
          <w:sz w:val="20"/>
          <w:szCs w:val="20"/>
          <w:color w:val="auto"/>
        </w:rPr>
      </w:pPr>
      <w:r>
        <w:rPr>
          <w:rFonts w:ascii="Arial" w:cs="Arial" w:eastAsia="Arial" w:hAnsi="Arial"/>
          <w:sz w:val="18"/>
          <w:szCs w:val="18"/>
          <w:color w:val="auto"/>
        </w:rPr>
        <w:t>$2.4 million and $2.5 million to other income related to the sale of these tax benefits, respectively.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Common Stock</w:t>
      </w:r>
    </w:p>
    <w:p>
      <w:pPr>
        <w:spacing w:after="0" w:line="144"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In November 2020, the Company filed an automatic shelf registration statement with the Securities and Exchange Commission to register for sale any combination of the types of securities described in the shelf registration statement.</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May 2016, the Company entered into a controlled equity offering sales agreement with Cantor</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Fitzgerald &amp; Co. (“Cantor”) to allow the Company to issue and sell shares of its common stock from time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time through Cantor, acting as agent. During the years ended December 31, 2020, 2019 and 2018, the</w:t>
      </w:r>
    </w:p>
    <w:p>
      <w:pPr>
        <w:ind w:left="1260"/>
        <w:spacing w:after="0"/>
        <w:rPr>
          <w:sz w:val="20"/>
          <w:szCs w:val="20"/>
          <w:color w:val="auto"/>
        </w:rPr>
      </w:pPr>
      <w:r>
        <w:rPr>
          <w:rFonts w:ascii="Arial" w:cs="Arial" w:eastAsia="Arial" w:hAnsi="Arial"/>
          <w:sz w:val="17"/>
          <w:szCs w:val="17"/>
          <w:color w:val="auto"/>
        </w:rPr>
        <w:t>Company issued 7.1 million, 5.0 million and 2.7 million shares of its common stock, respectively, under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agreement with Cantor resulting in net proceeds to the Company of $29.4 million, $16.2 million and</w:t>
      </w:r>
    </w:p>
    <w:p>
      <w:pPr>
        <w:ind w:left="1260"/>
        <w:spacing w:after="0"/>
        <w:rPr>
          <w:sz w:val="20"/>
          <w:szCs w:val="20"/>
          <w:color w:val="auto"/>
        </w:rPr>
      </w:pPr>
      <w:r>
        <w:rPr>
          <w:rFonts w:ascii="Arial" w:cs="Arial" w:eastAsia="Arial" w:hAnsi="Arial"/>
          <w:sz w:val="17"/>
          <w:szCs w:val="17"/>
          <w:color w:val="auto"/>
        </w:rPr>
        <w:t>$29.0 million, respectively, after deducting commission and offering expenses. At December 31, 2020,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had $50.0 million remaining in aggregate gross offering price available under the Company’s</w:t>
      </w:r>
    </w:p>
    <w:p>
      <w:pPr>
        <w:ind w:left="1260"/>
        <w:spacing w:after="0"/>
        <w:rPr>
          <w:sz w:val="20"/>
          <w:szCs w:val="20"/>
          <w:color w:val="auto"/>
        </w:rPr>
      </w:pPr>
      <w:r>
        <w:rPr>
          <w:rFonts w:ascii="Arial" w:cs="Arial" w:eastAsia="Arial" w:hAnsi="Arial"/>
          <w:sz w:val="18"/>
          <w:szCs w:val="18"/>
          <w:color w:val="auto"/>
        </w:rPr>
        <w:t>November 2020 prospectus supplement.</w:t>
      </w:r>
    </w:p>
    <w:p>
      <w:pPr>
        <w:spacing w:after="0" w:line="12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In June 2020, the Company issued 15,384,614 shares of its common stock in an underwritten public offering resulting in net proceeds to the Company of $141.4 million, after deducting underwriting fees and offering expenses.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Convertible Preferred Stock</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At December 31, 2020, the Company had authorized 3,000,000 shares of preferred stock all of which</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have been designated Class C Preferred Stock including 350,000 shares which have been designated</w:t>
      </w:r>
    </w:p>
    <w:p>
      <w:pPr>
        <w:ind w:left="1260"/>
        <w:spacing w:after="0"/>
        <w:rPr>
          <w:sz w:val="20"/>
          <w:szCs w:val="20"/>
          <w:color w:val="auto"/>
        </w:rPr>
      </w:pPr>
      <w:r>
        <w:rPr>
          <w:rFonts w:ascii="Arial" w:cs="Arial" w:eastAsia="Arial" w:hAnsi="Arial"/>
          <w:sz w:val="17"/>
          <w:szCs w:val="17"/>
          <w:color w:val="auto"/>
        </w:rPr>
        <w:t>Series C-1 Junior Participating Cumulative Preferred Stock (the “Series C-1 Preferred Stock”). No shares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Series C-1 Preferred Stock were outstanding at December 31, 2020 or 2019.</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Stock-Based Compensation</w:t>
      </w:r>
    </w:p>
    <w:p>
      <w:pPr>
        <w:spacing w:after="0" w:line="162" w:lineRule="exact"/>
        <w:rPr>
          <w:sz w:val="20"/>
          <w:szCs w:val="20"/>
          <w:color w:val="auto"/>
        </w:rPr>
      </w:pPr>
    </w:p>
    <w:p>
      <w:pPr>
        <w:ind w:left="1260" w:right="599" w:firstLine="360"/>
        <w:spacing w:after="0" w:line="291" w:lineRule="auto"/>
        <w:rPr>
          <w:sz w:val="20"/>
          <w:szCs w:val="20"/>
          <w:color w:val="auto"/>
        </w:rPr>
      </w:pPr>
      <w:r>
        <w:rPr>
          <w:rFonts w:ascii="Arial" w:cs="Arial" w:eastAsia="Arial" w:hAnsi="Arial"/>
          <w:sz w:val="17"/>
          <w:szCs w:val="17"/>
          <w:color w:val="auto"/>
        </w:rPr>
        <w:t>The Company has the following stock -based compensation plans: the 2004 Employee Stock Purchase Plan (the “2004 ESPP Plan”) and the 2008 Stock Option and Incentive Plan (the “2008 Plan”).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Employee Stock Purchase Plan</w:t>
      </w:r>
    </w:p>
    <w:p>
      <w:pPr>
        <w:spacing w:after="0" w:line="15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At December 31, 2020, a total of 276,666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2020, 2019 and 2018, the Company issued 39,817, 3,507 and 9,524 shares under the 2004 ESPP Plan, respectively. At December 31, 2020, 210,342 shares were available for issuance under the 2004 ESPP Plan.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144"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 -qualified stock options, stock appreciation rights, performance share units, restricted stock and other awards of restricted stock in lieu of cash bonuses to employees, consultants and non-employee directors.</w:t>
      </w:r>
    </w:p>
    <w:p>
      <w:pPr>
        <w:spacing w:after="0" w:line="120"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At December 31, 2020, the 2008 Plan allowed for a maximum of 4,133,333 shares of common stock to be issued for grants of new awards until June 9, 2025 and grants of incentive stock options until April 16,</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2025.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2008 Plan.</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summary of stock option activity for the year ended December 31, 2020 is as follows: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62"/>
        </w:trPr>
        <w:tc>
          <w:tcPr>
            <w:tcW w:w="5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62"/>
        </w:trPr>
        <w:tc>
          <w:tcPr>
            <w:tcW w:w="5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r>
      <w:tr>
        <w:trPr>
          <w:trHeight w:val="162"/>
        </w:trPr>
        <w:tc>
          <w:tcPr>
            <w:tcW w:w="5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Contractual</w:t>
            </w:r>
          </w:p>
        </w:tc>
      </w:tr>
      <w:tr>
        <w:trPr>
          <w:trHeight w:val="192"/>
        </w:trPr>
        <w:tc>
          <w:tcPr>
            <w:tcW w:w="54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2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r>
      <w:tr>
        <w:trPr>
          <w:trHeight w:val="215"/>
        </w:trPr>
        <w:tc>
          <w:tcPr>
            <w:tcW w:w="5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1,699,202</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44.87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1,512,675</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10.53</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(78,259)</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Canceled</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(91,389)</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41.86</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54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257"/>
        </w:trPr>
        <w:tc>
          <w:tcPr>
            <w:tcW w:w="5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3,042,229</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28.93</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190"/>
        </w:trPr>
        <w:tc>
          <w:tcPr>
            <w:tcW w:w="5480" w:type="dxa"/>
            <w:vAlign w:val="bottom"/>
          </w:tcPr>
          <w:p>
            <w:pPr>
              <w:spacing w:after="0" w:line="190" w:lineRule="exact"/>
              <w:rPr>
                <w:sz w:val="20"/>
                <w:szCs w:val="20"/>
                <w:color w:val="auto"/>
              </w:rPr>
            </w:pPr>
            <w:r>
              <w:rPr>
                <w:rFonts w:ascii="Arial" w:cs="Arial" w:eastAsia="Arial" w:hAnsi="Arial"/>
                <w:sz w:val="18"/>
                <w:szCs w:val="18"/>
                <w:color w:val="auto"/>
              </w:rPr>
              <w:t>Options vested and expected to vest at December 31, 2020</w:t>
            </w:r>
          </w:p>
        </w:tc>
        <w:tc>
          <w:tcPr>
            <w:tcW w:w="94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w w:val="89"/>
              </w:rPr>
              <w:t>2,881,532</w:t>
            </w:r>
          </w:p>
        </w:tc>
        <w:tc>
          <w:tcPr>
            <w:tcW w:w="160" w:type="dxa"/>
            <w:vAlign w:val="bottom"/>
          </w:tcPr>
          <w:p>
            <w:pPr>
              <w:ind w:left="60"/>
              <w:spacing w:after="0" w:line="190"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0" w:lineRule="exact"/>
              <w:rPr>
                <w:sz w:val="20"/>
                <w:szCs w:val="20"/>
                <w:color w:val="auto"/>
              </w:rPr>
            </w:pPr>
            <w:r>
              <w:rPr>
                <w:rFonts w:ascii="Arial" w:cs="Arial" w:eastAsia="Arial" w:hAnsi="Arial"/>
                <w:sz w:val="18"/>
                <w:szCs w:val="18"/>
                <w:color w:val="auto"/>
                <w:w w:val="84"/>
              </w:rPr>
              <w:t>30.04</w:t>
            </w:r>
          </w:p>
        </w:tc>
        <w:tc>
          <w:tcPr>
            <w:tcW w:w="20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87"/>
              </w:rPr>
              <w:t>8.2</w:t>
            </w:r>
          </w:p>
        </w:tc>
      </w:tr>
      <w:tr>
        <w:trPr>
          <w:trHeight w:val="229"/>
        </w:trPr>
        <w:tc>
          <w:tcPr>
            <w:tcW w:w="5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December 31, 2020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907,982</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76.39</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898,977</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-642620</wp:posOffset>
            </wp:positionV>
            <wp:extent cx="52120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-1216660</wp:posOffset>
            </wp:positionV>
            <wp:extent cx="46031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74"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The total intrinsic value of stock options exercised during the years ended December 31, 2020, 2019 and 2018 was $0.8 million, $0.0 million and $0.0 million, respectively. The weighted average grant-date fair value of stock options granted during the years ended December 31, 2020, 2019 and 2018 was $8.08, $2.08 and $6.60, respectively. The total fair value of stock options vested during the years ended December 31, 2020, 2019 and 2018 was $2.4 million, $4.9 million and $8.0 million, respectively.</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aggregate intrinsic value of stock options outstanding at December 31, 2020 was $24.7 million.</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aggregate intrinsic value of stock options vested and expected to vest at December 31, 2020 was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$23.3 million. As of December 31, 2020, total compensation cost related to non-vested employee and non-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employee director stock options not yet recognized was approximately $11.3 million, net of estimated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forfeitures, which is expected to be recognized as expense over a weighted average period of 3.0 years.</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Restricted Stock</w:t>
      </w:r>
    </w:p>
    <w:p>
      <w:pPr>
        <w:spacing w:after="0" w:line="158"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A summary of restricted stock activity under the 2008 Plan for the year ended December 31, 2020 is as follows: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62"/>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Grant Date</w:t>
            </w:r>
          </w:p>
        </w:tc>
      </w:tr>
      <w:tr>
        <w:trPr>
          <w:trHeight w:val="162"/>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r>
      <w:tr>
        <w:trPr>
          <w:trHeight w:val="186"/>
        </w:trPr>
        <w:tc>
          <w:tcPr>
            <w:tcW w:w="6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(per share)</w:t>
            </w:r>
          </w:p>
        </w:tc>
      </w:tr>
      <w:tr>
        <w:trPr>
          <w:trHeight w:val="25"/>
        </w:trPr>
        <w:tc>
          <w:tcPr>
            <w:tcW w:w="60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1,110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34.83</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(1,110)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34.83</w:t>
            </w:r>
          </w:p>
        </w:tc>
      </w:tr>
      <w:tr>
        <w:trPr>
          <w:trHeight w:val="263"/>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Canceled</w:t>
            </w: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2020</w:t>
            </w:r>
          </w:p>
        </w:tc>
        <w:tc>
          <w:tcPr>
            <w:tcW w:w="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2945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Valuation and Expenses Information</w:t>
      </w:r>
    </w:p>
    <w:p>
      <w:pPr>
        <w:spacing w:after="0" w:line="144"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Stock-based compensation expense for the years ended December 31, 2020, 2019 and 2018 was recorded as follows:</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7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2018</w:t>
            </w:r>
          </w:p>
        </w:tc>
      </w:tr>
      <w:tr>
        <w:trPr>
          <w:trHeight w:val="26"/>
        </w:trPr>
        <w:tc>
          <w:tcPr>
            <w:tcW w:w="55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5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(In thousands)</w:t>
            </w:r>
          </w:p>
        </w:tc>
        <w:tc>
          <w:tcPr>
            <w:tcW w:w="500" w:type="dxa"/>
            <w:vAlign w:val="bottom"/>
          </w:tcPr>
          <w:p>
            <w:pPr>
              <w:spacing w:after="0"/>
              <w:rPr>
                <w:sz w:val="17"/>
                <w:szCs w:val="17"/>
                <w:color w:val="auto"/>
              </w:rPr>
            </w:pPr>
          </w:p>
        </w:tc>
      </w:tr>
      <w:tr>
        <w:trPr>
          <w:trHeight w:val="26"/>
        </w:trPr>
        <w:tc>
          <w:tcPr>
            <w:tcW w:w="5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$3,874</w:t>
            </w:r>
          </w:p>
        </w:tc>
      </w:tr>
      <w:tr>
        <w:trPr>
          <w:trHeight w:val="264"/>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2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r>
      <w:tr>
        <w:trPr>
          <w:trHeight w:val="29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$8,081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4316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431665"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-702310</wp:posOffset>
            </wp:positionV>
            <wp:extent cx="137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-702310</wp:posOffset>
            </wp:positionV>
            <wp:extent cx="137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The fair values of employee and director stock options granted during the years ended December 31, 2020, 2019 and 2018 were valued using the Black-Scholes option pricing model with the following assumptions: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91 – 98%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 – 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73 – 85%</w:t>
            </w: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Expected option term</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6.0 Years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6.0 Years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6.0 Years</w:t>
            </w: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0.5 – 0.7%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 – 2.5%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2"/>
              </w:rPr>
              <w:t>2.8 – 3.1%</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None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None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-334010</wp:posOffset>
            </wp:positionV>
            <wp:extent cx="4749165"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-668020</wp:posOffset>
            </wp:positionV>
            <wp:extent cx="4749165"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14"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Revenue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158"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Pursuant to the Rockefeller Agreement, the Company received an upfront payment of $1.8 million as a result of the Rockefeller Transaction which was recorded to revenue during the first quarter of 2020. The Company is eligible to receive additional payments from Rockefeller University if this portfolio progresses through clinical and commercial development.</w:t>
      </w:r>
    </w:p>
    <w:p>
      <w:pPr>
        <w:spacing w:after="0" w:line="110" w:lineRule="exact"/>
        <w:rPr>
          <w:sz w:val="20"/>
          <w:szCs w:val="20"/>
          <w:color w:val="auto"/>
        </w:rPr>
      </w:pPr>
    </w:p>
    <w:p>
      <w:pPr>
        <w:ind w:left="1260" w:right="459" w:firstLine="360"/>
        <w:spacing w:after="0" w:line="260" w:lineRule="auto"/>
        <w:rPr>
          <w:sz w:val="20"/>
          <w:szCs w:val="20"/>
          <w:color w:val="auto"/>
        </w:rPr>
      </w:pPr>
      <w:r>
        <w:rPr>
          <w:rFonts w:ascii="Arial" w:cs="Arial" w:eastAsia="Arial" w:hAnsi="Arial"/>
          <w:sz w:val="17"/>
          <w:szCs w:val="17"/>
          <w:color w:val="auto"/>
        </w:rPr>
        <w:t>The Company entered into a clinical collaboration agreement with BMS in 2014 to evaluate the safety, tolerability and preliminary efficacy of varlilumab and Opdivo</w:t>
      </w:r>
      <w:r>
        <w:rPr>
          <w:rFonts w:ascii="Arial" w:cs="Arial" w:eastAsia="Arial" w:hAnsi="Arial"/>
          <w:sz w:val="25"/>
          <w:szCs w:val="25"/>
          <w:color w:val="auto"/>
          <w:vertAlign w:val="superscript"/>
        </w:rPr>
        <w:t>®</w:t>
      </w:r>
      <w:r>
        <w:rPr>
          <w:rFonts w:ascii="Arial" w:cs="Arial" w:eastAsia="Arial" w:hAnsi="Arial"/>
          <w:sz w:val="17"/>
          <w:szCs w:val="17"/>
          <w:color w:val="auto"/>
        </w:rPr>
        <w:t>, BMS’s PD-1 immune checkpoint inhibitor, in a Phase 1/2 study. Under this agreement, BMS made an upfront payment to Celldex of $5.0 million and provides funding for 50% of the external costs incurred by the Company in connection with the clinical trial. The performance obligations under the collaboration agreement consist of intellectual property licenses and the performance of research and development services. The Company determined that the performance obligations were not separately identifiable and were not distinct (and did not have standalone value) due to the specialized nature of the services to be provided, the dependent relationship between the performance obligations and the Company’s proprietary technology that makes them uniquely qualified to perform the R&amp;D services. Therefore, the Company concluded that the collaboration agreement has a single identified or combined performance obligation. As of December 31, 2020, deferred revenue related to the Company’s remaining performance obligation under this arrangement was $0.0 million. The Company recorded $0.0 million, $0.2 million and $3.3 million in revenue related to this agreement during the years ended December 31, 2020, 2019 and 2018, respectively.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Contract and Grants Revenue</w:t>
      </w:r>
    </w:p>
    <w:p>
      <w:pPr>
        <w:spacing w:after="0" w:line="14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Company has entered into the Rockefeller Agreement and agreements with Gilead Sciences and Duke University pursuant to which the Company performs manufacturing and research and development services on a time-and-materials basis or at a negotiated fixed-price. The Company recognized $4.5 million, $2.6 million and $3.2 million in revenue under these agreements during the years ended December 31, 2020, 2019 and 2018, respectively.</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During the third quarter of 2020, the Company was awarded a Small Business Innovation Research (“SBIR”) grant from the National Institutes of Health (NIH) to support the Company’s CDX-1140 and CDX-301 programs. The Company recognized $0.4 million in grant revenue under the award during the year ended December 31, 2020.</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Contract Assets and Liabilities</w:t>
      </w:r>
    </w:p>
    <w:p>
      <w:pPr>
        <w:spacing w:after="0" w:line="144" w:lineRule="exact"/>
        <w:rPr>
          <w:sz w:val="20"/>
          <w:szCs w:val="20"/>
          <w:color w:val="auto"/>
        </w:rPr>
      </w:pPr>
    </w:p>
    <w:p>
      <w:pPr>
        <w:ind w:left="1260" w:right="619" w:firstLine="360"/>
        <w:spacing w:after="0" w:line="293" w:lineRule="auto"/>
        <w:rPr>
          <w:sz w:val="20"/>
          <w:szCs w:val="20"/>
          <w:color w:val="auto"/>
        </w:rPr>
      </w:pPr>
      <w:r>
        <w:rPr>
          <w:rFonts w:ascii="Arial" w:cs="Arial" w:eastAsia="Arial" w:hAnsi="Arial"/>
          <w:sz w:val="16"/>
          <w:szCs w:val="16"/>
          <w:color w:val="auto"/>
        </w:rPr>
        <w:t>At December 31, 2020 and 2019, the Company’s right to consideration under all contracts was considered unconditional, and as such, there were no recorded contract assets. At December 31, 2020, the Company had $3.4 million in contract liabilities recorded, which is expected to be recognized during the next 12 months as manufacturing and research and development services are performed. At December 31, 2019, the Company had $0.3 million in contract liabilities recorded. Revenue recognized from contract liabilities as of December 31, 2019 during the year ended December 31, 2020 was $0.2 million.</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Collaboration Agreements</w:t>
      </w:r>
    </w:p>
    <w:p>
      <w:pPr>
        <w:spacing w:after="0" w:line="162" w:lineRule="exact"/>
        <w:rPr>
          <w:sz w:val="20"/>
          <w:szCs w:val="20"/>
          <w:color w:val="auto"/>
        </w:rPr>
      </w:pPr>
    </w:p>
    <w:p>
      <w:pPr>
        <w:ind w:left="1260" w:right="579" w:firstLine="360"/>
        <w:spacing w:after="0" w:line="272" w:lineRule="auto"/>
        <w:rPr>
          <w:sz w:val="20"/>
          <w:szCs w:val="20"/>
          <w:color w:val="auto"/>
        </w:rPr>
      </w:pPr>
      <w:r>
        <w:rPr>
          <w:rFonts w:ascii="Arial" w:cs="Arial" w:eastAsia="Arial" w:hAnsi="Arial"/>
          <w:sz w:val="17"/>
          <w:szCs w:val="17"/>
          <w:color w:val="auto"/>
        </w:rPr>
        <w:t>The Company has entered into license agreements whereby the Company has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Nonrefundable license fee expense of $0.2 million, $0.1 million and $0.7 million was recorded to research and development expense for the years ended December 31, 2020, 2019 and 2018, respectively.</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158"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Under a license agreement with Southampton, the Company acquired the rights to develop human antibodies towards CD27, a potentially important target for immunotherapy of various cancers. The Company may be required to pay Southampton milestones of up to approximately $1.0 million upon obtaining first approval for commercial sale in a first indication and royalty payments in the low-single digits on any net product sales with respect to development and commercialization of CDX-527.</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Amgen Inc. (Amgen)</w:t>
      </w:r>
    </w:p>
    <w:p>
      <w:pPr>
        <w:spacing w:after="0" w:line="14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Under a license agreement with Amgen, the Company acquired the exclusive rights to CDX-301 and CD40 ligand, or CD40L. CDX-301 and CD40L are immune modulating molecules that increase the numbers and activity of immune cells that control immune responses. The Company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Yale University (Yale)</w:t>
      </w:r>
    </w:p>
    <w:p>
      <w:pPr>
        <w:spacing w:after="0" w:line="158"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Under a license agreement with Yale, the Company may be required to make a one-time payment to Yale of $3.0 million with respect to each therapeutic or prophylactic RTK royalty-bearing product, including CDX-0159, that achieves a specified commercial milestone. In addition, the Company may be required to pay a low single-digit royalty on annual worldwide net sales of each RTK royalty-bearing product, including CDX-0159. Unless earlier terminated by us or Yale, the Yale license agreement is due to expire no later than May 2038 but may expire earlier on a country by country basis under specified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Income Taxes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components of income tax benefit (provision) are as follows: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9"/>
              </w:rPr>
              <w:t>Year Ended December 31,</w:t>
            </w:r>
          </w:p>
        </w:tc>
      </w:tr>
      <w:tr>
        <w:trPr>
          <w:trHeight w:val="26"/>
        </w:trPr>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r>
      <w:tr>
        <w:trPr>
          <w:trHeight w:val="26"/>
        </w:trPr>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504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16,615</w:t>
            </w:r>
          </w:p>
        </w:tc>
        <w:tc>
          <w:tcPr>
            <w:tcW w:w="1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13,869</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22,255</w:t>
            </w:r>
          </w:p>
        </w:tc>
        <w:tc>
          <w:tcPr>
            <w:tcW w:w="60" w:type="dxa"/>
            <w:vAlign w:val="bottom"/>
          </w:tcPr>
          <w:p>
            <w:pPr>
              <w:spacing w:after="0"/>
              <w:rPr>
                <w:sz w:val="22"/>
                <w:szCs w:val="22"/>
                <w:color w:val="auto"/>
              </w:rPr>
            </w:pPr>
          </w:p>
        </w:tc>
      </w:tr>
      <w:tr>
        <w:trPr>
          <w:trHeight w:val="257"/>
        </w:trPr>
        <w:tc>
          <w:tcPr>
            <w:tcW w:w="5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60" w:type="dxa"/>
            <w:vAlign w:val="bottom"/>
          </w:tcPr>
          <w:p>
            <w:pPr>
              <w:spacing w:after="0"/>
              <w:rPr>
                <w:sz w:val="22"/>
                <w:szCs w:val="22"/>
                <w:color w:val="auto"/>
              </w:rPr>
            </w:pPr>
          </w:p>
        </w:tc>
      </w:tr>
      <w:tr>
        <w:trPr>
          <w:trHeight w:val="256"/>
        </w:trPr>
        <w:tc>
          <w:tcPr>
            <w:tcW w:w="5040" w:type="dxa"/>
            <w:vAlign w:val="bottom"/>
          </w:tcPr>
          <w:p>
            <w:pPr>
              <w:ind w:left="18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913</w:t>
            </w:r>
          </w:p>
        </w:tc>
        <w:tc>
          <w:tcPr>
            <w:tcW w:w="60" w:type="dxa"/>
            <w:vAlign w:val="bottom"/>
          </w:tcPr>
          <w:p>
            <w:pPr>
              <w:spacing w:after="0"/>
              <w:rPr>
                <w:sz w:val="22"/>
                <w:szCs w:val="22"/>
                <w:color w:val="auto"/>
              </w:rPr>
            </w:pPr>
          </w:p>
        </w:tc>
      </w:tr>
      <w:tr>
        <w:trPr>
          <w:trHeight w:val="263"/>
        </w:trPr>
        <w:tc>
          <w:tcPr>
            <w:tcW w:w="5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Expiration of NOLs and R&amp;D credit</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(20,294)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(18,966)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5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29,574</w:t>
            </w:r>
          </w:p>
        </w:tc>
        <w:tc>
          <w:tcPr>
            <w:tcW w:w="60" w:type="dxa"/>
            <w:vAlign w:val="bottom"/>
          </w:tcPr>
          <w:p>
            <w:pPr>
              <w:spacing w:after="0"/>
              <w:rPr>
                <w:sz w:val="22"/>
                <w:szCs w:val="22"/>
                <w:color w:val="auto"/>
              </w:rPr>
            </w:pPr>
          </w:p>
        </w:tc>
      </w:tr>
      <w:tr>
        <w:trPr>
          <w:trHeight w:val="263"/>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(28,809)</w:t>
            </w:r>
          </w:p>
        </w:tc>
        <w:tc>
          <w:tcPr>
            <w:tcW w:w="60" w:type="dxa"/>
            <w:vAlign w:val="bottom"/>
          </w:tcPr>
          <w:p>
            <w:pPr>
              <w:spacing w:after="0"/>
              <w:rPr>
                <w:sz w:val="22"/>
                <w:szCs w:val="22"/>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22"/>
                <w:szCs w:val="22"/>
                <w:color w:val="auto"/>
              </w:rPr>
            </w:pPr>
          </w:p>
        </w:tc>
      </w:tr>
      <w:tr>
        <w:trPr>
          <w:trHeight w:val="27"/>
        </w:trPr>
        <w:tc>
          <w:tcPr>
            <w:tcW w:w="50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-1533525</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-1533525</wp:posOffset>
            </wp:positionV>
            <wp:extent cx="137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reconciliation between the amount of reported income tax and the amount computed using the U.S.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Statutory rate is as follows:</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90"/>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Pre-tax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(60,947)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(50,878)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(151,949)</w:t>
            </w:r>
          </w:p>
        </w:tc>
        <w:tc>
          <w:tcPr>
            <w:tcW w:w="60" w:type="dxa"/>
            <w:vAlign w:val="bottom"/>
          </w:tcPr>
          <w:p>
            <w:pPr>
              <w:spacing w:after="0"/>
              <w:rPr>
                <w:sz w:val="24"/>
                <w:szCs w:val="24"/>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4960" w:type="dxa"/>
            <w:vAlign w:val="bottom"/>
          </w:tcPr>
          <w:p>
            <w:pPr>
              <w:spacing w:after="0"/>
              <w:rPr>
                <w:sz w:val="20"/>
                <w:szCs w:val="20"/>
                <w:color w:val="auto"/>
              </w:rPr>
            </w:pPr>
            <w:r>
              <w:rPr>
                <w:rFonts w:ascii="Arial" w:cs="Arial" w:eastAsia="Arial" w:hAnsi="Arial"/>
                <w:sz w:val="18"/>
                <w:szCs w:val="18"/>
                <w:color w:val="auto"/>
              </w:rPr>
              <w:t>Loss at statutory rates</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(12,799)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(10,684)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(31,909)</w:t>
            </w:r>
          </w:p>
        </w:tc>
      </w:tr>
      <w:tr>
        <w:trPr>
          <w:trHeight w:val="257"/>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60" w:type="dxa"/>
            <w:vAlign w:val="bottom"/>
          </w:tcPr>
          <w:p>
            <w:pPr>
              <w:spacing w:after="0"/>
              <w:rPr>
                <w:sz w:val="22"/>
                <w:szCs w:val="22"/>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State taxes</w:t>
            </w:r>
          </w:p>
        </w:tc>
        <w:tc>
          <w:tcPr>
            <w:tcW w:w="10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(5,802)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(6,406)</w:t>
            </w:r>
          </w:p>
        </w:tc>
      </w:tr>
      <w:tr>
        <w:trPr>
          <w:trHeight w:val="256"/>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22"/>
                <w:szCs w:val="22"/>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Change in fair value remeasurement of contingent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consideration</w:t>
            </w: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(6,220)</w:t>
            </w:r>
          </w:p>
        </w:tc>
      </w:tr>
      <w:tr>
        <w:trPr>
          <w:trHeight w:val="263"/>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impairment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60" w:type="dxa"/>
            <w:vAlign w:val="bottom"/>
          </w:tcPr>
          <w:p>
            <w:pPr>
              <w:spacing w:after="0"/>
              <w:rPr>
                <w:sz w:val="22"/>
                <w:szCs w:val="22"/>
                <w:color w:val="auto"/>
              </w:rPr>
            </w:pPr>
          </w:p>
        </w:tc>
      </w:tr>
      <w:tr>
        <w:trPr>
          <w:trHeight w:val="256"/>
        </w:trPr>
        <w:tc>
          <w:tcPr>
            <w:tcW w:w="4960" w:type="dxa"/>
            <w:vAlign w:val="bottom"/>
          </w:tcPr>
          <w:p>
            <w:pPr>
              <w:spacing w:after="0"/>
              <w:rPr>
                <w:sz w:val="20"/>
                <w:szCs w:val="20"/>
                <w:color w:val="auto"/>
              </w:rPr>
            </w:pPr>
            <w:r>
              <w:rPr>
                <w:rFonts w:ascii="Arial" w:cs="Arial" w:eastAsia="Arial" w:hAnsi="Arial"/>
                <w:sz w:val="18"/>
                <w:szCs w:val="18"/>
                <w:color w:val="auto"/>
              </w:rPr>
              <w:t>Impact of pass-through entities</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(913)</w:t>
            </w:r>
          </w:p>
        </w:tc>
      </w:tr>
      <w:tr>
        <w:trPr>
          <w:trHeight w:val="257"/>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Expiration of NOLs and R&amp;D credit</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20,294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18,966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63"/>
        </w:trPr>
        <w:tc>
          <w:tcPr>
            <w:tcW w:w="49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28,809</w:t>
            </w:r>
          </w:p>
        </w:tc>
        <w:tc>
          <w:tcPr>
            <w:tcW w:w="60" w:type="dxa"/>
            <w:vAlign w:val="bottom"/>
          </w:tcPr>
          <w:p>
            <w:pPr>
              <w:spacing w:after="0"/>
              <w:rPr>
                <w:sz w:val="22"/>
                <w:szCs w:val="22"/>
                <w:color w:val="auto"/>
              </w:rPr>
            </w:pPr>
          </w:p>
        </w:tc>
      </w:tr>
      <w:tr>
        <w:trPr>
          <w:trHeight w:val="20"/>
        </w:trPr>
        <w:tc>
          <w:tcPr>
            <w:tcW w:w="49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3"/>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24"/>
                <w:szCs w:val="24"/>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-222250</wp:posOffset>
            </wp:positionV>
            <wp:extent cx="42773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-2185670</wp:posOffset>
            </wp:positionV>
            <wp:extent cx="137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-2185670</wp:posOffset>
            </wp:positionV>
            <wp:extent cx="137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Deferred tax assets and liabilities are recognized based on temporary differences between the financial reporting and tax basis of assets and liabilities using future expected enacted rates. The principal components of the deferred tax assets and liabilities at December 31, 2020 and 2019, respectively,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1"/>
              </w:rPr>
              <w:t>December 31,</w:t>
            </w:r>
          </w:p>
        </w:tc>
        <w:tc>
          <w:tcPr>
            <w:tcW w:w="9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6"/>
          </w:tcPr>
          <w:p>
            <w:pPr>
              <w:spacing w:after="0"/>
              <w:rPr>
                <w:sz w:val="2"/>
                <w:szCs w:val="2"/>
                <w:color w:val="auto"/>
              </w:rPr>
            </w:pPr>
          </w:p>
        </w:tc>
      </w:tr>
      <w:tr>
        <w:trPr>
          <w:trHeight w:val="197"/>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174,369</w:t>
            </w:r>
          </w:p>
        </w:tc>
        <w:tc>
          <w:tcPr>
            <w:tcW w:w="16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172,745</w:t>
            </w:r>
          </w:p>
        </w:tc>
        <w:tc>
          <w:tcPr>
            <w:tcW w:w="60" w:type="dxa"/>
            <w:vAlign w:val="bottom"/>
          </w:tcPr>
          <w:p>
            <w:pPr>
              <w:spacing w:after="0"/>
              <w:rPr>
                <w:sz w:val="22"/>
                <w:szCs w:val="22"/>
                <w:color w:val="auto"/>
              </w:rPr>
            </w:pPr>
          </w:p>
        </w:tc>
      </w:tr>
      <w:tr>
        <w:trPr>
          <w:trHeight w:val="257"/>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net operating loss carryforwards</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536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44,936</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42,642</w:t>
            </w:r>
          </w:p>
        </w:tc>
        <w:tc>
          <w:tcPr>
            <w:tcW w:w="60" w:type="dxa"/>
            <w:vAlign w:val="bottom"/>
          </w:tcPr>
          <w:p>
            <w:pPr>
              <w:spacing w:after="0"/>
              <w:rPr>
                <w:sz w:val="22"/>
                <w:szCs w:val="22"/>
                <w:color w:val="auto"/>
              </w:rPr>
            </w:pPr>
          </w:p>
        </w:tc>
      </w:tr>
      <w:tr>
        <w:trPr>
          <w:trHeight w:val="257"/>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research and development expenses</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63,215</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70,042</w:t>
            </w:r>
          </w:p>
        </w:tc>
        <w:tc>
          <w:tcPr>
            <w:tcW w:w="60" w:type="dxa"/>
            <w:vAlign w:val="bottom"/>
            <w:shd w:val="clear" w:color="auto" w:fill="CCEEFF"/>
          </w:tcPr>
          <w:p>
            <w:pPr>
              <w:spacing w:after="0"/>
              <w:rPr>
                <w:sz w:val="22"/>
                <w:szCs w:val="22"/>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13,196</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12,651</w:t>
            </w:r>
          </w:p>
        </w:tc>
        <w:tc>
          <w:tcPr>
            <w:tcW w:w="60" w:type="dxa"/>
            <w:vAlign w:val="bottom"/>
          </w:tcPr>
          <w:p>
            <w:pPr>
              <w:spacing w:after="0"/>
              <w:rPr>
                <w:sz w:val="22"/>
                <w:szCs w:val="22"/>
                <w:color w:val="auto"/>
              </w:rPr>
            </w:pPr>
          </w:p>
        </w:tc>
      </w:tr>
      <w:tr>
        <w:trPr>
          <w:trHeight w:val="257"/>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60" w:type="dxa"/>
            <w:vAlign w:val="bottom"/>
            <w:shd w:val="clear" w:color="auto" w:fill="CCEEFF"/>
          </w:tcPr>
          <w:p>
            <w:pPr>
              <w:spacing w:after="0"/>
              <w:rPr>
                <w:sz w:val="22"/>
                <w:szCs w:val="22"/>
                <w:color w:val="auto"/>
              </w:rPr>
            </w:pPr>
          </w:p>
        </w:tc>
      </w:tr>
      <w:tr>
        <w:trPr>
          <w:trHeight w:val="26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60" w:type="dxa"/>
            <w:vAlign w:val="bottom"/>
            <w:tcBorders>
              <w:bottom w:val="single" w:sz="8" w:color="CCEEFF"/>
            </w:tcBorders>
          </w:tcPr>
          <w:p>
            <w:pPr>
              <w:spacing w:after="0"/>
              <w:rPr>
                <w:sz w:val="22"/>
                <w:szCs w:val="22"/>
                <w:color w:val="auto"/>
              </w:rPr>
            </w:pPr>
          </w:p>
        </w:tc>
      </w:tr>
      <w:tr>
        <w:trPr>
          <w:trHeight w:val="257"/>
        </w:trPr>
        <w:tc>
          <w:tcPr>
            <w:tcW w:w="536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297,344</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300,167</w:t>
            </w:r>
          </w:p>
        </w:tc>
        <w:tc>
          <w:tcPr>
            <w:tcW w:w="60" w:type="dxa"/>
            <w:vAlign w:val="bottom"/>
            <w:shd w:val="clear" w:color="auto" w:fill="CCEEFF"/>
          </w:tcPr>
          <w:p>
            <w:pPr>
              <w:spacing w:after="0"/>
              <w:rPr>
                <w:sz w:val="22"/>
                <w:szCs w:val="22"/>
                <w:color w:val="auto"/>
              </w:rPr>
            </w:pPr>
          </w:p>
        </w:tc>
      </w:tr>
      <w:tr>
        <w:trPr>
          <w:trHeight w:val="256"/>
        </w:trPr>
        <w:tc>
          <w:tcPr>
            <w:tcW w:w="5360" w:type="dxa"/>
            <w:vAlign w:val="bottom"/>
          </w:tcPr>
          <w:p>
            <w:pPr>
              <w:spacing w:after="0"/>
              <w:rPr>
                <w:sz w:val="20"/>
                <w:szCs w:val="20"/>
                <w:color w:val="auto"/>
              </w:rPr>
            </w:pPr>
            <w:r>
              <w:rPr>
                <w:rFonts w:ascii="Arial" w:cs="Arial" w:eastAsia="Arial" w:hAnsi="Arial"/>
                <w:sz w:val="18"/>
                <w:szCs w:val="18"/>
                <w:color w:val="auto"/>
              </w:rPr>
              <w:t>Gross deferred tax liabilities</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IPR&amp;D intangibles</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(12,748)</w:t>
            </w:r>
          </w:p>
        </w:tc>
      </w:tr>
      <w:tr>
        <w:trPr>
          <w:trHeight w:val="263"/>
        </w:trPr>
        <w:tc>
          <w:tcPr>
            <w:tcW w:w="53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deferred tax assets and liabilities</w:t>
            </w:r>
          </w:p>
        </w:tc>
        <w:tc>
          <w:tcPr>
            <w:tcW w:w="2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289,542</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287,419</w:t>
            </w:r>
          </w:p>
        </w:tc>
        <w:tc>
          <w:tcPr>
            <w:tcW w:w="60" w:type="dxa"/>
            <w:vAlign w:val="bottom"/>
            <w:tcBorders>
              <w:bottom w:val="single" w:sz="8" w:color="CCEEFF"/>
            </w:tcBorders>
          </w:tcPr>
          <w:p>
            <w:pPr>
              <w:spacing w:after="0"/>
              <w:rPr>
                <w:sz w:val="22"/>
                <w:szCs w:val="22"/>
                <w:color w:val="auto"/>
              </w:rPr>
            </w:pPr>
          </w:p>
        </w:tc>
      </w:tr>
      <w:tr>
        <w:trPr>
          <w:trHeight w:val="26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(291,382)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(290,426)</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36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(3,007)</w:t>
            </w:r>
          </w:p>
        </w:tc>
      </w:tr>
      <w:tr>
        <w:trPr>
          <w:trHeight w:val="21"/>
        </w:trPr>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-222250</wp:posOffset>
            </wp:positionV>
            <wp:extent cx="342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-401955</wp:posOffset>
            </wp:positionV>
            <wp:extent cx="47491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-582295</wp:posOffset>
            </wp:positionV>
            <wp:extent cx="342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-1087755</wp:posOffset>
            </wp:positionV>
            <wp:extent cx="47491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-2553970</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w:t>
      </w:r>
    </w:p>
    <w:p>
      <w:pPr>
        <w:spacing w:after="0" w:line="107"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7"/>
          <w:szCs w:val="17"/>
          <w:color w:val="auto"/>
        </w:rPr>
        <w:t>In response to COVID-19, the Coronavirus Aid, Relief, and Economic Security Act (the “CARES Act”) was enacted on March 27, 2020. Among other provisions, the CARES Act included (i) the ability to use net operating losses to offset income without the 80% taxable income limitation enacted as part of the Tax Cuts and Jobs Act (“TCJA”) for net operating losses incurred in the 2018, 2019 or 2020 tax years; and</w:t>
      </w:r>
    </w:p>
    <w:p>
      <w:pPr>
        <w:spacing w:after="0" w:line="2" w:lineRule="exact"/>
        <w:rPr>
          <w:sz w:val="20"/>
          <w:szCs w:val="20"/>
          <w:color w:val="auto"/>
        </w:rPr>
      </w:pPr>
    </w:p>
    <w:p>
      <w:pPr>
        <w:ind w:left="1260" w:right="439"/>
        <w:spacing w:after="0" w:line="238" w:lineRule="auto"/>
        <w:tabs>
          <w:tab w:leader="none" w:pos="15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ability to claim a current deduction for interest expense up to 50% of adjusted taxable income for the 2019 and 2020 tax years (rather than 30% of adjusted taxable income pursuant to the TCJA). We do not expect that any of the provisions of the CARES Act will result in a material impact to the financial statements.</w:t>
      </w:r>
    </w:p>
    <w:p>
      <w:pPr>
        <w:spacing w:after="0" w:line="121"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7"/>
          <w:szCs w:val="17"/>
          <w:color w:val="auto"/>
        </w:rPr>
        <w:t>The net deferred tax liability of $1.8 million and $3.0 million at December 31, 2020 and 2019, respectively, relates to the temporary differences associated with the IPR&amp;D intangible assets acquired in previous business combinations and are not deductible for tax purposes. The Company recorded an income tax benefit of $1.2 million during the year ended December 31, 2020 due to a decrease in deferred tax liabilities resulting from the impairment of the CDX -3379 IPR&amp;D asset in the second quarter of 2020 and the partial impairment of the TAM program IPR&amp;D asset in the fourth quarter of 2020. The Company recorded an income tax benefit of $0.8 million during the year ended December 31, 2018 due to a decrease in deferred tax liabilities resulting from the partial impairment of the anti-KIT program.</w:t>
      </w:r>
    </w:p>
    <w:p>
      <w:pPr>
        <w:spacing w:after="0" w:line="11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As of December 31, 2020, the Company had federal and state net operating loss carryforwards of</w:t>
      </w:r>
    </w:p>
    <w:p>
      <w:pPr>
        <w:spacing w:after="0" w:line="12"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$611.0 million and $704.8 million, respectively, which may be available to offset certain future income tax liabilities and begin to expire in 2021 and 2028, respectively. Of the federal net operating loss carryforwards of $611.0 million, approximately $214.8 million are from 2018, 2019 and 2020 and have no expiration date. As of December 31, 2020, the Company also had federal and state research and development tax credit carryforwards of $35.1 million and $12.4 million, respectively, which may be available to offset future income tax liabilities and begin to expire in 2021 and 2020, respectively.</w:t>
      </w:r>
    </w:p>
    <w:p>
      <w:pPr>
        <w:spacing w:after="0" w:line="10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7"/>
          <w:szCs w:val="17"/>
          <w:color w:val="auto"/>
        </w:rPr>
        <w:t>Utilization of the net operating loss carryforwards and research and credit carryforwards may be subject to a substantial annual limitation under Section 382 of the Internal Revenue Code of 1986, or Section 382, due to ownership changes that occurred previously or that could occur in the future. These ownership changes may limit the amount of carryforwards that can be utilized annually to offset future taxable income. In general, an ownership change, as defined by Section 382, results from transactions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increasing the ownership of certain shareholders or public groups in the stock of a corporation by more than 50% over a three-year period. The Company has estimated the amounts of net operating loss and research and development tax credit carryforwards which will expire unutilized as a result of its estimated annual limitations under Section 382 and has excluded those amounts from the carryforward amounts disclosed above and in the deferred tax assets and liabilities table included in this footnote. The Company has concluded Section 382 studies through 2015 for Celldex generated NOLs.</w:t>
      </w:r>
    </w:p>
    <w:p>
      <w:pPr>
        <w:spacing w:after="0" w:line="97"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Beginning with the 2016 tax returns, the Company elected to classify the Australian entity as a disregarded entity for income tax purposes. The foreign pre-tax losses have been included with the Federal net operating loss carryforwards. In 2019 the Australian Subsidiary was liquidated and $14.9 million of Foreign Net Operating Loss Carryovers related to the foreign subsidiary were written off.</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2020 and 2019, the Company did not have any unrecognized tax benefits.</w:t>
      </w:r>
    </w:p>
    <w:p>
      <w:pPr>
        <w:spacing w:after="0" w:line="158"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Massachusetts, New Jersey, New York and Connecticut are the jurisdictions in which the Company primarily operates or has operated and has income tax nexus. The Company is not currently under examination by these or any other jurisdictions for any tax year. Generally, in U.S. federal and state taxing jurisdictions, all years which generated net operating losses and/or tax credit carryforwards remain subject to examination to the extent those carryforwards are utilized in a subsequent period.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Retirement Savings Plan</w:t>
      </w:r>
    </w:p>
    <w:p>
      <w:pPr>
        <w:spacing w:after="0" w:line="148"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The Company maintains a 401(k) Plan which is available to substantially all employees. Under the terms of the 401(k) Plan, participants may elect to contribute up to 60% of their compensation or the statutory prescribed limits. The Company may make 50% matching contributions on up to 4% of a participant’s annual salary. Benefit expense for the 401(k) Plan was $0.3 million, $0.3 million and $0.4 million for the years ended December 31, 2020, 2019 and 2018, respectively.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Kolltan Acquisition</w:t>
      </w:r>
    </w:p>
    <w:p>
      <w:pPr>
        <w:spacing w:after="0" w:line="1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On November 29, 2016, the Company acquired all of the share and debt interests of Kolltan Pharmaceuticals, Inc. (“Kolltan”), a clinical-stage biopharmaceutical company, in exchange for 1,217,200 shares of the Company’s common stock plus contingent consideration in the form of development, regulatory approval and sales-based milestones (“Kolltan Milestones”) of up to $172.5 million. The Kolltan Milestone payments, if any, may be made, at Celldex’s sole election, in cash, in shares of Celldex’s common stock or a combination of both, subject to provisions of the Merger Agreement. Certain Kolltan Milestones related to the METRIC clinical study, TAM partnership closing within two years of the acquisition, CDX-3379 and CDX-0158 have been abandoned and, because of this, as of December 31, 2020, the Company believes that the adjusted amount we may be required to pay for future consideration is up to $107.5 million contingent upon the achievement of the Kolltan Milestones.</w:t>
      </w:r>
    </w:p>
    <w:p>
      <w:pPr>
        <w:spacing w:after="0" w:line="11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In October 2019, the Company received a letter from Shareholder Representative Services LLC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 The Company disagrees with their objection and believes their objection to be without merit.</w:t>
      </w:r>
    </w:p>
    <w:p>
      <w:pPr>
        <w:spacing w:after="0" w:line="111"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7"/>
          <w:szCs w:val="17"/>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Specifically, Celldex sought the entry of an order declaring that:</w:t>
      </w:r>
    </w:p>
    <w:p>
      <w:pPr>
        <w:spacing w:after="0" w:line="109" w:lineRule="exact"/>
        <w:rPr>
          <w:sz w:val="20"/>
          <w:szCs w:val="20"/>
          <w:color w:val="auto"/>
        </w:rPr>
      </w:pPr>
    </w:p>
    <w:p>
      <w:pPr>
        <w:ind w:left="1980" w:right="1079" w:hanging="360"/>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Celldex’s determination to discontinue the development of CDX-0158 (formerly known as KTN0158) was proper and valid under the Merger Agreement;</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Milestone Abandonment Notice dated December 5, 2018 from Celldex was valid and effective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779"/>
        <w:spacing w:after="0" w:line="308" w:lineRule="auto"/>
        <w:rPr>
          <w:sz w:val="20"/>
          <w:szCs w:val="20"/>
          <w:color w:val="auto"/>
        </w:rPr>
      </w:pPr>
      <w:r>
        <w:rPr>
          <w:rFonts w:ascii="Arial" w:cs="Arial" w:eastAsia="Arial" w:hAnsi="Arial"/>
          <w:sz w:val="17"/>
          <w:szCs w:val="17"/>
          <w:color w:val="auto"/>
        </w:rPr>
        <w:t>under the Merger Agreement and that the “Successful Completion of Phase I Clinical Trial for KTN0158” Milestone has not been achieved and has properly been abandoned; and</w:t>
      </w:r>
    </w:p>
    <w:p>
      <w:pPr>
        <w:spacing w:after="0" w:line="65" w:lineRule="exact"/>
        <w:rPr>
          <w:sz w:val="20"/>
          <w:szCs w:val="20"/>
          <w:color w:val="auto"/>
        </w:rPr>
      </w:pPr>
    </w:p>
    <w:p>
      <w:pPr>
        <w:ind w:left="1980" w:right="699" w:hanging="360"/>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the Merger Agreement, the CDX-0159 program is not a program that results in milestone payments under the Merger Agreement.</w:t>
      </w:r>
    </w:p>
    <w:p>
      <w:pPr>
        <w:spacing w:after="0" w:line="103"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CDX-0159 program is in essence an extension of the CDX-0158 (formerly KTN0158) program. The case remains ongoing and we are currently unable to predict or estimate the outcome of this matter. The case is currently scheduled for trial in 2022.</w:t>
      </w:r>
    </w:p>
    <w:p>
      <w:pPr>
        <w:spacing w:after="0" w:line="125"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Following the Company’s discontinuation of the CDX-3379 program, the Company sent a milestone abandonment notice to SRS with respect to Kolltan Milestones related to the CDX-3379 program. In October 2020, the Company received notice that SRS has objected to that notice, seeking further information from the Company.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(18) Selected Quarterly Financial Data (Unaudited)</w:t>
      </w:r>
    </w:p>
    <w:p>
      <w:pPr>
        <w:sectPr>
          <w:pgSz w:w="11900" w:h="16838" w:orient="portrait"/>
          <w:cols w:equalWidth="0" w:num="1">
            <w:col w:w="9879"/>
          </w:cols>
          <w:pgMar w:left="580" w:top="131" w:right="1440" w:bottom="1440" w:gutter="0" w:footer="0" w:header="0"/>
        </w:sectPr>
      </w:pPr>
    </w:p>
    <w:p>
      <w:pPr>
        <w:spacing w:after="0" w:line="167"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186690</wp:posOffset>
            </wp:positionV>
            <wp:extent cx="4749165" cy="162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32385</wp:posOffset>
            </wp:positionV>
            <wp:extent cx="25031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revenue</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Basic and diluted net loss per common share</w:t>
      </w:r>
    </w:p>
    <w:p>
      <w:pPr>
        <w:spacing w:after="0" w:line="240"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186690</wp:posOffset>
            </wp:positionV>
            <wp:extent cx="4749165" cy="1631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32385</wp:posOffset>
            </wp:positionV>
            <wp:extent cx="25031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revenue</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Basic and diluted net loss per common share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80"/>
        <w:spacing w:after="0"/>
        <w:tabs>
          <w:tab w:leader="none" w:pos="940" w:val="left"/>
          <w:tab w:leader="none" w:pos="1820" w:val="left"/>
          <w:tab w:leader="none" w:pos="2720" w:val="left"/>
        </w:tabs>
        <w:rPr>
          <w:sz w:val="20"/>
          <w:szCs w:val="20"/>
          <w:color w:val="auto"/>
        </w:rPr>
      </w:pPr>
      <w:r>
        <w:rPr>
          <w:rFonts w:ascii="Arial" w:cs="Arial" w:eastAsia="Arial" w:hAnsi="Arial"/>
          <w:sz w:val="14"/>
          <w:szCs w:val="14"/>
          <w:b w:val="1"/>
          <w:bCs w:val="1"/>
          <w:color w:val="auto"/>
        </w:rPr>
        <w:t>Q1 2020</w:t>
      </w:r>
      <w:r>
        <w:rPr>
          <w:sz w:val="20"/>
          <w:szCs w:val="20"/>
          <w:color w:val="auto"/>
        </w:rPr>
        <w:tab/>
      </w:r>
      <w:r>
        <w:rPr>
          <w:rFonts w:ascii="Arial" w:cs="Arial" w:eastAsia="Arial" w:hAnsi="Arial"/>
          <w:sz w:val="14"/>
          <w:szCs w:val="14"/>
          <w:b w:val="1"/>
          <w:bCs w:val="1"/>
          <w:color w:val="auto"/>
        </w:rPr>
        <w:t>Q2 2020</w:t>
      </w:r>
      <w:r>
        <w:rPr>
          <w:sz w:val="20"/>
          <w:szCs w:val="20"/>
          <w:color w:val="auto"/>
        </w:rPr>
        <w:tab/>
      </w:r>
      <w:r>
        <w:rPr>
          <w:rFonts w:ascii="Arial" w:cs="Arial" w:eastAsia="Arial" w:hAnsi="Arial"/>
          <w:sz w:val="14"/>
          <w:szCs w:val="14"/>
          <w:b w:val="1"/>
          <w:bCs w:val="1"/>
          <w:color w:val="auto"/>
        </w:rPr>
        <w:t>Q3 2020</w:t>
      </w:r>
      <w:r>
        <w:rPr>
          <w:sz w:val="20"/>
          <w:szCs w:val="20"/>
          <w:color w:val="auto"/>
        </w:rPr>
        <w:tab/>
      </w:r>
      <w:r>
        <w:rPr>
          <w:rFonts w:ascii="Arial" w:cs="Arial" w:eastAsia="Arial" w:hAnsi="Arial"/>
          <w:sz w:val="12"/>
          <w:szCs w:val="12"/>
          <w:b w:val="1"/>
          <w:bCs w:val="1"/>
          <w:color w:val="auto"/>
        </w:rPr>
        <w:t>Q4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21177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17725" cy="8255"/>
                    </a:xfrm>
                    <a:prstGeom prst="rect">
                      <a:avLst/>
                    </a:prstGeom>
                    <a:noFill/>
                  </pic:spPr>
                </pic:pic>
              </a:graphicData>
            </a:graphic>
          </wp:anchor>
        </w:drawing>
      </w:r>
    </w:p>
    <w:p>
      <w:pPr>
        <w:spacing w:after="0" w:line="62" w:lineRule="exact"/>
        <w:rPr>
          <w:sz w:val="20"/>
          <w:szCs w:val="20"/>
          <w:color w:val="auto"/>
        </w:rPr>
      </w:pPr>
    </w:p>
    <w:p>
      <w:pPr>
        <w:jc w:val="center"/>
        <w:ind w:right="799"/>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77" w:lineRule="exact"/>
        <w:rPr>
          <w:sz w:val="20"/>
          <w:szCs w:val="20"/>
          <w:color w:val="auto"/>
        </w:rPr>
      </w:pPr>
    </w:p>
    <w:p>
      <w:pPr>
        <w:ind w:left="260" w:hanging="257"/>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2,728   $   236   $   668   $  3,786</w:t>
      </w:r>
    </w:p>
    <w:p>
      <w:pPr>
        <w:spacing w:after="0" w:line="49"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(12,625)   (11,031)   (14,224)   (21,900)</w:t>
      </w:r>
    </w:p>
    <w:p>
      <w:pPr>
        <w:spacing w:after="0" w:line="63" w:lineRule="exact"/>
        <w:rPr>
          <w:sz w:val="20"/>
          <w:szCs w:val="20"/>
          <w:color w:val="auto"/>
        </w:rPr>
      </w:pPr>
    </w:p>
    <w:p>
      <w:pPr>
        <w:ind w:left="280"/>
        <w:spacing w:after="0"/>
        <w:tabs>
          <w:tab w:leader="none" w:pos="1140" w:val="left"/>
          <w:tab w:leader="none" w:pos="2040" w:val="left"/>
          <w:tab w:leader="none" w:pos="2920" w:val="left"/>
        </w:tabs>
        <w:rPr>
          <w:sz w:val="20"/>
          <w:szCs w:val="20"/>
          <w:color w:val="auto"/>
        </w:rPr>
      </w:pPr>
      <w:r>
        <w:rPr>
          <w:rFonts w:ascii="Arial" w:cs="Arial" w:eastAsia="Arial" w:hAnsi="Arial"/>
          <w:sz w:val="18"/>
          <w:szCs w:val="18"/>
          <w:color w:val="auto"/>
        </w:rPr>
        <w:t>(0.73)</w:t>
      </w:r>
      <w:r>
        <w:rPr>
          <w:sz w:val="20"/>
          <w:szCs w:val="20"/>
          <w:color w:val="auto"/>
        </w:rPr>
        <w:tab/>
      </w:r>
      <w:r>
        <w:rPr>
          <w:rFonts w:ascii="Arial" w:cs="Arial" w:eastAsia="Arial" w:hAnsi="Arial"/>
          <w:sz w:val="18"/>
          <w:szCs w:val="18"/>
          <w:color w:val="auto"/>
        </w:rPr>
        <w:t>(0.50)</w:t>
      </w:r>
      <w:r>
        <w:rPr>
          <w:sz w:val="20"/>
          <w:szCs w:val="20"/>
          <w:color w:val="auto"/>
        </w:rPr>
        <w:tab/>
      </w:r>
      <w:r>
        <w:rPr>
          <w:rFonts w:ascii="Arial" w:cs="Arial" w:eastAsia="Arial" w:hAnsi="Arial"/>
          <w:sz w:val="18"/>
          <w:szCs w:val="18"/>
          <w:color w:val="auto"/>
        </w:rPr>
        <w:t>(0.36)</w:t>
      </w:r>
      <w:r>
        <w:rPr>
          <w:sz w:val="20"/>
          <w:szCs w:val="20"/>
          <w:color w:val="auto"/>
        </w:rPr>
        <w:tab/>
      </w:r>
      <w:r>
        <w:rPr>
          <w:rFonts w:ascii="Arial" w:cs="Arial" w:eastAsia="Arial" w:hAnsi="Arial"/>
          <w:sz w:val="16"/>
          <w:szCs w:val="16"/>
          <w:color w:val="auto"/>
        </w:rPr>
        <w:t>(0.55)</w:t>
      </w:r>
    </w:p>
    <w:p>
      <w:pPr>
        <w:spacing w:after="0" w:line="217" w:lineRule="exact"/>
        <w:rPr>
          <w:sz w:val="20"/>
          <w:szCs w:val="20"/>
          <w:color w:val="auto"/>
        </w:rPr>
      </w:pPr>
    </w:p>
    <w:p>
      <w:pPr>
        <w:ind w:left="100"/>
        <w:spacing w:after="0"/>
        <w:tabs>
          <w:tab w:leader="none" w:pos="960" w:val="left"/>
          <w:tab w:leader="none" w:pos="1840" w:val="left"/>
          <w:tab w:leader="none" w:pos="2720" w:val="left"/>
        </w:tabs>
        <w:rPr>
          <w:sz w:val="20"/>
          <w:szCs w:val="20"/>
          <w:color w:val="auto"/>
        </w:rPr>
      </w:pPr>
      <w:r>
        <w:rPr>
          <w:rFonts w:ascii="Arial" w:cs="Arial" w:eastAsia="Arial" w:hAnsi="Arial"/>
          <w:sz w:val="14"/>
          <w:szCs w:val="14"/>
          <w:b w:val="1"/>
          <w:bCs w:val="1"/>
          <w:color w:val="auto"/>
        </w:rPr>
        <w:t>Q1 2019</w:t>
      </w:r>
      <w:r>
        <w:rPr>
          <w:sz w:val="20"/>
          <w:szCs w:val="20"/>
          <w:color w:val="auto"/>
        </w:rPr>
        <w:tab/>
      </w:r>
      <w:r>
        <w:rPr>
          <w:rFonts w:ascii="Arial" w:cs="Arial" w:eastAsia="Arial" w:hAnsi="Arial"/>
          <w:sz w:val="14"/>
          <w:szCs w:val="14"/>
          <w:b w:val="1"/>
          <w:bCs w:val="1"/>
          <w:color w:val="auto"/>
        </w:rPr>
        <w:t>Q2 2019</w:t>
      </w:r>
      <w:r>
        <w:rPr>
          <w:sz w:val="20"/>
          <w:szCs w:val="20"/>
          <w:color w:val="auto"/>
        </w:rPr>
        <w:tab/>
      </w:r>
      <w:r>
        <w:rPr>
          <w:rFonts w:ascii="Arial" w:cs="Arial" w:eastAsia="Arial" w:hAnsi="Arial"/>
          <w:sz w:val="14"/>
          <w:szCs w:val="14"/>
          <w:b w:val="1"/>
          <w:bCs w:val="1"/>
          <w:color w:val="auto"/>
        </w:rPr>
        <w:t>Q3 2019</w:t>
      </w:r>
      <w:r>
        <w:rPr>
          <w:sz w:val="20"/>
          <w:szCs w:val="20"/>
          <w:color w:val="auto"/>
        </w:rPr>
        <w:tab/>
      </w:r>
      <w:r>
        <w:rPr>
          <w:rFonts w:ascii="Arial" w:cs="Arial" w:eastAsia="Arial" w:hAnsi="Arial"/>
          <w:sz w:val="12"/>
          <w:szCs w:val="12"/>
          <w:b w:val="1"/>
          <w:bCs w:val="1"/>
          <w:color w:val="auto"/>
        </w:rPr>
        <w:t>Q4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2108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62" w:lineRule="exact"/>
        <w:rPr>
          <w:sz w:val="20"/>
          <w:szCs w:val="20"/>
          <w:color w:val="auto"/>
        </w:rPr>
      </w:pPr>
    </w:p>
    <w:p>
      <w:pPr>
        <w:jc w:val="center"/>
        <w:ind w:right="779"/>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77" w:lineRule="exact"/>
        <w:rPr>
          <w:sz w:val="20"/>
          <w:szCs w:val="20"/>
          <w:color w:val="auto"/>
        </w:rPr>
      </w:pPr>
    </w:p>
    <w:p>
      <w:pPr>
        <w:ind w:left="260" w:hanging="244"/>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1,425   $   715   $   546   $   887</w:t>
      </w:r>
    </w:p>
    <w:p>
      <w:pPr>
        <w:spacing w:after="0" w:line="4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(17,239)   (11,779)   (11,413)   (10,447)</w:t>
      </w:r>
    </w:p>
    <w:p>
      <w:pPr>
        <w:spacing w:after="0" w:line="63"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(1.40)(0.84)(0.75)</w:t>
      </w:r>
      <w:r>
        <w:rPr>
          <w:rFonts w:ascii="Arial" w:cs="Arial" w:eastAsia="Arial" w:hAnsi="Arial"/>
          <w:sz w:val="16"/>
          <w:szCs w:val="16"/>
          <w:color w:val="auto"/>
        </w:rPr>
        <w:t>(0.64)</w:t>
      </w:r>
    </w:p>
    <w:p>
      <w:pPr>
        <w:spacing w:after="0" w:line="200" w:lineRule="exact"/>
        <w:rPr>
          <w:sz w:val="20"/>
          <w:szCs w:val="20"/>
          <w:color w:val="auto"/>
        </w:rPr>
      </w:pPr>
    </w:p>
    <w:p>
      <w:pPr>
        <w:sectPr>
          <w:pgSz w:w="11900" w:h="16838" w:orient="portrait"/>
          <w:cols w:equalWidth="0" w:num="2">
            <w:col w:w="5060" w:space="720"/>
            <w:col w:w="409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80" w:right="899" w:hanging="719"/>
        <w:spacing w:after="0" w:line="282" w:lineRule="auto"/>
        <w:tabs>
          <w:tab w:leader="none" w:pos="196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58" w:lineRule="exact"/>
        <w:rPr>
          <w:sz w:val="20"/>
          <w:szCs w:val="20"/>
          <w:color w:val="auto"/>
        </w:rPr>
      </w:pPr>
    </w:p>
    <w:p>
      <w:pPr>
        <w:ind w:left="1260" w:right="779" w:firstLine="360"/>
        <w:spacing w:after="0" w:line="274" w:lineRule="auto"/>
        <w:rPr>
          <w:sz w:val="20"/>
          <w:szCs w:val="20"/>
          <w:color w:val="auto"/>
        </w:rPr>
      </w:pPr>
      <w:r>
        <w:rPr>
          <w:rFonts w:ascii="Arial" w:cs="Arial" w:eastAsia="Arial" w:hAnsi="Arial"/>
          <w:sz w:val="17"/>
          <w:szCs w:val="17"/>
          <w:color w:val="auto"/>
        </w:rPr>
        <w:t>As of December 31, 2020, we evaluated, with the participation of our Chief Executive Officer and Chief Financial Officer, the effectiveness of our disclosure controls and procedures (as defined in Rules</w:t>
      </w:r>
    </w:p>
    <w:p>
      <w:pPr>
        <w:ind w:left="1260" w:right="479"/>
        <w:spacing w:after="0" w:line="268" w:lineRule="auto"/>
        <w:rPr>
          <w:sz w:val="20"/>
          <w:szCs w:val="20"/>
          <w:color w:val="auto"/>
        </w:rPr>
      </w:pPr>
      <w:r>
        <w:rPr>
          <w:rFonts w:ascii="Arial" w:cs="Arial" w:eastAsia="Arial" w:hAnsi="Arial"/>
          <w:sz w:val="17"/>
          <w:szCs w:val="17"/>
          <w:color w:val="auto"/>
        </w:rPr>
        <w:t>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2020.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87" w:lineRule="exact"/>
        <w:rPr>
          <w:sz w:val="20"/>
          <w:szCs w:val="20"/>
          <w:color w:val="auto"/>
        </w:rPr>
      </w:pPr>
    </w:p>
    <w:p>
      <w:pPr>
        <w:ind w:left="1800" w:right="91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spacing w:after="0" w:line="62" w:lineRule="exact"/>
        <w:rPr>
          <w:rFonts w:ascii="Arial" w:cs="Arial" w:eastAsia="Arial" w:hAnsi="Arial"/>
          <w:sz w:val="18"/>
          <w:szCs w:val="18"/>
          <w:color w:val="auto"/>
        </w:rPr>
      </w:pPr>
    </w:p>
    <w:p>
      <w:pPr>
        <w:ind w:left="1800" w:right="639" w:hanging="180"/>
        <w:spacing w:after="0" w:line="259"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78"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reasonable assurance regarding the prevention or timely detection of unauthorized acquisition, use or disposition of assets that could have a material effect on our financial statements.</w:t>
      </w:r>
    </w:p>
    <w:p>
      <w:pPr>
        <w:spacing w:after="0" w:line="65"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our management concluded that our internal control over financial reporting was effective as of December 31, 2020.</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58"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2020 that have materially affected, or are reasonably likely to materially affect, our internal control over financial reporting.</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On March 25, 2021, we determined that a non-cash impairment charge of $14.5 million should be recorded for the three months ended December 31, 2020 related to our TAM program. The TAM program was acquired as part of our acquisition of Kolltan Pharmaceuticals, Inc. in the fourth quarter of 2016. We determined that the change in projected development and regulatory timelines for the TAM program constituted a triggering event that required us to evaluate the intangible asset for impairment. See Note 8 to the consolidated financial statements included elsewhere in this annual report on Form 10-K for further discussion of this impairment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8"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information required by this Item 10 will be included in the definitive Proxy Statement for our 2021 Annual Meeting of Stockholders, or the 2021 Proxy Statement, under “Information Regarding Our Current Directors and Executive Officers,” “Delinquent Section 16(a) Reports,” “Code of Business Conduct and Ethics” and “The Board of Directors and Its Committees” and is incorporated herein by reference. If the 2021 Proxy Statement is not filed with the SEC within 120 days after the end of our most recent fiscal year, we will provide such information by means of an amendment to this Annual Report on Form 10-K.</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11.  EXECUTIVE COMPENSATION</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The information required by this Item 11 will be included in the 2021 Proxy Statement under “Executive Compensation,” and “Compensation Committee Interlocks and Insider Participation,” and is incorporated herein by reference. If the 2021 Proxy Statement is not filed with the SEC within 120 days after the end of our most recent fiscal year, we will provide such information by means of an amendment to this Annual Report on Form 10-K.</w:t>
      </w:r>
    </w:p>
    <w:p>
      <w:pPr>
        <w:spacing w:after="0" w:line="184" w:lineRule="exact"/>
        <w:rPr>
          <w:sz w:val="20"/>
          <w:szCs w:val="20"/>
          <w:color w:val="auto"/>
        </w:rPr>
      </w:pPr>
    </w:p>
    <w:p>
      <w:pPr>
        <w:ind w:left="1980" w:right="599" w:hanging="71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8"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The information required by this Item 12 will be included in the 2021 Proxy Statement under “Security Ownership of Certain Beneficial Owners and Management” and “Equity Compensation Plan Information” and is incorporated herein by reference. If the 2021 Proxy Statement is not filed with the SEC within</w:t>
      </w:r>
    </w:p>
    <w:p>
      <w:pPr>
        <w:ind w:left="1260" w:right="899"/>
        <w:spacing w:after="0" w:line="260" w:lineRule="auto"/>
        <w:rPr>
          <w:sz w:val="20"/>
          <w:szCs w:val="20"/>
          <w:color w:val="auto"/>
        </w:rPr>
      </w:pPr>
      <w:r>
        <w:rPr>
          <w:rFonts w:ascii="Arial" w:cs="Arial" w:eastAsia="Arial" w:hAnsi="Arial"/>
          <w:sz w:val="18"/>
          <w:szCs w:val="18"/>
          <w:color w:val="auto"/>
        </w:rPr>
        <w:t>120 days after the end of our most recent fiscal year, we will provide such information by means of an amendment to this Annual Report on Form 10-K.</w:t>
      </w:r>
    </w:p>
    <w:p>
      <w:pPr>
        <w:spacing w:after="0" w:line="181" w:lineRule="exact"/>
        <w:rPr>
          <w:sz w:val="20"/>
          <w:szCs w:val="20"/>
          <w:color w:val="auto"/>
        </w:rPr>
      </w:pPr>
    </w:p>
    <w:p>
      <w:pPr>
        <w:ind w:left="1980" w:right="1479" w:hanging="71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5"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The information required by this Item 13 will be included in the 2021 Proxy Statement under “Election of Directors” and “Approval of Related Person Transactions and Transactions with Related Persons” and is incorporated herein by reference. If the 2021 Proxy Statement is not filed with the SEC within 120 days after the end of our most recent fiscal year, we will provide such information by means of an amendment to this Annual Report on Form 10-K.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2"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7"/>
          <w:szCs w:val="17"/>
          <w:color w:val="auto"/>
        </w:rPr>
        <w:t>The information required by this Item 14 will be included in the 2021 Proxy Statement under “Independent Registered Public Accounting Firm” and is incorporated herein by reference. If the 2021 Proxy Statement is not filed with the SEC within 120 days after the end of our most recent fiscal year, we will provide such information by means of an amendment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ind w:left="1260" w:right="3639"/>
        <w:spacing w:after="0" w:line="458" w:lineRule="auto"/>
        <w:rPr>
          <w:sz w:val="20"/>
          <w:szCs w:val="20"/>
          <w:color w:val="auto"/>
        </w:rPr>
      </w:pPr>
      <w:r>
        <w:rPr>
          <w:rFonts w:ascii="Arial" w:cs="Arial" w:eastAsia="Arial" w:hAnsi="Arial"/>
          <w:sz w:val="17"/>
          <w:szCs w:val="17"/>
          <w:b w:val="1"/>
          <w:bCs w:val="1"/>
          <w:color w:val="auto"/>
        </w:rPr>
        <w:t xml:space="preserve">Item 15. EXHIBITS, FINANCIAL STATEMENT SCHEDULES </w:t>
      </w:r>
      <w:r>
        <w:rPr>
          <w:rFonts w:ascii="Arial" w:cs="Arial" w:eastAsia="Arial" w:hAnsi="Arial"/>
          <w:sz w:val="17"/>
          <w:szCs w:val="17"/>
          <w:color w:val="auto"/>
        </w:rPr>
        <w:t>(A) The following documents are filed as part of this Form 10-K:</w:t>
      </w:r>
    </w:p>
    <w:p>
      <w:pPr>
        <w:ind w:left="1620"/>
        <w:spacing w:after="0"/>
        <w:tabs>
          <w:tab w:leader="none" w:pos="196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7"/>
          <w:szCs w:val="17"/>
          <w:i w:val="1"/>
          <w:iCs w:val="1"/>
          <w:color w:val="auto"/>
        </w:rPr>
        <w:t>Financial Statements: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Financial Statements and Supplementary Data are included in Part II Item 8 of this report.</w:t>
      </w:r>
    </w:p>
    <w:p>
      <w:pPr>
        <w:spacing w:after="0" w:line="158" w:lineRule="exact"/>
        <w:rPr>
          <w:sz w:val="20"/>
          <w:szCs w:val="20"/>
          <w:color w:val="auto"/>
        </w:rPr>
      </w:pPr>
    </w:p>
    <w:p>
      <w:pPr>
        <w:ind w:left="1620"/>
        <w:spacing w:after="0"/>
        <w:tabs>
          <w:tab w:leader="none" w:pos="196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6"/>
          <w:szCs w:val="16"/>
          <w:i w:val="1"/>
          <w:iCs w:val="1"/>
          <w:color w:val="auto"/>
        </w:rPr>
        <w:t>Financial Statement Schedules:</w:t>
      </w:r>
    </w:p>
    <w:p>
      <w:pPr>
        <w:spacing w:after="0" w:line="144" w:lineRule="exact"/>
        <w:rPr>
          <w:sz w:val="20"/>
          <w:szCs w:val="20"/>
          <w:color w:val="auto"/>
        </w:rPr>
      </w:pPr>
    </w:p>
    <w:p>
      <w:pPr>
        <w:jc w:val="both"/>
        <w:ind w:left="1260" w:right="839" w:firstLine="360"/>
        <w:spacing w:after="0" w:line="263" w:lineRule="auto"/>
        <w:rPr>
          <w:sz w:val="20"/>
          <w:szCs w:val="20"/>
          <w:color w:val="auto"/>
        </w:rPr>
      </w:pPr>
      <w:r>
        <w:rPr>
          <w:rFonts w:ascii="Arial" w:cs="Arial" w:eastAsia="Arial" w:hAnsi="Arial"/>
          <w:sz w:val="18"/>
          <w:szCs w:val="18"/>
          <w:color w:val="auto"/>
        </w:rPr>
        <w:t>Schedules are omitted since the required information is not applicable or is not present in amounts sufficient to require submission of the schedule, or because the information required is included in the Financial Statements or Notes thereto.</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20"/>
          </w:tcPr>
          <w:p>
            <w:pPr>
              <w:spacing w:after="0"/>
              <w:rPr>
                <w:sz w:val="20"/>
                <w:szCs w:val="20"/>
                <w:color w:val="auto"/>
              </w:rPr>
            </w:pPr>
            <w:r>
              <w:rPr>
                <w:rFonts w:ascii="Arial" w:cs="Arial" w:eastAsia="Arial" w:hAnsi="Arial"/>
                <w:sz w:val="18"/>
                <w:szCs w:val="18"/>
                <w:i w:val="1"/>
                <w:iCs w:val="1"/>
                <w:color w:val="auto"/>
              </w:rPr>
              <w:t>Exhibits:</w:t>
            </w:r>
          </w:p>
        </w:tc>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9"/>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40" w:type="dxa"/>
            <w:vAlign w:val="bottom"/>
            <w:gridSpan w:val="5"/>
          </w:tcPr>
          <w:p>
            <w:pPr>
              <w:ind w:left="560"/>
              <w:spacing w:after="0"/>
              <w:rPr>
                <w:sz w:val="20"/>
                <w:szCs w:val="20"/>
                <w:color w:val="auto"/>
              </w:rPr>
            </w:pPr>
            <w:r>
              <w:rPr>
                <w:rFonts w:ascii="Arial" w:cs="Arial" w:eastAsia="Arial" w:hAnsi="Arial"/>
                <w:sz w:val="14"/>
                <w:szCs w:val="14"/>
                <w:b w:val="1"/>
                <w:bCs w:val="1"/>
                <w:color w:val="auto"/>
              </w:rPr>
              <w:t>Incorporated by Reference to</w:t>
            </w:r>
          </w:p>
        </w:tc>
      </w:tr>
      <w:tr>
        <w:trPr>
          <w:trHeight w:val="26"/>
        </w:trPr>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7"/>
        </w:trPr>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Form and</w:t>
            </w:r>
          </w:p>
        </w:tc>
        <w:tc>
          <w:tcPr>
            <w:tcW w:w="6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SEC</w:t>
            </w:r>
          </w:p>
        </w:tc>
      </w:tr>
      <w:tr>
        <w:trPr>
          <w:trHeight w:val="186"/>
        </w:trPr>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No.</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20" w:type="dxa"/>
            <w:vAlign w:val="bottom"/>
            <w:gridSpan w:val="18"/>
          </w:tcPr>
          <w:p>
            <w:pPr>
              <w:ind w:left="80"/>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SEC File No.</w:t>
            </w:r>
          </w:p>
        </w:tc>
        <w:tc>
          <w:tcPr>
            <w:tcW w:w="6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Filing Date</w:t>
            </w:r>
          </w:p>
        </w:tc>
      </w:tr>
      <w:tr>
        <w:trPr>
          <w:trHeight w:val="26"/>
        </w:trPr>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9"/>
        </w:trPr>
        <w:tc>
          <w:tcPr>
            <w:tcW w:w="6840" w:type="dxa"/>
            <w:vAlign w:val="bottom"/>
            <w:gridSpan w:val="25"/>
          </w:tcPr>
          <w:p>
            <w:pPr>
              <w:spacing w:after="0"/>
              <w:rPr>
                <w:sz w:val="20"/>
                <w:szCs w:val="20"/>
                <w:color w:val="auto"/>
              </w:rPr>
            </w:pPr>
            <w:r>
              <w:rPr>
                <w:rFonts w:ascii="Arial" w:cs="Arial" w:eastAsia="Arial" w:hAnsi="Arial"/>
                <w:sz w:val="18"/>
                <w:szCs w:val="18"/>
                <w:i w:val="1"/>
                <w:iCs w:val="1"/>
                <w:color w:val="auto"/>
              </w:rPr>
              <w:t>Plan of Acquisition, Reorganization, Arrangement, Liquidation or Succession</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90"/>
        </w:trPr>
        <w:tc>
          <w:tcPr>
            <w:tcW w:w="640" w:type="dxa"/>
            <w:vAlign w:val="bottom"/>
          </w:tcPr>
          <w:p>
            <w:pPr>
              <w:jc w:val="right"/>
              <w:ind w:right="11"/>
              <w:spacing w:after="0" w:line="190"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tcBorders>
              <w:bottom w:val="single" w:sz="8" w:color="0000EE"/>
            </w:tcBorders>
            <w:gridSpan w:val="16"/>
          </w:tcPr>
          <w:p>
            <w:pPr>
              <w:spacing w:after="0" w:line="190" w:lineRule="exact"/>
              <w:rPr>
                <w:rFonts w:ascii="Arial" w:cs="Arial" w:eastAsia="Arial" w:hAnsi="Arial"/>
                <w:sz w:val="18"/>
                <w:szCs w:val="18"/>
                <w:color w:val="0000EE"/>
                <w:w w:val="93"/>
              </w:rPr>
            </w:pPr>
            <w:hyperlink r:id="rId282">
              <w:r>
                <w:rPr>
                  <w:rFonts w:ascii="Arial" w:cs="Arial" w:eastAsia="Arial" w:hAnsi="Arial"/>
                  <w:sz w:val="18"/>
                  <w:szCs w:val="18"/>
                  <w:color w:val="0000EE"/>
                  <w:w w:val="93"/>
                </w:rPr>
                <w:t>Agreement and Plan of Merger, dated as of November 1,</w:t>
              </w:r>
            </w:hyperlink>
          </w:p>
        </w:tc>
        <w:tc>
          <w:tcPr>
            <w:tcW w:w="32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54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7"/>
              </w:rPr>
              <w:t>2.1</w:t>
            </w:r>
          </w:p>
        </w:tc>
        <w:tc>
          <w:tcPr>
            <w:tcW w:w="82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6"/>
              </w:rPr>
              <w:t>11/1/16</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282">
              <w:r>
                <w:rPr>
                  <w:rFonts w:ascii="Arial" w:cs="Arial" w:eastAsia="Arial" w:hAnsi="Arial"/>
                  <w:sz w:val="18"/>
                  <w:szCs w:val="18"/>
                  <w:color w:val="0000EE"/>
                  <w:w w:val="94"/>
                </w:rPr>
                <w:t>2016, by and among Kolltan Pharmaceuticals, Inc., Celldex</w:t>
              </w:r>
            </w:hyperlink>
          </w:p>
        </w:tc>
        <w:tc>
          <w:tcPr>
            <w:tcW w:w="100" w:type="dxa"/>
            <w:vAlign w:val="bottom"/>
          </w:tcPr>
          <w:p>
            <w:pPr>
              <w:spacing w:after="0"/>
              <w:rPr>
                <w:sz w:val="17"/>
                <w:szCs w:val="17"/>
                <w:color w:val="auto"/>
              </w:rPr>
            </w:pPr>
          </w:p>
        </w:tc>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82">
              <w:r>
                <w:rPr>
                  <w:rFonts w:ascii="Arial" w:cs="Arial" w:eastAsia="Arial" w:hAnsi="Arial"/>
                  <w:sz w:val="18"/>
                  <w:szCs w:val="18"/>
                  <w:color w:val="0000EE"/>
                  <w:w w:val="93"/>
                </w:rPr>
                <w:t>Therapeutics, Inc., Connemara Merger Sub 1 Inc. and</w:t>
              </w:r>
            </w:hyperlink>
          </w:p>
        </w:tc>
        <w:tc>
          <w:tcPr>
            <w:tcW w:w="540" w:type="dxa"/>
            <w:vAlign w:val="bottom"/>
            <w:gridSpan w:val="6"/>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gridSpan w:val="20"/>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Connemara Merger Sub 2 LLC.</w:t>
              </w:r>
            </w:hyperlink>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20" w:type="dxa"/>
            <w:vAlign w:val="bottom"/>
            <w:gridSpan w:val="3"/>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91"/>
        </w:trPr>
        <w:tc>
          <w:tcPr>
            <w:tcW w:w="5300" w:type="dxa"/>
            <w:vAlign w:val="bottom"/>
            <w:gridSpan w:val="23"/>
          </w:tcPr>
          <w:p>
            <w:pPr>
              <w:spacing w:after="0"/>
              <w:rPr>
                <w:sz w:val="20"/>
                <w:szCs w:val="20"/>
                <w:color w:val="auto"/>
              </w:rPr>
            </w:pPr>
            <w:r>
              <w:rPr>
                <w:rFonts w:ascii="Arial" w:cs="Arial" w:eastAsia="Arial" w:hAnsi="Arial"/>
                <w:sz w:val="18"/>
                <w:szCs w:val="18"/>
                <w:i w:val="1"/>
                <w:iCs w:val="1"/>
                <w:color w:val="auto"/>
              </w:rPr>
              <w:t>Articles of Incorporation and By-Laws</w:t>
            </w: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2"/>
        </w:trPr>
        <w:tc>
          <w:tcPr>
            <w:tcW w:w="6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gridSpan w:val="20"/>
          </w:tcPr>
          <w:p>
            <w:pPr>
              <w:spacing w:after="0" w:line="202" w:lineRule="exact"/>
              <w:rPr>
                <w:rFonts w:ascii="Arial" w:cs="Arial" w:eastAsia="Arial" w:hAnsi="Arial"/>
                <w:sz w:val="18"/>
                <w:szCs w:val="18"/>
                <w:color w:val="0000EE"/>
              </w:rPr>
            </w:pPr>
            <w:hyperlink r:id="rId283">
              <w:r>
                <w:rPr>
                  <w:rFonts w:ascii="Arial" w:cs="Arial" w:eastAsia="Arial" w:hAnsi="Arial"/>
                  <w:sz w:val="18"/>
                  <w:szCs w:val="18"/>
                  <w:color w:val="0000EE"/>
                </w:rPr>
                <w:t>Third Restated Certificate of Incorporation</w:t>
              </w:r>
            </w:hyperlink>
          </w:p>
        </w:tc>
        <w:tc>
          <w:tcPr>
            <w:tcW w:w="6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2"/>
              </w:rPr>
              <w:t>S-4</w:t>
            </w:r>
          </w:p>
        </w:tc>
        <w:tc>
          <w:tcPr>
            <w:tcW w:w="5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7"/>
              </w:rPr>
              <w:t>3.1</w:t>
            </w:r>
          </w:p>
        </w:tc>
        <w:tc>
          <w:tcPr>
            <w:tcW w:w="8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7/16/98</w:t>
            </w:r>
          </w:p>
        </w:tc>
      </w:tr>
      <w:tr>
        <w:trPr>
          <w:trHeight w:val="237"/>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3"/>
              </w:rPr>
              <w:t>(333-59215)</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0"/>
        </w:trPr>
        <w:tc>
          <w:tcPr>
            <w:tcW w:w="6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tcBorders>
              <w:bottom w:val="single" w:sz="8" w:color="0000EE"/>
            </w:tcBorders>
            <w:gridSpan w:val="17"/>
          </w:tcPr>
          <w:p>
            <w:pPr>
              <w:spacing w:after="0"/>
              <w:rPr>
                <w:rFonts w:ascii="Arial" w:cs="Arial" w:eastAsia="Arial" w:hAnsi="Arial"/>
                <w:sz w:val="18"/>
                <w:szCs w:val="18"/>
                <w:color w:val="0000EE"/>
                <w:w w:val="96"/>
              </w:rPr>
            </w:pPr>
            <w:hyperlink r:id="rId283">
              <w:r>
                <w:rPr>
                  <w:rFonts w:ascii="Arial" w:cs="Arial" w:eastAsia="Arial" w:hAnsi="Arial"/>
                  <w:sz w:val="18"/>
                  <w:szCs w:val="18"/>
                  <w:color w:val="0000EE"/>
                  <w:w w:val="96"/>
                </w:rPr>
                <w:t>Certificate of Amendment of Third Restated Certificate of</w:t>
              </w:r>
            </w:hyperlink>
          </w:p>
        </w:tc>
        <w:tc>
          <w:tcPr>
            <w:tcW w:w="20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6"/>
              </w:rPr>
              <w:t>7/16/98</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gridSpan w:val="20"/>
          </w:tcPr>
          <w:p>
            <w:pPr>
              <w:spacing w:after="0" w:line="196" w:lineRule="exact"/>
              <w:rPr>
                <w:rFonts w:ascii="Arial" w:cs="Arial" w:eastAsia="Arial" w:hAnsi="Arial"/>
                <w:sz w:val="18"/>
                <w:szCs w:val="18"/>
                <w:color w:val="0000EE"/>
              </w:rPr>
            </w:pPr>
            <w:hyperlink r:id="rId283">
              <w:r>
                <w:rPr>
                  <w:rFonts w:ascii="Arial" w:cs="Arial" w:eastAsia="Arial" w:hAnsi="Arial"/>
                  <w:sz w:val="18"/>
                  <w:szCs w:val="18"/>
                  <w:color w:val="0000EE"/>
                </w:rPr>
                <w:t>Incorporation</w:t>
              </w:r>
            </w:hyperlink>
          </w:p>
        </w:tc>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(333-59215)</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50"/>
        </w:trPr>
        <w:tc>
          <w:tcPr>
            <w:tcW w:w="6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80" w:type="dxa"/>
            <w:vAlign w:val="bottom"/>
            <w:gridSpan w:val="20"/>
          </w:tcPr>
          <w:p>
            <w:pPr>
              <w:spacing w:after="0"/>
              <w:rPr>
                <w:rFonts w:ascii="Arial" w:cs="Arial" w:eastAsia="Arial" w:hAnsi="Arial"/>
                <w:sz w:val="18"/>
                <w:szCs w:val="18"/>
                <w:color w:val="0000EE"/>
              </w:rPr>
            </w:pPr>
            <w:hyperlink r:id="rId283">
              <w:r>
                <w:rPr>
                  <w:rFonts w:ascii="Arial" w:cs="Arial" w:eastAsia="Arial" w:hAnsi="Arial"/>
                  <w:sz w:val="18"/>
                  <w:szCs w:val="18"/>
                  <w:color w:val="0000EE"/>
                </w:rPr>
                <w:t>Second Certificate of Amendment of Third Restated</w:t>
              </w:r>
            </w:hyperlink>
          </w:p>
        </w:tc>
        <w:tc>
          <w:tcPr>
            <w:tcW w:w="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6"/>
              </w:rPr>
              <w:t>7/16/98</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r:id="rId283">
              <w:r>
                <w:rPr>
                  <w:rFonts w:ascii="Arial" w:cs="Arial" w:eastAsia="Arial" w:hAnsi="Arial"/>
                  <w:sz w:val="18"/>
                  <w:szCs w:val="18"/>
                  <w:color w:val="0000EE"/>
                  <w:w w:val="96"/>
                </w:rPr>
                <w:t>Certificate of Incorporation</w:t>
              </w:r>
            </w:hyperlink>
          </w:p>
        </w:tc>
        <w:tc>
          <w:tcPr>
            <w:tcW w:w="1860" w:type="dxa"/>
            <w:vAlign w:val="bottom"/>
            <w:tcBorders>
              <w:top w:val="single" w:sz="8" w:color="0000EE"/>
            </w:tcBorders>
            <w:gridSpan w:val="8"/>
          </w:tcPr>
          <w:p>
            <w:pPr>
              <w:spacing w:after="0"/>
              <w:rPr>
                <w:sz w:val="17"/>
                <w:szCs w:val="17"/>
                <w:color w:val="auto"/>
              </w:rPr>
            </w:pPr>
          </w:p>
        </w:tc>
        <w:tc>
          <w:tcPr>
            <w:tcW w:w="660" w:type="dxa"/>
            <w:vAlign w:val="bottom"/>
            <w:gridSpan w:val="9"/>
          </w:tcPr>
          <w:p>
            <w:pPr>
              <w:spacing w:after="0"/>
              <w:rPr>
                <w:sz w:val="17"/>
                <w:szCs w:val="17"/>
                <w:color w:val="auto"/>
              </w:rPr>
            </w:pPr>
          </w:p>
        </w:tc>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(333-59215)</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6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0" w:type="dxa"/>
            <w:vAlign w:val="bottom"/>
            <w:tcBorders>
              <w:bottom w:val="single" w:sz="8" w:color="0000EE"/>
            </w:tcBorders>
            <w:gridSpan w:val="9"/>
          </w:tcPr>
          <w:p>
            <w:pPr>
              <w:spacing w:after="0"/>
              <w:rPr>
                <w:rFonts w:ascii="Arial" w:cs="Arial" w:eastAsia="Arial" w:hAnsi="Arial"/>
                <w:sz w:val="18"/>
                <w:szCs w:val="18"/>
                <w:color w:val="0000EE"/>
                <w:w w:val="96"/>
              </w:rPr>
            </w:pPr>
            <w:hyperlink r:id="rId284">
              <w:r>
                <w:rPr>
                  <w:rFonts w:ascii="Arial" w:cs="Arial" w:eastAsia="Arial" w:hAnsi="Arial"/>
                  <w:sz w:val="18"/>
                  <w:szCs w:val="18"/>
                  <w:color w:val="0000EE"/>
                  <w:w w:val="96"/>
                </w:rPr>
                <w:t>Third Certificate of Amendment of Third Restated</w:t>
              </w:r>
            </w:hyperlink>
          </w:p>
        </w:tc>
        <w:tc>
          <w:tcPr>
            <w:tcW w:w="780" w:type="dxa"/>
            <w:vAlign w:val="bottom"/>
            <w:gridSpan w:val="11"/>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6"/>
              </w:rPr>
              <w:t>5/10/02</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r:id="rId284">
              <w:r>
                <w:rPr>
                  <w:rFonts w:ascii="Arial" w:cs="Arial" w:eastAsia="Arial" w:hAnsi="Arial"/>
                  <w:sz w:val="18"/>
                  <w:szCs w:val="18"/>
                  <w:color w:val="0000EE"/>
                  <w:w w:val="96"/>
                </w:rPr>
                <w:t>Certificate of Incorporation</w:t>
              </w:r>
            </w:hyperlink>
          </w:p>
        </w:tc>
        <w:tc>
          <w:tcPr>
            <w:tcW w:w="2520" w:type="dxa"/>
            <w:vAlign w:val="bottom"/>
            <w:gridSpan w:val="17"/>
          </w:tcPr>
          <w:p>
            <w:pPr>
              <w:spacing w:after="0"/>
              <w:rPr>
                <w:sz w:val="17"/>
                <w:szCs w:val="17"/>
                <w:color w:val="auto"/>
              </w:rPr>
            </w:pPr>
          </w:p>
        </w:tc>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6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0000EE"/>
            </w:tcBorders>
            <w:gridSpan w:val="10"/>
          </w:tcPr>
          <w:p>
            <w:pPr>
              <w:spacing w:after="0"/>
              <w:rPr>
                <w:rFonts w:ascii="Arial" w:cs="Arial" w:eastAsia="Arial" w:hAnsi="Arial"/>
                <w:sz w:val="18"/>
                <w:szCs w:val="18"/>
                <w:color w:val="0000EE"/>
                <w:w w:val="95"/>
              </w:rPr>
            </w:pPr>
            <w:hyperlink r:id="rId285">
              <w:r>
                <w:rPr>
                  <w:rFonts w:ascii="Arial" w:cs="Arial" w:eastAsia="Arial" w:hAnsi="Arial"/>
                  <w:sz w:val="18"/>
                  <w:szCs w:val="18"/>
                  <w:color w:val="0000EE"/>
                  <w:w w:val="95"/>
                </w:rPr>
                <w:t>Fourth Certificate of Amendment of Third Restated</w:t>
              </w:r>
            </w:hyperlink>
          </w:p>
        </w:tc>
        <w:tc>
          <w:tcPr>
            <w:tcW w:w="700" w:type="dxa"/>
            <w:vAlign w:val="bottom"/>
            <w:gridSpan w:val="10"/>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6"/>
              </w:rPr>
              <w:t>3/11/08</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r:id="rId285">
              <w:r>
                <w:rPr>
                  <w:rFonts w:ascii="Arial" w:cs="Arial" w:eastAsia="Arial" w:hAnsi="Arial"/>
                  <w:sz w:val="18"/>
                  <w:szCs w:val="18"/>
                  <w:color w:val="0000EE"/>
                  <w:w w:val="96"/>
                </w:rPr>
                <w:t>Certificate of Incorporation</w:t>
              </w:r>
            </w:hyperlink>
          </w:p>
        </w:tc>
        <w:tc>
          <w:tcPr>
            <w:tcW w:w="2520" w:type="dxa"/>
            <w:vAlign w:val="bottom"/>
            <w:gridSpan w:val="17"/>
          </w:tcPr>
          <w:p>
            <w:pPr>
              <w:spacing w:after="0"/>
              <w:rPr>
                <w:sz w:val="17"/>
                <w:szCs w:val="17"/>
                <w:color w:val="auto"/>
              </w:rPr>
            </w:pPr>
          </w:p>
        </w:tc>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6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40" w:type="dxa"/>
            <w:vAlign w:val="bottom"/>
            <w:tcBorders>
              <w:bottom w:val="single" w:sz="8" w:color="0000EE"/>
            </w:tcBorders>
            <w:gridSpan w:val="7"/>
          </w:tcPr>
          <w:p>
            <w:pPr>
              <w:spacing w:after="0"/>
              <w:rPr>
                <w:rFonts w:ascii="Arial" w:cs="Arial" w:eastAsia="Arial" w:hAnsi="Arial"/>
                <w:sz w:val="18"/>
                <w:szCs w:val="18"/>
                <w:color w:val="0000EE"/>
                <w:w w:val="96"/>
              </w:rPr>
            </w:pPr>
            <w:hyperlink r:id="rId286">
              <w:r>
                <w:rPr>
                  <w:rFonts w:ascii="Arial" w:cs="Arial" w:eastAsia="Arial" w:hAnsi="Arial"/>
                  <w:sz w:val="18"/>
                  <w:szCs w:val="18"/>
                  <w:color w:val="0000EE"/>
                  <w:w w:val="96"/>
                </w:rPr>
                <w:t>Fifth Certificate of Amendment of Third Restated</w:t>
              </w:r>
            </w:hyperlink>
          </w:p>
        </w:tc>
        <w:tc>
          <w:tcPr>
            <w:tcW w:w="840" w:type="dxa"/>
            <w:vAlign w:val="bottom"/>
            <w:gridSpan w:val="13"/>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6"/>
              </w:rPr>
              <w:t>3/11/08</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r:id="rId286">
              <w:r>
                <w:rPr>
                  <w:rFonts w:ascii="Arial" w:cs="Arial" w:eastAsia="Arial" w:hAnsi="Arial"/>
                  <w:sz w:val="18"/>
                  <w:szCs w:val="18"/>
                  <w:color w:val="0000EE"/>
                  <w:w w:val="96"/>
                </w:rPr>
                <w:t>Certificate of Incorporation</w:t>
              </w:r>
            </w:hyperlink>
          </w:p>
        </w:tc>
        <w:tc>
          <w:tcPr>
            <w:tcW w:w="2520" w:type="dxa"/>
            <w:vAlign w:val="bottom"/>
            <w:gridSpan w:val="17"/>
          </w:tcPr>
          <w:p>
            <w:pPr>
              <w:spacing w:after="0"/>
              <w:rPr>
                <w:sz w:val="17"/>
                <w:szCs w:val="17"/>
                <w:color w:val="auto"/>
              </w:rPr>
            </w:pPr>
          </w:p>
        </w:tc>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6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tcBorders>
              <w:bottom w:val="single" w:sz="8" w:color="0000EE"/>
            </w:tcBorders>
            <w:gridSpan w:val="8"/>
          </w:tcPr>
          <w:p>
            <w:pPr>
              <w:spacing w:after="0"/>
              <w:rPr>
                <w:rFonts w:ascii="Arial" w:cs="Arial" w:eastAsia="Arial" w:hAnsi="Arial"/>
                <w:sz w:val="18"/>
                <w:szCs w:val="18"/>
                <w:color w:val="0000EE"/>
                <w:w w:val="96"/>
              </w:rPr>
            </w:pPr>
            <w:hyperlink r:id="rId287">
              <w:r>
                <w:rPr>
                  <w:rFonts w:ascii="Arial" w:cs="Arial" w:eastAsia="Arial" w:hAnsi="Arial"/>
                  <w:sz w:val="18"/>
                  <w:szCs w:val="18"/>
                  <w:color w:val="0000EE"/>
                  <w:w w:val="96"/>
                </w:rPr>
                <w:t>Sixth Certificate of Amendment of Third Restated</w:t>
              </w:r>
            </w:hyperlink>
          </w:p>
        </w:tc>
        <w:tc>
          <w:tcPr>
            <w:tcW w:w="800" w:type="dxa"/>
            <w:vAlign w:val="bottom"/>
            <w:gridSpan w:val="12"/>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4"/>
              </w:rPr>
              <w:t>11/10/08</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r:id="rId287">
              <w:r>
                <w:rPr>
                  <w:rFonts w:ascii="Arial" w:cs="Arial" w:eastAsia="Arial" w:hAnsi="Arial"/>
                  <w:sz w:val="18"/>
                  <w:szCs w:val="18"/>
                  <w:color w:val="0000EE"/>
                  <w:w w:val="96"/>
                </w:rPr>
                <w:t>Certificate of Incorporation</w:t>
              </w:r>
            </w:hyperlink>
          </w:p>
        </w:tc>
        <w:tc>
          <w:tcPr>
            <w:tcW w:w="2520" w:type="dxa"/>
            <w:vAlign w:val="bottom"/>
            <w:gridSpan w:val="17"/>
          </w:tcPr>
          <w:p>
            <w:pPr>
              <w:spacing w:after="0"/>
              <w:rPr>
                <w:sz w:val="17"/>
                <w:szCs w:val="17"/>
                <w:color w:val="auto"/>
              </w:rPr>
            </w:pPr>
          </w:p>
        </w:tc>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6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80" w:type="dxa"/>
            <w:vAlign w:val="bottom"/>
            <w:gridSpan w:val="20"/>
          </w:tcPr>
          <w:p>
            <w:pPr>
              <w:spacing w:after="0"/>
              <w:rPr>
                <w:rFonts w:ascii="Arial" w:cs="Arial" w:eastAsia="Arial" w:hAnsi="Arial"/>
                <w:sz w:val="18"/>
                <w:szCs w:val="18"/>
                <w:color w:val="0000EE"/>
              </w:rPr>
            </w:pPr>
            <w:hyperlink r:id="rId288">
              <w:r>
                <w:rPr>
                  <w:rFonts w:ascii="Arial" w:cs="Arial" w:eastAsia="Arial" w:hAnsi="Arial"/>
                  <w:sz w:val="18"/>
                  <w:szCs w:val="18"/>
                  <w:color w:val="0000EE"/>
                </w:rPr>
                <w:t>Amended and Restated By-Laws, dated April 7, 2014</w:t>
              </w:r>
            </w:hyperlink>
          </w:p>
        </w:tc>
        <w:tc>
          <w:tcPr>
            <w:tcW w:w="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5"/>
              </w:rPr>
              <w:t>4/8/14</w:t>
            </w:r>
          </w:p>
        </w:tc>
      </w:tr>
      <w:tr>
        <w:trPr>
          <w:trHeight w:val="237"/>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0"/>
        </w:trPr>
        <w:tc>
          <w:tcPr>
            <w:tcW w:w="6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Borders>
              <w:bottom w:val="single" w:sz="8" w:color="0000EE"/>
            </w:tcBorders>
            <w:gridSpan w:val="12"/>
          </w:tcPr>
          <w:p>
            <w:pPr>
              <w:spacing w:after="0"/>
              <w:rPr>
                <w:rFonts w:ascii="Arial" w:cs="Arial" w:eastAsia="Arial" w:hAnsi="Arial"/>
                <w:sz w:val="18"/>
                <w:szCs w:val="18"/>
                <w:color w:val="0000EE"/>
                <w:w w:val="94"/>
              </w:rPr>
            </w:pPr>
            <w:hyperlink r:id="rId289">
              <w:r>
                <w:rPr>
                  <w:rFonts w:ascii="Arial" w:cs="Arial" w:eastAsia="Arial" w:hAnsi="Arial"/>
                  <w:sz w:val="18"/>
                  <w:szCs w:val="18"/>
                  <w:color w:val="0000EE"/>
                  <w:w w:val="94"/>
                </w:rPr>
                <w:t>Seventh Certificate of Amendment of Third Restated</w:t>
              </w:r>
            </w:hyperlink>
          </w:p>
        </w:tc>
        <w:tc>
          <w:tcPr>
            <w:tcW w:w="600" w:type="dxa"/>
            <w:vAlign w:val="bottom"/>
            <w:gridSpan w:val="8"/>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5"/>
              </w:rPr>
              <w:t>2/8/19</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r:id="rId289">
              <w:r>
                <w:rPr>
                  <w:rFonts w:ascii="Arial" w:cs="Arial" w:eastAsia="Arial" w:hAnsi="Arial"/>
                  <w:sz w:val="18"/>
                  <w:szCs w:val="18"/>
                  <w:color w:val="0000EE"/>
                  <w:w w:val="96"/>
                </w:rPr>
                <w:t>Certificate of Incorporation</w:t>
              </w:r>
            </w:hyperlink>
          </w:p>
        </w:tc>
        <w:tc>
          <w:tcPr>
            <w:tcW w:w="2520" w:type="dxa"/>
            <w:vAlign w:val="bottom"/>
            <w:gridSpan w:val="17"/>
          </w:tcPr>
          <w:p>
            <w:pPr>
              <w:spacing w:after="0"/>
              <w:rPr>
                <w:sz w:val="17"/>
                <w:szCs w:val="17"/>
                <w:color w:val="auto"/>
              </w:rPr>
            </w:pPr>
          </w:p>
        </w:tc>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04"/>
        </w:trPr>
        <w:tc>
          <w:tcPr>
            <w:tcW w:w="5300" w:type="dxa"/>
            <w:vAlign w:val="bottom"/>
            <w:gridSpan w:val="23"/>
          </w:tcPr>
          <w:p>
            <w:pPr>
              <w:spacing w:after="0"/>
              <w:rPr>
                <w:sz w:val="20"/>
                <w:szCs w:val="20"/>
                <w:color w:val="auto"/>
              </w:rPr>
            </w:pPr>
            <w:r>
              <w:rPr>
                <w:rFonts w:ascii="Arial" w:cs="Arial" w:eastAsia="Arial" w:hAnsi="Arial"/>
                <w:sz w:val="18"/>
                <w:szCs w:val="18"/>
                <w:i w:val="1"/>
                <w:iCs w:val="1"/>
                <w:color w:val="auto"/>
              </w:rPr>
              <w:t>Instruments Defining the Rights of Security Holders</w:t>
            </w: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gridSpan w:val="20"/>
          </w:tcPr>
          <w:p>
            <w:pPr>
              <w:spacing w:after="0" w:line="202" w:lineRule="exact"/>
              <w:rPr>
                <w:rFonts w:ascii="Arial" w:cs="Arial" w:eastAsia="Arial" w:hAnsi="Arial"/>
                <w:sz w:val="18"/>
                <w:szCs w:val="18"/>
                <w:color w:val="0000EE"/>
              </w:rPr>
            </w:pPr>
            <w:hyperlink r:id="rId290">
              <w:r>
                <w:rPr>
                  <w:rFonts w:ascii="Arial" w:cs="Arial" w:eastAsia="Arial" w:hAnsi="Arial"/>
                  <w:sz w:val="18"/>
                  <w:szCs w:val="18"/>
                  <w:color w:val="0000EE"/>
                </w:rPr>
                <w:t>Specimen of Common Stock Certificate</w:t>
              </w:r>
            </w:hyperlink>
          </w:p>
        </w:tc>
        <w:tc>
          <w:tcPr>
            <w:tcW w:w="6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5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7"/>
              </w:rPr>
              <w:t>4.1</w:t>
            </w:r>
          </w:p>
        </w:tc>
        <w:tc>
          <w:tcPr>
            <w:tcW w:w="8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5"/>
              </w:rPr>
              <w:t>2/8/19</w:t>
            </w:r>
          </w:p>
        </w:tc>
      </w:tr>
      <w:tr>
        <w:trPr>
          <w:trHeight w:val="237"/>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9"/>
        </w:trPr>
        <w:tc>
          <w:tcPr>
            <w:tcW w:w="6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tcBorders>
              <w:bottom w:val="single" w:sz="8" w:color="0000EE"/>
            </w:tcBorders>
            <w:gridSpan w:val="15"/>
          </w:tcPr>
          <w:p>
            <w:pPr>
              <w:spacing w:after="0"/>
              <w:rPr>
                <w:rFonts w:ascii="Arial" w:cs="Arial" w:eastAsia="Arial" w:hAnsi="Arial"/>
                <w:sz w:val="18"/>
                <w:szCs w:val="18"/>
                <w:color w:val="0000EE"/>
                <w:w w:val="94"/>
              </w:rPr>
            </w:pPr>
            <w:hyperlink r:id="rId291">
              <w:r>
                <w:rPr>
                  <w:rFonts w:ascii="Arial" w:cs="Arial" w:eastAsia="Arial" w:hAnsi="Arial"/>
                  <w:sz w:val="18"/>
                  <w:szCs w:val="18"/>
                  <w:color w:val="0000EE"/>
                  <w:w w:val="94"/>
                </w:rPr>
                <w:t>Certificate of Designations, Preferences and Rights of a</w:t>
              </w:r>
            </w:hyperlink>
          </w:p>
        </w:tc>
        <w:tc>
          <w:tcPr>
            <w:tcW w:w="380" w:type="dxa"/>
            <w:vAlign w:val="bottom"/>
            <w:gridSpan w:val="5"/>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8-A</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6"/>
              </w:rPr>
              <w:t>11/8/04</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291">
              <w:r>
                <w:rPr>
                  <w:rFonts w:ascii="Arial" w:cs="Arial" w:eastAsia="Arial" w:hAnsi="Arial"/>
                  <w:sz w:val="18"/>
                  <w:szCs w:val="18"/>
                  <w:color w:val="0000EE"/>
                  <w:w w:val="93"/>
                </w:rPr>
                <w:t>Series of Preferred Stock classifying and designating the</w:t>
              </w:r>
            </w:hyperlink>
          </w:p>
        </w:tc>
        <w:tc>
          <w:tcPr>
            <w:tcW w:w="320" w:type="dxa"/>
            <w:vAlign w:val="bottom"/>
            <w:gridSpan w:val="4"/>
          </w:tcPr>
          <w:p>
            <w:pPr>
              <w:spacing w:after="0"/>
              <w:rPr>
                <w:sz w:val="17"/>
                <w:szCs w:val="17"/>
                <w:color w:val="auto"/>
              </w:rPr>
            </w:pPr>
          </w:p>
        </w:tc>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291">
              <w:r>
                <w:rPr>
                  <w:rFonts w:ascii="Arial" w:cs="Arial" w:eastAsia="Arial" w:hAnsi="Arial"/>
                  <w:sz w:val="18"/>
                  <w:szCs w:val="18"/>
                  <w:color w:val="0000EE"/>
                  <w:w w:val="94"/>
                </w:rPr>
                <w:t>Series C-1 Junior Participating Cumulative Preferred Stock</w:t>
              </w:r>
            </w:hyperlink>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64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80" w:type="dxa"/>
            <w:vAlign w:val="bottom"/>
            <w:gridSpan w:val="20"/>
          </w:tcPr>
          <w:p>
            <w:pPr>
              <w:spacing w:after="0"/>
              <w:rPr>
                <w:rFonts w:ascii="Arial" w:cs="Arial" w:eastAsia="Arial" w:hAnsi="Arial"/>
                <w:sz w:val="18"/>
                <w:szCs w:val="18"/>
                <w:color w:val="0000EE"/>
              </w:rPr>
            </w:pPr>
            <w:hyperlink r:id="rId292">
              <w:r>
                <w:rPr>
                  <w:rFonts w:ascii="Arial" w:cs="Arial" w:eastAsia="Arial" w:hAnsi="Arial"/>
                  <w:sz w:val="18"/>
                  <w:szCs w:val="18"/>
                  <w:color w:val="0000EE"/>
                </w:rPr>
                <w:t>Description of Securities</w:t>
              </w:r>
            </w:hyperlink>
          </w:p>
        </w:tc>
        <w:tc>
          <w:tcPr>
            <w:tcW w:w="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4"/>
              </w:rPr>
              <w:t>3/26/2020</w:t>
            </w:r>
          </w:p>
        </w:tc>
      </w:tr>
      <w:tr>
        <w:trPr>
          <w:trHeight w:val="236"/>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-4885690</wp:posOffset>
            </wp:positionV>
            <wp:extent cx="342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-4885690</wp:posOffset>
            </wp:positionV>
            <wp:extent cx="342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-4885690</wp:posOffset>
            </wp:positionV>
            <wp:extent cx="342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-4885690</wp:posOffset>
            </wp:positionV>
            <wp:extent cx="34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80"/>
        <w:spacing w:after="0"/>
        <w:tabs>
          <w:tab w:leader="none" w:pos="3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336867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Material Contracts – Leases</w:t>
      </w:r>
    </w:p>
    <w:p>
      <w:pPr>
        <w:spacing w:after="0" w:line="23" w:lineRule="exact"/>
        <w:rPr>
          <w:sz w:val="20"/>
          <w:szCs w:val="20"/>
          <w:color w:val="auto"/>
        </w:rPr>
      </w:pPr>
    </w:p>
    <w:p>
      <w:pPr>
        <w:jc w:val="right"/>
        <w:ind w:left="1460" w:right="140"/>
        <w:spacing w:after="0" w:line="289"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  </w:t>
      </w:r>
      <w:hyperlink r:id="rId299">
        <w:r>
          <w:rPr>
            <w:rFonts w:ascii="Arial" w:cs="Arial" w:eastAsia="Arial" w:hAnsi="Arial"/>
            <w:sz w:val="17"/>
            <w:szCs w:val="17"/>
            <w:u w:val="single" w:color="auto"/>
            <w:color w:val="0000EE"/>
          </w:rPr>
          <w:t>Commercial Lease Agreement of May 1, 1996 between the</w:t>
        </w:r>
      </w:hyperlink>
      <w:r>
        <w:rPr>
          <w:rFonts w:ascii="Arial" w:cs="Arial" w:eastAsia="Arial" w:hAnsi="Arial"/>
          <w:sz w:val="17"/>
          <w:szCs w:val="17"/>
          <w:color w:val="auto"/>
        </w:rPr>
        <w:t xml:space="preserve"> </w:t>
      </w:r>
      <w:hyperlink r:id="rId299">
        <w:r>
          <w:rPr>
            <w:rFonts w:ascii="Arial" w:cs="Arial" w:eastAsia="Arial" w:hAnsi="Arial"/>
            <w:sz w:val="17"/>
            <w:szCs w:val="17"/>
            <w:u w:val="single" w:color="auto"/>
            <w:color w:val="0000EE"/>
          </w:rPr>
          <w:t>Company and Fourth Avenue Ventures Limited Partnership</w:t>
        </w:r>
      </w:hyperlink>
    </w:p>
    <w:p>
      <w:pPr>
        <w:spacing w:after="0" w:line="1" w:lineRule="exact"/>
        <w:rPr>
          <w:sz w:val="20"/>
          <w:szCs w:val="20"/>
          <w:color w:val="auto"/>
        </w:rPr>
      </w:pPr>
    </w:p>
    <w:p>
      <w:pPr>
        <w:jc w:val="both"/>
        <w:ind w:left="1960" w:right="100" w:hanging="497"/>
        <w:spacing w:after="0" w:line="259"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300">
        <w:r>
          <w:rPr>
            <w:rFonts w:ascii="Arial" w:cs="Arial" w:eastAsia="Arial" w:hAnsi="Arial"/>
            <w:sz w:val="18"/>
            <w:szCs w:val="18"/>
            <w:u w:val="single" w:color="auto"/>
            <w:color w:val="0000EE"/>
          </w:rPr>
          <w:t>Extension of Lease Agreement of May 1, 1997 between the</w:t>
        </w:r>
      </w:hyperlink>
      <w:r>
        <w:rPr>
          <w:rFonts w:ascii="Arial" w:cs="Arial" w:eastAsia="Arial" w:hAnsi="Arial"/>
          <w:sz w:val="18"/>
          <w:szCs w:val="18"/>
          <w:u w:val="single" w:color="auto"/>
          <w:color w:val="0000EE"/>
        </w:rPr>
        <w:t xml:space="preserve"> </w:t>
      </w:r>
      <w:hyperlink r:id="rId300">
        <w:r>
          <w:rPr>
            <w:rFonts w:ascii="Arial" w:cs="Arial" w:eastAsia="Arial" w:hAnsi="Arial"/>
            <w:sz w:val="18"/>
            <w:szCs w:val="18"/>
            <w:u w:val="single" w:color="auto"/>
            <w:color w:val="0000EE"/>
          </w:rPr>
          <w:t>Company and DIV Needham 53 LLC (successor in interest</w:t>
        </w:r>
      </w:hyperlink>
      <w:r>
        <w:rPr>
          <w:rFonts w:ascii="Arial" w:cs="Arial" w:eastAsia="Arial" w:hAnsi="Arial"/>
          <w:sz w:val="18"/>
          <w:szCs w:val="18"/>
          <w:u w:val="single" w:color="auto"/>
          <w:color w:val="0000EE"/>
        </w:rPr>
        <w:t xml:space="preserve"> </w:t>
      </w:r>
      <w:hyperlink r:id="rId300">
        <w:r>
          <w:rPr>
            <w:rFonts w:ascii="Arial" w:cs="Arial" w:eastAsia="Arial" w:hAnsi="Arial"/>
            <w:sz w:val="18"/>
            <w:szCs w:val="18"/>
            <w:u w:val="single" w:color="auto"/>
            <w:color w:val="0000EE"/>
          </w:rPr>
          <w:t>to Fourth Avenue Ventures Limited Partnership) dated as of</w:t>
        </w:r>
      </w:hyperlink>
      <w:r>
        <w:rPr>
          <w:rFonts w:ascii="Arial" w:cs="Arial" w:eastAsia="Arial" w:hAnsi="Arial"/>
          <w:sz w:val="18"/>
          <w:szCs w:val="18"/>
          <w:u w:val="single" w:color="auto"/>
          <w:color w:val="0000EE"/>
        </w:rPr>
        <w:t xml:space="preserve"> </w:t>
      </w:r>
      <w:hyperlink r:id="rId300">
        <w:r>
          <w:rPr>
            <w:rFonts w:ascii="Arial" w:cs="Arial" w:eastAsia="Arial" w:hAnsi="Arial"/>
            <w:sz w:val="18"/>
            <w:szCs w:val="18"/>
            <w:u w:val="single" w:color="auto"/>
            <w:color w:val="0000EE"/>
          </w:rPr>
          <w:t>August 23, 2001</w:t>
        </w:r>
      </w:hyperlink>
    </w:p>
    <w:p>
      <w:pPr>
        <w:spacing w:after="0" w:line="11" w:lineRule="exact"/>
        <w:rPr>
          <w:rFonts w:ascii="Arial" w:cs="Arial" w:eastAsia="Arial" w:hAnsi="Arial"/>
          <w:sz w:val="18"/>
          <w:szCs w:val="18"/>
          <w:u w:val="single" w:color="auto"/>
          <w:color w:val="0000EE"/>
        </w:rPr>
      </w:pPr>
    </w:p>
    <w:p>
      <w:pPr>
        <w:ind w:left="1960" w:hanging="497"/>
        <w:spacing w:after="0" w:line="259"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301">
        <w:r>
          <w:rPr>
            <w:rFonts w:ascii="Arial" w:cs="Arial" w:eastAsia="Arial" w:hAnsi="Arial"/>
            <w:sz w:val="18"/>
            <w:szCs w:val="18"/>
            <w:u w:val="single" w:color="auto"/>
            <w:color w:val="0000EE"/>
          </w:rPr>
          <w:t>First Amendment to Lease by and between the Company and</w:t>
        </w:r>
      </w:hyperlink>
      <w:r>
        <w:rPr>
          <w:rFonts w:ascii="Arial" w:cs="Arial" w:eastAsia="Arial" w:hAnsi="Arial"/>
          <w:sz w:val="18"/>
          <w:szCs w:val="18"/>
          <w:u w:val="single" w:color="auto"/>
          <w:color w:val="0000EE"/>
        </w:rPr>
        <w:t xml:space="preserve"> </w:t>
      </w:r>
      <w:hyperlink r:id="rId301">
        <w:r>
          <w:rPr>
            <w:rFonts w:ascii="Arial" w:cs="Arial" w:eastAsia="Arial" w:hAnsi="Arial"/>
            <w:sz w:val="18"/>
            <w:szCs w:val="18"/>
            <w:u w:val="single" w:color="auto"/>
            <w:color w:val="0000EE"/>
          </w:rPr>
          <w:t>DIV Needham 115 LLC (successor in interest to Fourth</w:t>
        </w:r>
      </w:hyperlink>
      <w:r>
        <w:rPr>
          <w:rFonts w:ascii="Arial" w:cs="Arial" w:eastAsia="Arial" w:hAnsi="Arial"/>
          <w:sz w:val="18"/>
          <w:szCs w:val="18"/>
          <w:u w:val="single" w:color="auto"/>
          <w:color w:val="0000EE"/>
        </w:rPr>
        <w:t xml:space="preserve"> </w:t>
      </w:r>
      <w:hyperlink r:id="rId301">
        <w:r>
          <w:rPr>
            <w:rFonts w:ascii="Arial" w:cs="Arial" w:eastAsia="Arial" w:hAnsi="Arial"/>
            <w:sz w:val="18"/>
            <w:szCs w:val="18"/>
            <w:u w:val="single" w:color="auto"/>
            <w:color w:val="0000EE"/>
          </w:rPr>
          <w:t>Avenue Ventures Limited Partnership) dated November 29,</w:t>
        </w:r>
      </w:hyperlink>
      <w:r>
        <w:rPr>
          <w:rFonts w:ascii="Arial" w:cs="Arial" w:eastAsia="Arial" w:hAnsi="Arial"/>
          <w:sz w:val="18"/>
          <w:szCs w:val="18"/>
          <w:u w:val="single" w:color="auto"/>
          <w:color w:val="0000EE"/>
        </w:rPr>
        <w:t xml:space="preserve"> </w:t>
      </w:r>
      <w:hyperlink r:id="rId301">
        <w:r>
          <w:rPr>
            <w:rFonts w:ascii="Arial" w:cs="Arial" w:eastAsia="Arial" w:hAnsi="Arial"/>
            <w:sz w:val="18"/>
            <w:szCs w:val="18"/>
            <w:u w:val="single" w:color="auto"/>
            <w:color w:val="0000EE"/>
          </w:rPr>
          <w:t>2005</w:t>
        </w:r>
      </w:hyperlink>
    </w:p>
    <w:p>
      <w:pPr>
        <w:spacing w:after="0" w:line="11" w:lineRule="exact"/>
        <w:rPr>
          <w:rFonts w:ascii="Arial" w:cs="Arial" w:eastAsia="Arial" w:hAnsi="Arial"/>
          <w:sz w:val="18"/>
          <w:szCs w:val="18"/>
          <w:u w:val="single" w:color="auto"/>
          <w:color w:val="0000EE"/>
        </w:rPr>
      </w:pPr>
    </w:p>
    <w:p>
      <w:pPr>
        <w:ind w:left="1960" w:right="120" w:hanging="497"/>
        <w:spacing w:after="0" w:line="316" w:lineRule="auto"/>
        <w:tabs>
          <w:tab w:leader="none" w:pos="194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302">
        <w:r>
          <w:rPr>
            <w:rFonts w:ascii="Arial" w:cs="Arial" w:eastAsia="Arial" w:hAnsi="Arial"/>
            <w:sz w:val="16"/>
            <w:szCs w:val="16"/>
            <w:u w:val="single" w:color="auto"/>
            <w:color w:val="0000EE"/>
          </w:rPr>
          <w:t>Second Amendment to Lease by and between the Company</w:t>
        </w:r>
      </w:hyperlink>
      <w:r>
        <w:rPr>
          <w:rFonts w:ascii="Arial" w:cs="Arial" w:eastAsia="Arial" w:hAnsi="Arial"/>
          <w:sz w:val="16"/>
          <w:szCs w:val="16"/>
          <w:u w:val="single" w:color="auto"/>
          <w:color w:val="0000EE"/>
        </w:rPr>
        <w:t xml:space="preserve"> </w:t>
      </w:r>
      <w:hyperlink r:id="rId302">
        <w:r>
          <w:rPr>
            <w:rFonts w:ascii="Arial" w:cs="Arial" w:eastAsia="Arial" w:hAnsi="Arial"/>
            <w:sz w:val="16"/>
            <w:szCs w:val="16"/>
            <w:u w:val="single" w:color="auto"/>
            <w:color w:val="0000EE"/>
          </w:rPr>
          <w:t>and DIV Needham 115 LLC dated as of August 1, 2015</w:t>
        </w:r>
      </w:hyperlink>
    </w:p>
    <w:p>
      <w:pPr>
        <w:spacing w:after="0" w:line="2" w:lineRule="exact"/>
        <w:rPr>
          <w:sz w:val="20"/>
          <w:szCs w:val="20"/>
          <w:color w:val="auto"/>
        </w:rPr>
      </w:pPr>
    </w:p>
    <w:p>
      <w:pPr>
        <w:jc w:val="both"/>
        <w:ind w:left="1960" w:right="280" w:hanging="635"/>
        <w:spacing w:after="0" w:line="263"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303">
        <w:r>
          <w:rPr>
            <w:rFonts w:ascii="Arial" w:cs="Arial" w:eastAsia="Arial" w:hAnsi="Arial"/>
            <w:sz w:val="18"/>
            <w:szCs w:val="18"/>
            <w:u w:val="single" w:color="auto"/>
            <w:color w:val="0000EE"/>
          </w:rPr>
          <w:t>Lease Agreement, by and between the Company and the</w:t>
        </w:r>
      </w:hyperlink>
      <w:r>
        <w:rPr>
          <w:rFonts w:ascii="Arial" w:cs="Arial" w:eastAsia="Arial" w:hAnsi="Arial"/>
          <w:sz w:val="18"/>
          <w:szCs w:val="18"/>
          <w:u w:val="single" w:color="auto"/>
          <w:color w:val="0000EE"/>
        </w:rPr>
        <w:t xml:space="preserve"> </w:t>
      </w:r>
      <w:hyperlink r:id="rId303">
        <w:r>
          <w:rPr>
            <w:rFonts w:ascii="Arial" w:cs="Arial" w:eastAsia="Arial" w:hAnsi="Arial"/>
            <w:sz w:val="18"/>
            <w:szCs w:val="18"/>
            <w:u w:val="single" w:color="auto"/>
            <w:color w:val="0000EE"/>
          </w:rPr>
          <w:t>Massachusetts Development Finance Agency, dated as of</w:t>
        </w:r>
      </w:hyperlink>
      <w:r>
        <w:rPr>
          <w:rFonts w:ascii="Arial" w:cs="Arial" w:eastAsia="Arial" w:hAnsi="Arial"/>
          <w:sz w:val="18"/>
          <w:szCs w:val="18"/>
          <w:u w:val="single" w:color="auto"/>
          <w:color w:val="0000EE"/>
        </w:rPr>
        <w:t xml:space="preserve"> </w:t>
      </w:r>
      <w:hyperlink r:id="rId303">
        <w:r>
          <w:rPr>
            <w:rFonts w:ascii="Arial" w:cs="Arial" w:eastAsia="Arial" w:hAnsi="Arial"/>
            <w:sz w:val="18"/>
            <w:szCs w:val="18"/>
            <w:u w:val="single" w:color="auto"/>
            <w:color w:val="0000EE"/>
          </w:rPr>
          <w:t>December 22, 2003</w:t>
        </w:r>
      </w:hyperlink>
    </w:p>
    <w:p>
      <w:pPr>
        <w:spacing w:after="0" w:line="22" w:lineRule="exact"/>
        <w:rPr>
          <w:rFonts w:ascii="Arial" w:cs="Arial" w:eastAsia="Arial" w:hAnsi="Arial"/>
          <w:sz w:val="18"/>
          <w:szCs w:val="18"/>
          <w:u w:val="single" w:color="auto"/>
          <w:color w:val="0000EE"/>
        </w:rPr>
      </w:pPr>
    </w:p>
    <w:p>
      <w:pPr>
        <w:ind w:left="1960" w:right="500" w:hanging="497"/>
        <w:spacing w:after="0" w:line="263"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304">
        <w:r>
          <w:rPr>
            <w:rFonts w:ascii="Arial" w:cs="Arial" w:eastAsia="Arial" w:hAnsi="Arial"/>
            <w:sz w:val="18"/>
            <w:szCs w:val="18"/>
            <w:u w:val="single" w:color="auto"/>
            <w:color w:val="0000EE"/>
          </w:rPr>
          <w:t>First Amendment to Lease between Massachusetts</w:t>
        </w:r>
      </w:hyperlink>
      <w:r>
        <w:rPr>
          <w:rFonts w:ascii="Arial" w:cs="Arial" w:eastAsia="Arial" w:hAnsi="Arial"/>
          <w:sz w:val="18"/>
          <w:szCs w:val="18"/>
          <w:u w:val="single" w:color="auto"/>
          <w:color w:val="0000EE"/>
        </w:rPr>
        <w:t xml:space="preserve"> </w:t>
      </w:r>
      <w:hyperlink r:id="rId304">
        <w:r>
          <w:rPr>
            <w:rFonts w:ascii="Arial" w:cs="Arial" w:eastAsia="Arial" w:hAnsi="Arial"/>
            <w:sz w:val="18"/>
            <w:szCs w:val="18"/>
            <w:u w:val="single" w:color="auto"/>
            <w:color w:val="0000EE"/>
          </w:rPr>
          <w:t>Development Finance Agency and the Company dated</w:t>
        </w:r>
      </w:hyperlink>
      <w:r>
        <w:rPr>
          <w:rFonts w:ascii="Arial" w:cs="Arial" w:eastAsia="Arial" w:hAnsi="Arial"/>
          <w:sz w:val="18"/>
          <w:szCs w:val="18"/>
          <w:u w:val="single" w:color="auto"/>
          <w:color w:val="0000EE"/>
        </w:rPr>
        <w:t xml:space="preserve"> </w:t>
      </w:r>
      <w:hyperlink r:id="rId304">
        <w:r>
          <w:rPr>
            <w:rFonts w:ascii="Arial" w:cs="Arial" w:eastAsia="Arial" w:hAnsi="Arial"/>
            <w:sz w:val="18"/>
            <w:szCs w:val="18"/>
            <w:u w:val="single" w:color="auto"/>
            <w:color w:val="0000EE"/>
          </w:rPr>
          <w:t>March 17, 2005</w:t>
        </w:r>
      </w:hyperlink>
    </w:p>
    <w:p>
      <w:pPr>
        <w:spacing w:after="0" w:line="22" w:lineRule="exact"/>
        <w:rPr>
          <w:rFonts w:ascii="Arial" w:cs="Arial" w:eastAsia="Arial" w:hAnsi="Arial"/>
          <w:sz w:val="18"/>
          <w:szCs w:val="18"/>
          <w:u w:val="single" w:color="auto"/>
          <w:color w:val="0000EE"/>
        </w:rPr>
      </w:pPr>
    </w:p>
    <w:p>
      <w:pPr>
        <w:jc w:val="both"/>
        <w:ind w:left="1960" w:right="120" w:hanging="497"/>
        <w:spacing w:after="0" w:line="263"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305">
        <w:r>
          <w:rPr>
            <w:rFonts w:ascii="Arial" w:cs="Arial" w:eastAsia="Arial" w:hAnsi="Arial"/>
            <w:sz w:val="18"/>
            <w:szCs w:val="18"/>
            <w:u w:val="single" w:color="auto"/>
            <w:color w:val="0000EE"/>
          </w:rPr>
          <w:t>Second Amendment to Lease by and between the Company</w:t>
        </w:r>
      </w:hyperlink>
      <w:r>
        <w:rPr>
          <w:rFonts w:ascii="Arial" w:cs="Arial" w:eastAsia="Arial" w:hAnsi="Arial"/>
          <w:sz w:val="18"/>
          <w:szCs w:val="18"/>
          <w:u w:val="single" w:color="auto"/>
          <w:color w:val="0000EE"/>
        </w:rPr>
        <w:t xml:space="preserve"> </w:t>
      </w:r>
      <w:hyperlink r:id="rId305">
        <w:r>
          <w:rPr>
            <w:rFonts w:ascii="Arial" w:cs="Arial" w:eastAsia="Arial" w:hAnsi="Arial"/>
            <w:sz w:val="18"/>
            <w:szCs w:val="18"/>
            <w:u w:val="single" w:color="auto"/>
            <w:color w:val="0000EE"/>
          </w:rPr>
          <w:t>and the Massachusetts Development Finance Agency dated</w:t>
        </w:r>
      </w:hyperlink>
      <w:r>
        <w:rPr>
          <w:rFonts w:ascii="Arial" w:cs="Arial" w:eastAsia="Arial" w:hAnsi="Arial"/>
          <w:sz w:val="18"/>
          <w:szCs w:val="18"/>
          <w:u w:val="single" w:color="auto"/>
          <w:color w:val="0000EE"/>
        </w:rPr>
        <w:t xml:space="preserve"> </w:t>
      </w:r>
      <w:hyperlink r:id="rId305">
        <w:r>
          <w:rPr>
            <w:rFonts w:ascii="Arial" w:cs="Arial" w:eastAsia="Arial" w:hAnsi="Arial"/>
            <w:sz w:val="18"/>
            <w:szCs w:val="18"/>
            <w:u w:val="single" w:color="auto"/>
            <w:color w:val="0000EE"/>
          </w:rPr>
          <w:t>as of November 4, 2005</w:t>
        </w:r>
      </w:hyperlink>
    </w:p>
    <w:p>
      <w:pPr>
        <w:spacing w:after="0" w:line="22" w:lineRule="exact"/>
        <w:rPr>
          <w:rFonts w:ascii="Arial" w:cs="Arial" w:eastAsia="Arial" w:hAnsi="Arial"/>
          <w:sz w:val="18"/>
          <w:szCs w:val="18"/>
          <w:u w:val="single" w:color="auto"/>
          <w:color w:val="0000EE"/>
        </w:rPr>
      </w:pPr>
    </w:p>
    <w:p>
      <w:pPr>
        <w:ind w:left="1960" w:right="500" w:hanging="497"/>
        <w:spacing w:after="0" w:line="263"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306">
        <w:r>
          <w:rPr>
            <w:rFonts w:ascii="Arial" w:cs="Arial" w:eastAsia="Arial" w:hAnsi="Arial"/>
            <w:sz w:val="18"/>
            <w:szCs w:val="18"/>
            <w:u w:val="single" w:color="auto"/>
            <w:color w:val="0000EE"/>
          </w:rPr>
          <w:t>Third Amendment to Lease between Massachusetts</w:t>
        </w:r>
      </w:hyperlink>
      <w:r>
        <w:rPr>
          <w:rFonts w:ascii="Arial" w:cs="Arial" w:eastAsia="Arial" w:hAnsi="Arial"/>
          <w:sz w:val="18"/>
          <w:szCs w:val="18"/>
          <w:u w:val="single" w:color="auto"/>
          <w:color w:val="0000EE"/>
        </w:rPr>
        <w:t xml:space="preserve"> </w:t>
      </w:r>
      <w:hyperlink r:id="rId306">
        <w:r>
          <w:rPr>
            <w:rFonts w:ascii="Arial" w:cs="Arial" w:eastAsia="Arial" w:hAnsi="Arial"/>
            <w:sz w:val="18"/>
            <w:szCs w:val="18"/>
            <w:u w:val="single" w:color="auto"/>
            <w:color w:val="0000EE"/>
          </w:rPr>
          <w:t>Development Finance Agency and the Company dated</w:t>
        </w:r>
      </w:hyperlink>
      <w:r>
        <w:rPr>
          <w:rFonts w:ascii="Arial" w:cs="Arial" w:eastAsia="Arial" w:hAnsi="Arial"/>
          <w:sz w:val="18"/>
          <w:szCs w:val="18"/>
          <w:u w:val="single" w:color="auto"/>
          <w:color w:val="0000EE"/>
        </w:rPr>
        <w:t xml:space="preserve"> </w:t>
      </w:r>
      <w:hyperlink r:id="rId306">
        <w:r>
          <w:rPr>
            <w:rFonts w:ascii="Arial" w:cs="Arial" w:eastAsia="Arial" w:hAnsi="Arial"/>
            <w:sz w:val="18"/>
            <w:szCs w:val="18"/>
            <w:u w:val="single" w:color="auto"/>
            <w:color w:val="0000EE"/>
          </w:rPr>
          <w:t>December 20, 2006</w:t>
        </w:r>
      </w:hyperlink>
    </w:p>
    <w:p>
      <w:pPr>
        <w:spacing w:after="0" w:line="22" w:lineRule="exact"/>
        <w:rPr>
          <w:rFonts w:ascii="Arial" w:cs="Arial" w:eastAsia="Arial" w:hAnsi="Arial"/>
          <w:sz w:val="18"/>
          <w:szCs w:val="18"/>
          <w:u w:val="single" w:color="auto"/>
          <w:color w:val="0000EE"/>
        </w:rPr>
      </w:pPr>
    </w:p>
    <w:p>
      <w:pPr>
        <w:ind w:left="1960" w:right="500" w:hanging="497"/>
        <w:spacing w:after="0" w:line="263"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307">
        <w:r>
          <w:rPr>
            <w:rFonts w:ascii="Arial" w:cs="Arial" w:eastAsia="Arial" w:hAnsi="Arial"/>
            <w:sz w:val="18"/>
            <w:szCs w:val="18"/>
            <w:u w:val="single" w:color="auto"/>
            <w:color w:val="0000EE"/>
          </w:rPr>
          <w:t>Fifth Amendment to Lease between Massachusetts</w:t>
        </w:r>
      </w:hyperlink>
      <w:r>
        <w:rPr>
          <w:rFonts w:ascii="Arial" w:cs="Arial" w:eastAsia="Arial" w:hAnsi="Arial"/>
          <w:sz w:val="18"/>
          <w:szCs w:val="18"/>
          <w:u w:val="single" w:color="auto"/>
          <w:color w:val="0000EE"/>
        </w:rPr>
        <w:t xml:space="preserve"> </w:t>
      </w:r>
      <w:hyperlink r:id="rId307">
        <w:r>
          <w:rPr>
            <w:rFonts w:ascii="Arial" w:cs="Arial" w:eastAsia="Arial" w:hAnsi="Arial"/>
            <w:sz w:val="18"/>
            <w:szCs w:val="18"/>
            <w:u w:val="single" w:color="auto"/>
            <w:color w:val="0000EE"/>
          </w:rPr>
          <w:t>Development Finance Agency and the Company dated</w:t>
        </w:r>
      </w:hyperlink>
      <w:r>
        <w:rPr>
          <w:rFonts w:ascii="Arial" w:cs="Arial" w:eastAsia="Arial" w:hAnsi="Arial"/>
          <w:sz w:val="18"/>
          <w:szCs w:val="18"/>
          <w:u w:val="single" w:color="auto"/>
          <w:color w:val="0000EE"/>
        </w:rPr>
        <w:t xml:space="preserve"> </w:t>
      </w:r>
      <w:hyperlink r:id="rId307">
        <w:r>
          <w:rPr>
            <w:rFonts w:ascii="Arial" w:cs="Arial" w:eastAsia="Arial" w:hAnsi="Arial"/>
            <w:sz w:val="18"/>
            <w:szCs w:val="18"/>
            <w:u w:val="single" w:color="auto"/>
            <w:color w:val="0000EE"/>
          </w:rPr>
          <w:t>October 3, 2008</w:t>
        </w:r>
      </w:hyperlink>
    </w:p>
    <w:p>
      <w:pPr>
        <w:spacing w:after="0" w:line="22" w:lineRule="exact"/>
        <w:rPr>
          <w:rFonts w:ascii="Arial" w:cs="Arial" w:eastAsia="Arial" w:hAnsi="Arial"/>
          <w:sz w:val="18"/>
          <w:szCs w:val="18"/>
          <w:u w:val="single" w:color="auto"/>
          <w:color w:val="0000EE"/>
        </w:rPr>
      </w:pPr>
    </w:p>
    <w:p>
      <w:pPr>
        <w:ind w:left="1960" w:right="500" w:hanging="548"/>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10.10 </w:t>
      </w:r>
      <w:hyperlink r:id="rId308">
        <w:r>
          <w:rPr>
            <w:rFonts w:ascii="Arial" w:cs="Arial" w:eastAsia="Arial" w:hAnsi="Arial"/>
            <w:sz w:val="18"/>
            <w:szCs w:val="18"/>
            <w:u w:val="single" w:color="auto"/>
            <w:color w:val="0000EE"/>
          </w:rPr>
          <w:t>Sixth Amendment to Lease between Massachusetts</w:t>
        </w:r>
      </w:hyperlink>
      <w:r>
        <w:rPr>
          <w:rFonts w:ascii="Arial" w:cs="Arial" w:eastAsia="Arial" w:hAnsi="Arial"/>
          <w:sz w:val="18"/>
          <w:szCs w:val="18"/>
          <w:color w:val="auto"/>
        </w:rPr>
        <w:t xml:space="preserve"> </w:t>
      </w:r>
      <w:hyperlink r:id="rId308">
        <w:r>
          <w:rPr>
            <w:rFonts w:ascii="Arial" w:cs="Arial" w:eastAsia="Arial" w:hAnsi="Arial"/>
            <w:sz w:val="18"/>
            <w:szCs w:val="18"/>
            <w:u w:val="single" w:color="auto"/>
            <w:color w:val="0000EE"/>
          </w:rPr>
          <w:t>Development Finance Agency and the Company dated</w:t>
        </w:r>
      </w:hyperlink>
      <w:r>
        <w:rPr>
          <w:rFonts w:ascii="Arial" w:cs="Arial" w:eastAsia="Arial" w:hAnsi="Arial"/>
          <w:sz w:val="18"/>
          <w:szCs w:val="18"/>
          <w:u w:val="single" w:color="auto"/>
          <w:color w:val="0000EE"/>
        </w:rPr>
        <w:t xml:space="preserve"> </w:t>
      </w:r>
      <w:hyperlink r:id="rId308">
        <w:r>
          <w:rPr>
            <w:rFonts w:ascii="Arial" w:cs="Arial" w:eastAsia="Arial" w:hAnsi="Arial"/>
            <w:sz w:val="18"/>
            <w:szCs w:val="18"/>
            <w:u w:val="single" w:color="auto"/>
            <w:color w:val="0000EE"/>
          </w:rPr>
          <w:t>August 20, 2009</w:t>
        </w:r>
      </w:hyperlink>
    </w:p>
    <w:p>
      <w:pPr>
        <w:spacing w:after="0" w:line="22" w:lineRule="exact"/>
        <w:rPr>
          <w:rFonts w:ascii="Arial" w:cs="Arial" w:eastAsia="Arial" w:hAnsi="Arial"/>
          <w:sz w:val="18"/>
          <w:szCs w:val="18"/>
          <w:color w:val="auto"/>
        </w:rPr>
      </w:pPr>
    </w:p>
    <w:p>
      <w:pPr>
        <w:jc w:val="both"/>
        <w:ind w:left="1960" w:right="60" w:hanging="545"/>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309">
        <w:r>
          <w:rPr>
            <w:rFonts w:ascii="Arial" w:cs="Arial" w:eastAsia="Arial" w:hAnsi="Arial"/>
            <w:sz w:val="18"/>
            <w:szCs w:val="18"/>
            <w:u w:val="single" w:color="auto"/>
            <w:color w:val="0000EE"/>
          </w:rPr>
          <w:t>Seventh Amendment to Lease by and between the Company</w:t>
        </w:r>
      </w:hyperlink>
      <w:r>
        <w:rPr>
          <w:rFonts w:ascii="Arial" w:cs="Arial" w:eastAsia="Arial" w:hAnsi="Arial"/>
          <w:sz w:val="18"/>
          <w:szCs w:val="18"/>
          <w:color w:val="auto"/>
        </w:rPr>
        <w:t xml:space="preserve"> </w:t>
      </w:r>
      <w:hyperlink r:id="rId309">
        <w:r>
          <w:rPr>
            <w:rFonts w:ascii="Arial" w:cs="Arial" w:eastAsia="Arial" w:hAnsi="Arial"/>
            <w:sz w:val="18"/>
            <w:szCs w:val="18"/>
            <w:u w:val="single" w:color="auto"/>
            <w:color w:val="0000EE"/>
          </w:rPr>
          <w:t>and the Massachusetts Development Finance Agency dated</w:t>
        </w:r>
      </w:hyperlink>
      <w:r>
        <w:rPr>
          <w:rFonts w:ascii="Arial" w:cs="Arial" w:eastAsia="Arial" w:hAnsi="Arial"/>
          <w:sz w:val="18"/>
          <w:szCs w:val="18"/>
          <w:u w:val="single" w:color="auto"/>
          <w:color w:val="0000EE"/>
        </w:rPr>
        <w:t xml:space="preserve"> </w:t>
      </w:r>
      <w:hyperlink r:id="rId309">
        <w:r>
          <w:rPr>
            <w:rFonts w:ascii="Arial" w:cs="Arial" w:eastAsia="Arial" w:hAnsi="Arial"/>
            <w:sz w:val="18"/>
            <w:szCs w:val="18"/>
            <w:u w:val="single" w:color="auto"/>
            <w:color w:val="0000EE"/>
          </w:rPr>
          <w:t>as of June 22, 2010</w:t>
        </w:r>
      </w:hyperlink>
    </w:p>
    <w:p>
      <w:pPr>
        <w:spacing w:after="0" w:line="22" w:lineRule="exact"/>
        <w:rPr>
          <w:rFonts w:ascii="Arial" w:cs="Arial" w:eastAsia="Arial" w:hAnsi="Arial"/>
          <w:sz w:val="18"/>
          <w:szCs w:val="18"/>
          <w:color w:val="auto"/>
        </w:rPr>
      </w:pPr>
    </w:p>
    <w:p>
      <w:pPr>
        <w:ind w:left="1960" w:right="160" w:hanging="548"/>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10.12 </w:t>
      </w:r>
      <w:hyperlink r:id="rId310">
        <w:r>
          <w:rPr>
            <w:rFonts w:ascii="Arial" w:cs="Arial" w:eastAsia="Arial" w:hAnsi="Arial"/>
            <w:sz w:val="18"/>
            <w:szCs w:val="18"/>
            <w:u w:val="single" w:color="auto"/>
            <w:color w:val="0000EE"/>
          </w:rPr>
          <w:t>Eighth Amendment to Lease by and between the Company</w:t>
        </w:r>
      </w:hyperlink>
      <w:r>
        <w:rPr>
          <w:rFonts w:ascii="Arial" w:cs="Arial" w:eastAsia="Arial" w:hAnsi="Arial"/>
          <w:sz w:val="18"/>
          <w:szCs w:val="18"/>
          <w:color w:val="auto"/>
        </w:rPr>
        <w:t xml:space="preserve"> </w:t>
      </w:r>
      <w:hyperlink r:id="rId310">
        <w:r>
          <w:rPr>
            <w:rFonts w:ascii="Arial" w:cs="Arial" w:eastAsia="Arial" w:hAnsi="Arial"/>
            <w:sz w:val="18"/>
            <w:szCs w:val="18"/>
            <w:u w:val="single" w:color="auto"/>
            <w:color w:val="0000EE"/>
          </w:rPr>
          <w:t>and University of Massachusetts Dartmouth dated as of</w:t>
        </w:r>
      </w:hyperlink>
      <w:r>
        <w:rPr>
          <w:rFonts w:ascii="Arial" w:cs="Arial" w:eastAsia="Arial" w:hAnsi="Arial"/>
          <w:sz w:val="18"/>
          <w:szCs w:val="18"/>
          <w:u w:val="single" w:color="auto"/>
          <w:color w:val="0000EE"/>
        </w:rPr>
        <w:t xml:space="preserve"> </w:t>
      </w:r>
      <w:hyperlink r:id="rId310">
        <w:r>
          <w:rPr>
            <w:rFonts w:ascii="Arial" w:cs="Arial" w:eastAsia="Arial" w:hAnsi="Arial"/>
            <w:sz w:val="18"/>
            <w:szCs w:val="18"/>
            <w:u w:val="single" w:color="auto"/>
            <w:color w:val="0000EE"/>
          </w:rPr>
          <w:t>November 1, 2015</w:t>
        </w:r>
      </w:hyperlink>
    </w:p>
    <w:p>
      <w:pPr>
        <w:spacing w:after="0" w:line="22" w:lineRule="exact"/>
        <w:rPr>
          <w:rFonts w:ascii="Arial" w:cs="Arial" w:eastAsia="Arial" w:hAnsi="Arial"/>
          <w:sz w:val="18"/>
          <w:szCs w:val="18"/>
          <w:color w:val="auto"/>
        </w:rPr>
      </w:pPr>
    </w:p>
    <w:p>
      <w:pPr>
        <w:ind w:left="1960" w:right="240" w:hanging="548"/>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10.13 </w:t>
      </w:r>
      <w:hyperlink r:id="rId311">
        <w:r>
          <w:rPr>
            <w:rFonts w:ascii="Arial" w:cs="Arial" w:eastAsia="Arial" w:hAnsi="Arial"/>
            <w:sz w:val="18"/>
            <w:szCs w:val="18"/>
            <w:u w:val="single" w:color="auto"/>
            <w:color w:val="0000EE"/>
          </w:rPr>
          <w:t>Ninth Amendment to Lease by and between the Company</w:t>
        </w:r>
      </w:hyperlink>
      <w:r>
        <w:rPr>
          <w:rFonts w:ascii="Arial" w:cs="Arial" w:eastAsia="Arial" w:hAnsi="Arial"/>
          <w:sz w:val="18"/>
          <w:szCs w:val="18"/>
          <w:color w:val="auto"/>
        </w:rPr>
        <w:t xml:space="preserve"> </w:t>
      </w:r>
      <w:hyperlink r:id="rId311">
        <w:r>
          <w:rPr>
            <w:rFonts w:ascii="Arial" w:cs="Arial" w:eastAsia="Arial" w:hAnsi="Arial"/>
            <w:sz w:val="18"/>
            <w:szCs w:val="18"/>
            <w:u w:val="single" w:color="auto"/>
            <w:color w:val="0000EE"/>
          </w:rPr>
          <w:t>and University of Massachusetts Dartmouth dated as of</w:t>
        </w:r>
      </w:hyperlink>
      <w:r>
        <w:rPr>
          <w:rFonts w:ascii="Arial" w:cs="Arial" w:eastAsia="Arial" w:hAnsi="Arial"/>
          <w:sz w:val="18"/>
          <w:szCs w:val="18"/>
          <w:u w:val="single" w:color="auto"/>
          <w:color w:val="0000EE"/>
        </w:rPr>
        <w:t xml:space="preserve"> </w:t>
      </w:r>
      <w:hyperlink r:id="rId311">
        <w:r>
          <w:rPr>
            <w:rFonts w:ascii="Arial" w:cs="Arial" w:eastAsia="Arial" w:hAnsi="Arial"/>
            <w:sz w:val="18"/>
            <w:szCs w:val="18"/>
            <w:u w:val="single" w:color="auto"/>
            <w:color w:val="0000EE"/>
          </w:rPr>
          <w:t>October 1, 2019</w:t>
        </w:r>
      </w:hyperlink>
    </w:p>
    <w:p>
      <w:pPr>
        <w:spacing w:after="0" w:line="22" w:lineRule="exact"/>
        <w:rPr>
          <w:rFonts w:ascii="Arial" w:cs="Arial" w:eastAsia="Arial" w:hAnsi="Arial"/>
          <w:sz w:val="18"/>
          <w:szCs w:val="18"/>
          <w:color w:val="auto"/>
        </w:rPr>
      </w:pPr>
    </w:p>
    <w:p>
      <w:pPr>
        <w:ind w:left="1960" w:right="180" w:hanging="5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10.14 </w:t>
      </w:r>
      <w:hyperlink r:id="rId312">
        <w:r>
          <w:rPr>
            <w:rFonts w:ascii="Arial" w:cs="Arial" w:eastAsia="Arial" w:hAnsi="Arial"/>
            <w:sz w:val="18"/>
            <w:szCs w:val="18"/>
            <w:u w:val="single" w:color="auto"/>
            <w:color w:val="0000EE"/>
          </w:rPr>
          <w:t>Lease Agreement dated as of May 1, 2013 by and between</w:t>
        </w:r>
      </w:hyperlink>
      <w:r>
        <w:rPr>
          <w:rFonts w:ascii="Arial" w:cs="Arial" w:eastAsia="Arial" w:hAnsi="Arial"/>
          <w:sz w:val="18"/>
          <w:szCs w:val="18"/>
          <w:color w:val="auto"/>
        </w:rPr>
        <w:t xml:space="preserve"> </w:t>
      </w:r>
      <w:hyperlink r:id="rId312">
        <w:r>
          <w:rPr>
            <w:rFonts w:ascii="Arial" w:cs="Arial" w:eastAsia="Arial" w:hAnsi="Arial"/>
            <w:sz w:val="18"/>
            <w:szCs w:val="18"/>
            <w:u w:val="single" w:color="auto"/>
            <w:color w:val="0000EE"/>
          </w:rPr>
          <w:t>Crown Perryville, LLC and the Company.</w:t>
        </w:r>
      </w:hyperlink>
    </w:p>
    <w:p>
      <w:pPr>
        <w:spacing w:after="0" w:line="8" w:lineRule="exact"/>
        <w:rPr>
          <w:sz w:val="20"/>
          <w:szCs w:val="20"/>
          <w:color w:val="auto"/>
        </w:rPr>
      </w:pPr>
    </w:p>
    <w:p>
      <w:pPr>
        <w:ind w:left="1960" w:right="280" w:hanging="5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10.15 </w:t>
      </w:r>
      <w:hyperlink r:id="rId313">
        <w:r>
          <w:rPr>
            <w:rFonts w:ascii="Arial" w:cs="Arial" w:eastAsia="Arial" w:hAnsi="Arial"/>
            <w:sz w:val="18"/>
            <w:szCs w:val="18"/>
            <w:u w:val="single" w:color="auto"/>
            <w:color w:val="0000EE"/>
          </w:rPr>
          <w:t>First Amendment to Lease between Company and Crown</w:t>
        </w:r>
      </w:hyperlink>
      <w:r>
        <w:rPr>
          <w:rFonts w:ascii="Arial" w:cs="Arial" w:eastAsia="Arial" w:hAnsi="Arial"/>
          <w:sz w:val="18"/>
          <w:szCs w:val="18"/>
          <w:color w:val="auto"/>
        </w:rPr>
        <w:t xml:space="preserve"> </w:t>
      </w:r>
      <w:hyperlink r:id="rId313">
        <w:r>
          <w:rPr>
            <w:rFonts w:ascii="Arial" w:cs="Arial" w:eastAsia="Arial" w:hAnsi="Arial"/>
            <w:sz w:val="18"/>
            <w:szCs w:val="18"/>
            <w:u w:val="single" w:color="auto"/>
            <w:color w:val="0000EE"/>
          </w:rPr>
          <w:t>Perryville, LLC dated as of June 17, 2015</w:t>
        </w:r>
      </w:hyperlink>
    </w:p>
    <w:p>
      <w:pPr>
        <w:spacing w:after="0" w:line="8" w:lineRule="exact"/>
        <w:rPr>
          <w:sz w:val="20"/>
          <w:szCs w:val="20"/>
          <w:color w:val="auto"/>
        </w:rPr>
      </w:pPr>
    </w:p>
    <w:p>
      <w:pPr>
        <w:ind w:left="1960" w:right="160" w:hanging="548"/>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10.16 </w:t>
      </w:r>
      <w:hyperlink r:id="rId314">
        <w:r>
          <w:rPr>
            <w:rFonts w:ascii="Arial" w:cs="Arial" w:eastAsia="Arial" w:hAnsi="Arial"/>
            <w:sz w:val="18"/>
            <w:szCs w:val="18"/>
            <w:u w:val="single" w:color="auto"/>
            <w:color w:val="0000EE"/>
          </w:rPr>
          <w:t>Second Amendment to Lease Agreement between the</w:t>
        </w:r>
      </w:hyperlink>
      <w:r>
        <w:rPr>
          <w:rFonts w:ascii="Arial" w:cs="Arial" w:eastAsia="Arial" w:hAnsi="Arial"/>
          <w:sz w:val="18"/>
          <w:szCs w:val="18"/>
          <w:color w:val="auto"/>
        </w:rPr>
        <w:t xml:space="preserve"> </w:t>
      </w:r>
      <w:hyperlink r:id="rId314">
        <w:r>
          <w:rPr>
            <w:rFonts w:ascii="Arial" w:cs="Arial" w:eastAsia="Arial" w:hAnsi="Arial"/>
            <w:sz w:val="18"/>
            <w:szCs w:val="18"/>
            <w:u w:val="single" w:color="auto"/>
            <w:color w:val="0000EE"/>
          </w:rPr>
          <w:t>Company and Crown Perryville, LLC dated as of March 8,</w:t>
        </w:r>
      </w:hyperlink>
      <w:r>
        <w:rPr>
          <w:rFonts w:ascii="Arial" w:cs="Arial" w:eastAsia="Arial" w:hAnsi="Arial"/>
          <w:sz w:val="18"/>
          <w:szCs w:val="18"/>
          <w:u w:val="single" w:color="auto"/>
          <w:color w:val="0000EE"/>
        </w:rPr>
        <w:t xml:space="preserve"> </w:t>
      </w:r>
      <w:hyperlink r:id="rId314">
        <w:r>
          <w:rPr>
            <w:rFonts w:ascii="Arial" w:cs="Arial" w:eastAsia="Arial" w:hAnsi="Arial"/>
            <w:sz w:val="18"/>
            <w:szCs w:val="18"/>
            <w:u w:val="single" w:color="auto"/>
            <w:color w:val="0000EE"/>
          </w:rPr>
          <w:t>2019</w:t>
        </w:r>
      </w:hyperlink>
    </w:p>
    <w:p>
      <w:pPr>
        <w:spacing w:after="0" w:line="386" w:lineRule="exact"/>
        <w:rPr>
          <w:rFonts w:ascii="Arial" w:cs="Arial" w:eastAsia="Arial" w:hAnsi="Arial"/>
          <w:sz w:val="18"/>
          <w:szCs w:val="18"/>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ind w:left="540"/>
        <w:spacing w:after="0"/>
        <w:rPr>
          <w:sz w:val="20"/>
          <w:szCs w:val="20"/>
          <w:color w:val="auto"/>
        </w:rPr>
      </w:pPr>
      <w:r>
        <w:rPr>
          <w:rFonts w:ascii="Arial" w:cs="Arial" w:eastAsia="Arial" w:hAnsi="Arial"/>
          <w:sz w:val="14"/>
          <w:szCs w:val="14"/>
          <w:b w:val="1"/>
          <w:bCs w:val="1"/>
          <w:color w:val="auto"/>
        </w:rPr>
        <w:t>Incorporated by Reference to</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7748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76"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Form and</w:t>
            </w:r>
          </w:p>
        </w:tc>
        <w:tc>
          <w:tcPr>
            <w:tcW w:w="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SEC</w:t>
            </w:r>
          </w:p>
        </w:tc>
      </w:tr>
      <w:tr>
        <w:trPr>
          <w:trHeight w:val="186"/>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SEC File No.</w:t>
            </w:r>
          </w:p>
        </w:tc>
        <w:tc>
          <w:tcPr>
            <w:tcW w:w="6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Filing Date</w:t>
            </w:r>
          </w:p>
        </w:tc>
      </w:tr>
      <w:tr>
        <w:trPr>
          <w:trHeight w:val="26"/>
        </w:trPr>
        <w:tc>
          <w:tcPr>
            <w:tcW w:w="1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465"/>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10-Q/A</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3"/>
              </w:rPr>
              <w:t>10.11</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6"/>
              </w:rPr>
              <w:t>8/23/96</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2"/>
        </w:trPr>
        <w:tc>
          <w:tcPr>
            <w:tcW w:w="14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6"/>
              </w:rPr>
              <w:t>3/27/02</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674"/>
        </w:trPr>
        <w:tc>
          <w:tcPr>
            <w:tcW w:w="14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3"/>
              </w:rPr>
              <w:t>10.40</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6"/>
              </w:rPr>
              <w:t>3/16/06</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674"/>
        </w:trPr>
        <w:tc>
          <w:tcPr>
            <w:tcW w:w="1480" w:type="dxa"/>
            <w:vAlign w:val="bottom"/>
          </w:tcPr>
          <w:p>
            <w:pPr>
              <w:jc w:val="center"/>
              <w:spacing w:after="0"/>
              <w:rPr>
                <w:sz w:val="20"/>
                <w:szCs w:val="20"/>
                <w:color w:val="auto"/>
              </w:rPr>
            </w:pPr>
            <w:r>
              <w:rPr>
                <w:rFonts w:ascii="Arial" w:cs="Arial" w:eastAsia="Arial" w:hAnsi="Arial"/>
                <w:sz w:val="18"/>
                <w:szCs w:val="18"/>
                <w:color w:val="auto"/>
              </w:rPr>
              <w:t>10-K/A</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6"/>
              </w:rPr>
              <w:t>2/25/16</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6"/>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6"/>
              </w:rPr>
              <w:t>4/30/04</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72"/>
        </w:trPr>
        <w:tc>
          <w:tcPr>
            <w:tcW w:w="1480" w:type="dxa"/>
            <w:vAlign w:val="bottom"/>
          </w:tcPr>
          <w:p>
            <w:pPr>
              <w:jc w:val="center"/>
              <w:spacing w:after="0"/>
              <w:rPr>
                <w:sz w:val="20"/>
                <w:szCs w:val="20"/>
                <w:color w:val="auto"/>
              </w:rPr>
            </w:pPr>
            <w:r>
              <w:rPr>
                <w:rFonts w:ascii="Arial" w:cs="Arial" w:eastAsia="Arial" w:hAnsi="Arial"/>
                <w:sz w:val="18"/>
                <w:szCs w:val="18"/>
                <w:color w:val="auto"/>
              </w:rPr>
              <w:t>10-K/A</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10.6</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12/23/10</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72"/>
        </w:trPr>
        <w:tc>
          <w:tcPr>
            <w:tcW w:w="14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3"/>
              </w:rPr>
              <w:t>10.41</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6"/>
              </w:rPr>
              <w:t>3/16/06</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72"/>
        </w:trPr>
        <w:tc>
          <w:tcPr>
            <w:tcW w:w="1480" w:type="dxa"/>
            <w:vAlign w:val="bottom"/>
          </w:tcPr>
          <w:p>
            <w:pPr>
              <w:jc w:val="center"/>
              <w:spacing w:after="0"/>
              <w:rPr>
                <w:sz w:val="20"/>
                <w:szCs w:val="20"/>
                <w:color w:val="auto"/>
              </w:rPr>
            </w:pPr>
            <w:r>
              <w:rPr>
                <w:rFonts w:ascii="Arial" w:cs="Arial" w:eastAsia="Arial" w:hAnsi="Arial"/>
                <w:sz w:val="18"/>
                <w:szCs w:val="18"/>
                <w:color w:val="auto"/>
              </w:rPr>
              <w:t>10-K/A</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10.7</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12/23/10</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72"/>
        </w:trPr>
        <w:tc>
          <w:tcPr>
            <w:tcW w:w="1480" w:type="dxa"/>
            <w:vAlign w:val="bottom"/>
          </w:tcPr>
          <w:p>
            <w:pPr>
              <w:jc w:val="center"/>
              <w:spacing w:after="0"/>
              <w:rPr>
                <w:sz w:val="20"/>
                <w:szCs w:val="20"/>
                <w:color w:val="auto"/>
              </w:rPr>
            </w:pPr>
            <w:r>
              <w:rPr>
                <w:rFonts w:ascii="Arial" w:cs="Arial" w:eastAsia="Arial" w:hAnsi="Arial"/>
                <w:sz w:val="18"/>
                <w:szCs w:val="18"/>
                <w:color w:val="auto"/>
              </w:rPr>
              <w:t>10-K/A</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10.8</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12/23/10</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72"/>
        </w:trPr>
        <w:tc>
          <w:tcPr>
            <w:tcW w:w="1480" w:type="dxa"/>
            <w:vAlign w:val="bottom"/>
          </w:tcPr>
          <w:p>
            <w:pPr>
              <w:jc w:val="center"/>
              <w:spacing w:after="0"/>
              <w:rPr>
                <w:sz w:val="20"/>
                <w:szCs w:val="20"/>
                <w:color w:val="auto"/>
              </w:rPr>
            </w:pPr>
            <w:r>
              <w:rPr>
                <w:rFonts w:ascii="Arial" w:cs="Arial" w:eastAsia="Arial" w:hAnsi="Arial"/>
                <w:sz w:val="18"/>
                <w:szCs w:val="18"/>
                <w:color w:val="auto"/>
              </w:rPr>
              <w:t>10-K/A</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12/23/10</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72"/>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5"/>
              </w:rPr>
              <w:t>8/5/10</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72"/>
        </w:trPr>
        <w:tc>
          <w:tcPr>
            <w:tcW w:w="1480" w:type="dxa"/>
            <w:vAlign w:val="bottom"/>
          </w:tcPr>
          <w:p>
            <w:pPr>
              <w:jc w:val="center"/>
              <w:spacing w:after="0"/>
              <w:rPr>
                <w:sz w:val="20"/>
                <w:szCs w:val="20"/>
                <w:color w:val="auto"/>
              </w:rPr>
            </w:pPr>
            <w:r>
              <w:rPr>
                <w:rFonts w:ascii="Arial" w:cs="Arial" w:eastAsia="Arial" w:hAnsi="Arial"/>
                <w:sz w:val="18"/>
                <w:szCs w:val="18"/>
                <w:color w:val="auto"/>
              </w:rPr>
              <w:t>10-K/A</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3"/>
              </w:rPr>
              <w:t>10.12</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6"/>
              </w:rPr>
              <w:t>2/25/16</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72"/>
        </w:trPr>
        <w:tc>
          <w:tcPr>
            <w:tcW w:w="14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3"/>
              </w:rPr>
              <w:t>10.13</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6"/>
              </w:rPr>
              <w:t>3/26/20</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72"/>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6"/>
              </w:rPr>
              <w:t>5/03/13</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6"/>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6"/>
              </w:rPr>
              <w:t>8/10/15</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6"/>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5"/>
              </w:rPr>
              <w:t>5/7/19</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1276985</wp:posOffset>
            </wp:positionH>
            <wp:positionV relativeFrom="paragraph">
              <wp:posOffset>-6840220</wp:posOffset>
            </wp:positionV>
            <wp:extent cx="34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-6840220</wp:posOffset>
            </wp:positionV>
            <wp:extent cx="342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-6840220</wp:posOffset>
            </wp:positionV>
            <wp:extent cx="34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2">
            <w:col w:w="6560" w:space="60"/>
            <w:col w:w="325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Incorporated by Reference to</w:t>
            </w:r>
          </w:p>
        </w:tc>
        <w:tc>
          <w:tcPr>
            <w:tcW w:w="130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73"/>
        </w:trPr>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Form and</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SEC</w:t>
            </w:r>
          </w:p>
        </w:tc>
        <w:tc>
          <w:tcPr>
            <w:tcW w:w="1300" w:type="dxa"/>
            <w:vAlign w:val="bottom"/>
          </w:tcPr>
          <w:p>
            <w:pPr>
              <w:spacing w:after="0"/>
              <w:rPr>
                <w:sz w:val="15"/>
                <w:szCs w:val="15"/>
                <w:color w:val="auto"/>
              </w:rPr>
            </w:pPr>
          </w:p>
        </w:tc>
      </w:tr>
      <w:tr>
        <w:trPr>
          <w:trHeight w:val="186"/>
        </w:trPr>
        <w:tc>
          <w:tcPr>
            <w:tcW w:w="12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22"/>
          </w:tcPr>
          <w:p>
            <w:pPr>
              <w:ind w:left="10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SEC File No.</w:t>
            </w:r>
          </w:p>
        </w:tc>
        <w:tc>
          <w:tcPr>
            <w:tcW w:w="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No.</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Filing Date</w:t>
            </w:r>
          </w:p>
        </w:tc>
        <w:tc>
          <w:tcPr>
            <w:tcW w:w="130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260" w:type="dxa"/>
            <w:vAlign w:val="bottom"/>
          </w:tcPr>
          <w:p>
            <w:pPr>
              <w:spacing w:after="0"/>
              <w:rPr>
                <w:sz w:val="17"/>
                <w:szCs w:val="17"/>
                <w:color w:val="auto"/>
              </w:rPr>
            </w:pPr>
          </w:p>
        </w:tc>
        <w:tc>
          <w:tcPr>
            <w:tcW w:w="5520" w:type="dxa"/>
            <w:vAlign w:val="bottom"/>
            <w:gridSpan w:val="33"/>
          </w:tcPr>
          <w:p>
            <w:pPr>
              <w:ind w:left="1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10.17  </w:t>
            </w:r>
            <w:hyperlink r:id="rId320">
              <w:r>
                <w:rPr>
                  <w:rFonts w:ascii="Arial" w:cs="Arial" w:eastAsia="Arial" w:hAnsi="Arial"/>
                  <w:sz w:val="18"/>
                  <w:szCs w:val="18"/>
                  <w:color w:val="0000EE"/>
                </w:rPr>
                <w:t>Extension of Lease Agreement between the Company and</w:t>
              </w:r>
            </w:hyperlink>
          </w:p>
        </w:tc>
        <w:tc>
          <w:tcPr>
            <w:tcW w:w="138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auto"/>
                <w:w w:val="94"/>
              </w:rPr>
              <w:t>10-Q</w:t>
            </w: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5"/>
              </w:rPr>
              <w:t>8/6/20</w:t>
            </w:r>
          </w:p>
        </w:tc>
        <w:tc>
          <w:tcPr>
            <w:tcW w:w="13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8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320">
              <w:r>
                <w:rPr>
                  <w:rFonts w:ascii="Arial" w:cs="Arial" w:eastAsia="Arial" w:hAnsi="Arial"/>
                  <w:sz w:val="18"/>
                  <w:szCs w:val="18"/>
                  <w:color w:val="0000EE"/>
                  <w:w w:val="93"/>
                </w:rPr>
                <w:t>University of Massachusetts Dartmouth dated as of July 1,</w:t>
              </w:r>
            </w:hyperlink>
          </w:p>
        </w:tc>
        <w:tc>
          <w:tcPr>
            <w:tcW w:w="400" w:type="dxa"/>
            <w:vAlign w:val="bottom"/>
            <w:gridSpan w:val="8"/>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spacing w:after="0" w:line="196" w:lineRule="exact"/>
              <w:rPr>
                <w:rFonts w:ascii="Arial" w:cs="Arial" w:eastAsia="Arial" w:hAnsi="Arial"/>
                <w:sz w:val="18"/>
                <w:szCs w:val="18"/>
                <w:color w:val="0000EE"/>
                <w:w w:val="89"/>
              </w:rPr>
            </w:pPr>
            <w:hyperlink r:id="rId320">
              <w:r>
                <w:rPr>
                  <w:rFonts w:ascii="Arial" w:cs="Arial" w:eastAsia="Arial" w:hAnsi="Arial"/>
                  <w:sz w:val="18"/>
                  <w:szCs w:val="18"/>
                  <w:color w:val="0000EE"/>
                  <w:w w:val="89"/>
                </w:rPr>
                <w:t>2020</w:t>
              </w:r>
            </w:hyperlink>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260" w:type="dxa"/>
            <w:vAlign w:val="bottom"/>
          </w:tcPr>
          <w:p>
            <w:pPr>
              <w:spacing w:after="0"/>
              <w:rPr>
                <w:sz w:val="24"/>
                <w:szCs w:val="24"/>
                <w:color w:val="auto"/>
              </w:rPr>
            </w:pPr>
          </w:p>
        </w:tc>
        <w:tc>
          <w:tcPr>
            <w:tcW w:w="6900" w:type="dxa"/>
            <w:vAlign w:val="bottom"/>
            <w:gridSpan w:val="35"/>
          </w:tcPr>
          <w:p>
            <w:pPr>
              <w:spacing w:after="0"/>
              <w:rPr>
                <w:sz w:val="20"/>
                <w:szCs w:val="20"/>
                <w:color w:val="auto"/>
              </w:rPr>
            </w:pPr>
            <w:r>
              <w:rPr>
                <w:rFonts w:ascii="Arial" w:cs="Arial" w:eastAsia="Arial" w:hAnsi="Arial"/>
                <w:sz w:val="18"/>
                <w:szCs w:val="18"/>
                <w:i w:val="1"/>
                <w:iCs w:val="1"/>
                <w:color w:val="auto"/>
              </w:rPr>
              <w:t>Material Contracts – License, Collaboration, Supply and Distribution Agreements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2"/>
        </w:trPr>
        <w:tc>
          <w:tcPr>
            <w:tcW w:w="1260" w:type="dxa"/>
            <w:vAlign w:val="bottom"/>
          </w:tcPr>
          <w:p>
            <w:pPr>
              <w:spacing w:after="0"/>
              <w:rPr>
                <w:sz w:val="17"/>
                <w:szCs w:val="17"/>
                <w:color w:val="auto"/>
              </w:rPr>
            </w:pPr>
          </w:p>
        </w:tc>
        <w:tc>
          <w:tcPr>
            <w:tcW w:w="640" w:type="dxa"/>
            <w:vAlign w:val="bottom"/>
          </w:tcPr>
          <w:p>
            <w:pPr>
              <w:ind w:left="60"/>
              <w:spacing w:after="0" w:line="202" w:lineRule="exact"/>
              <w:rPr>
                <w:sz w:val="20"/>
                <w:szCs w:val="20"/>
                <w:color w:val="auto"/>
              </w:rPr>
            </w:pPr>
            <w:r>
              <w:rPr>
                <w:rFonts w:ascii="Arial" w:cs="Arial" w:eastAsia="Arial" w:hAnsi="Arial"/>
                <w:sz w:val="18"/>
                <w:szCs w:val="18"/>
                <w:color w:val="auto"/>
              </w:rPr>
              <w:t>*10.18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40" w:type="dxa"/>
            <w:vAlign w:val="bottom"/>
            <w:tcBorders>
              <w:bottom w:val="single" w:sz="8" w:color="0000EE"/>
            </w:tcBorders>
            <w:gridSpan w:val="23"/>
          </w:tcPr>
          <w:p>
            <w:pPr>
              <w:spacing w:after="0" w:line="202" w:lineRule="exact"/>
              <w:rPr>
                <w:rFonts w:ascii="Arial" w:cs="Arial" w:eastAsia="Arial" w:hAnsi="Arial"/>
                <w:sz w:val="18"/>
                <w:szCs w:val="18"/>
                <w:color w:val="0000EE"/>
                <w:w w:val="93"/>
              </w:rPr>
            </w:pPr>
            <w:hyperlink r:id="rId321">
              <w:r>
                <w:rPr>
                  <w:rFonts w:ascii="Arial" w:cs="Arial" w:eastAsia="Arial" w:hAnsi="Arial"/>
                  <w:sz w:val="18"/>
                  <w:szCs w:val="18"/>
                  <w:color w:val="0000EE"/>
                  <w:w w:val="93"/>
                </w:rPr>
                <w:t>Exclusive Patent and Know-How License Agreement dated</w:t>
              </w:r>
            </w:hyperlink>
          </w:p>
        </w:tc>
        <w:tc>
          <w:tcPr>
            <w:tcW w:w="340" w:type="dxa"/>
            <w:vAlign w:val="bottom"/>
            <w:gridSpan w:val="7"/>
          </w:tcPr>
          <w:p>
            <w:pPr>
              <w:spacing w:after="0"/>
              <w:rPr>
                <w:sz w:val="17"/>
                <w:szCs w:val="17"/>
                <w:color w:val="auto"/>
              </w:rPr>
            </w:pPr>
          </w:p>
        </w:tc>
        <w:tc>
          <w:tcPr>
            <w:tcW w:w="138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10-K</w:t>
            </w:r>
          </w:p>
        </w:tc>
        <w:tc>
          <w:tcPr>
            <w:tcW w:w="480" w:type="dxa"/>
            <w:vAlign w:val="bottom"/>
          </w:tcPr>
          <w:p>
            <w:pPr>
              <w:jc w:val="center"/>
              <w:spacing w:after="0" w:line="202" w:lineRule="exact"/>
              <w:rPr>
                <w:sz w:val="20"/>
                <w:szCs w:val="20"/>
                <w:color w:val="auto"/>
              </w:rPr>
            </w:pPr>
            <w:r>
              <w:rPr>
                <w:rFonts w:ascii="Arial" w:cs="Arial" w:eastAsia="Arial" w:hAnsi="Arial"/>
                <w:sz w:val="18"/>
                <w:szCs w:val="18"/>
                <w:color w:val="auto"/>
                <w:w w:val="93"/>
              </w:rPr>
              <w:t>10.47</w:t>
            </w:r>
          </w:p>
        </w:tc>
        <w:tc>
          <w:tcPr>
            <w:tcW w:w="4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5"/>
              </w:rPr>
              <w:t>3/2/09</w:t>
            </w: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321">
              <w:r>
                <w:rPr>
                  <w:rFonts w:ascii="Arial" w:cs="Arial" w:eastAsia="Arial" w:hAnsi="Arial"/>
                  <w:sz w:val="18"/>
                  <w:szCs w:val="18"/>
                  <w:color w:val="0000EE"/>
                  <w:w w:val="92"/>
                </w:rPr>
                <w:t>as of November 5, 2008 between the Company and the</w:t>
              </w:r>
            </w:hyperlink>
          </w:p>
        </w:tc>
        <w:tc>
          <w:tcPr>
            <w:tcW w:w="680" w:type="dxa"/>
            <w:vAlign w:val="bottom"/>
            <w:gridSpan w:val="15"/>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321">
              <w:r>
                <w:rPr>
                  <w:rFonts w:ascii="Arial" w:cs="Arial" w:eastAsia="Arial" w:hAnsi="Arial"/>
                  <w:sz w:val="18"/>
                  <w:szCs w:val="18"/>
                  <w:color w:val="0000EE"/>
                  <w:w w:val="94"/>
                </w:rPr>
                <w:t>University of Southampton</w:t>
              </w:r>
            </w:hyperlink>
          </w:p>
        </w:tc>
        <w:tc>
          <w:tcPr>
            <w:tcW w:w="2760" w:type="dxa"/>
            <w:vAlign w:val="bottom"/>
            <w:gridSpan w:val="21"/>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7"/>
        </w:trPr>
        <w:tc>
          <w:tcPr>
            <w:tcW w:w="126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80" w:type="dxa"/>
            <w:vAlign w:val="bottom"/>
            <w:gridSpan w:val="30"/>
          </w:tcPr>
          <w:p>
            <w:pPr>
              <w:spacing w:after="0"/>
              <w:rPr>
                <w:rFonts w:ascii="Arial" w:cs="Arial" w:eastAsia="Arial" w:hAnsi="Arial"/>
                <w:sz w:val="18"/>
                <w:szCs w:val="18"/>
                <w:color w:val="0000EE"/>
              </w:rPr>
            </w:pPr>
            <w:hyperlink r:id="rId322">
              <w:r>
                <w:rPr>
                  <w:rFonts w:ascii="Arial" w:cs="Arial" w:eastAsia="Arial" w:hAnsi="Arial"/>
                  <w:sz w:val="18"/>
                  <w:szCs w:val="18"/>
                  <w:color w:val="0000EE"/>
                </w:rPr>
                <w:t>License and Assignment Agreement, between Amgen Inc.</w:t>
              </w:r>
            </w:hyperlink>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rPr>
              <w:t>10-K/A</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12/23/10</w:t>
            </w:r>
          </w:p>
        </w:tc>
        <w:tc>
          <w:tcPr>
            <w:tcW w:w="1300" w:type="dxa"/>
            <w:vAlign w:val="bottom"/>
          </w:tcPr>
          <w:p>
            <w:pPr>
              <w:spacing w:after="0"/>
              <w:rPr>
                <w:sz w:val="20"/>
                <w:szCs w:val="20"/>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322">
              <w:r>
                <w:rPr>
                  <w:rFonts w:ascii="Arial" w:cs="Arial" w:eastAsia="Arial" w:hAnsi="Arial"/>
                  <w:sz w:val="18"/>
                  <w:szCs w:val="18"/>
                  <w:color w:val="0000EE"/>
                </w:rPr>
                <w:t>and the Company dated March 16, 2009</w:t>
              </w:r>
            </w:hyperlink>
          </w:p>
        </w:tc>
        <w:tc>
          <w:tcPr>
            <w:tcW w:w="440" w:type="dxa"/>
            <w:vAlign w:val="bottom"/>
            <w:gridSpan w:val="10"/>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780" w:type="dxa"/>
            <w:vAlign w:val="bottom"/>
            <w:gridSpan w:val="30"/>
          </w:tcPr>
          <w:p>
            <w:pPr>
              <w:spacing w:after="0"/>
              <w:rPr>
                <w:rFonts w:ascii="Arial" w:cs="Arial" w:eastAsia="Arial" w:hAnsi="Arial"/>
                <w:sz w:val="18"/>
                <w:szCs w:val="18"/>
                <w:color w:val="0000EE"/>
              </w:rPr>
            </w:pPr>
            <w:hyperlink r:id="rId323">
              <w:r>
                <w:rPr>
                  <w:rFonts w:ascii="Arial" w:cs="Arial" w:eastAsia="Arial" w:hAnsi="Arial"/>
                  <w:sz w:val="18"/>
                  <w:szCs w:val="18"/>
                  <w:color w:val="0000EE"/>
                </w:rPr>
                <w:t>License and Option Agreement by and between</w:t>
              </w:r>
            </w:hyperlink>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10-K</w:t>
            </w:r>
          </w:p>
        </w:tc>
        <w:tc>
          <w:tcPr>
            <w:tcW w:w="48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3/7/18</w:t>
            </w:r>
          </w:p>
        </w:tc>
        <w:tc>
          <w:tcPr>
            <w:tcW w:w="130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r:id="rId323">
              <w:r>
                <w:rPr>
                  <w:rFonts w:ascii="Arial" w:cs="Arial" w:eastAsia="Arial" w:hAnsi="Arial"/>
                  <w:sz w:val="18"/>
                  <w:szCs w:val="18"/>
                  <w:color w:val="0000EE"/>
                  <w:w w:val="93"/>
                </w:rPr>
                <w:t>MedImmune, LLC and the Company, dated July 24, 2013, as</w:t>
              </w:r>
            </w:hyperlink>
          </w:p>
        </w:tc>
        <w:tc>
          <w:tcPr>
            <w:tcW w:w="220" w:type="dxa"/>
            <w:vAlign w:val="bottom"/>
            <w:gridSpan w:val="3"/>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80" w:type="dxa"/>
            <w:vAlign w:val="bottom"/>
            <w:gridSpan w:val="30"/>
          </w:tcPr>
          <w:p>
            <w:pPr>
              <w:spacing w:after="0" w:line="196" w:lineRule="exact"/>
              <w:rPr>
                <w:rFonts w:ascii="Arial" w:cs="Arial" w:eastAsia="Arial" w:hAnsi="Arial"/>
                <w:sz w:val="18"/>
                <w:szCs w:val="18"/>
                <w:color w:val="0000EE"/>
              </w:rPr>
            </w:pPr>
            <w:hyperlink r:id="rId323">
              <w:r>
                <w:rPr>
                  <w:rFonts w:ascii="Arial" w:cs="Arial" w:eastAsia="Arial" w:hAnsi="Arial"/>
                  <w:sz w:val="18"/>
                  <w:szCs w:val="18"/>
                  <w:color w:val="0000EE"/>
                </w:rPr>
                <w:t>amended by the Amendment, dated October 27, 2015</w:t>
              </w:r>
            </w:hyperlink>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40" w:type="dxa"/>
            <w:vAlign w:val="bottom"/>
            <w:tcBorders>
              <w:bottom w:val="single" w:sz="8" w:color="0000EE"/>
            </w:tcBorders>
            <w:gridSpan w:val="19"/>
          </w:tcPr>
          <w:p>
            <w:pPr>
              <w:spacing w:after="0"/>
              <w:rPr>
                <w:rFonts w:ascii="Arial" w:cs="Arial" w:eastAsia="Arial" w:hAnsi="Arial"/>
                <w:sz w:val="18"/>
                <w:szCs w:val="18"/>
                <w:color w:val="0000EE"/>
                <w:w w:val="92"/>
              </w:rPr>
            </w:pPr>
            <w:hyperlink r:id="rId324">
              <w:r>
                <w:rPr>
                  <w:rFonts w:ascii="Arial" w:cs="Arial" w:eastAsia="Arial" w:hAnsi="Arial"/>
                  <w:sz w:val="18"/>
                  <w:szCs w:val="18"/>
                  <w:color w:val="0000EE"/>
                  <w:w w:val="92"/>
                </w:rPr>
                <w:t>Third Amended and Restated License Agreement by and</w:t>
              </w:r>
            </w:hyperlink>
          </w:p>
        </w:tc>
        <w:tc>
          <w:tcPr>
            <w:tcW w:w="540" w:type="dxa"/>
            <w:vAlign w:val="bottom"/>
            <w:gridSpan w:val="11"/>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10-K</w:t>
            </w:r>
          </w:p>
        </w:tc>
        <w:tc>
          <w:tcPr>
            <w:tcW w:w="48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3/7/18</w:t>
            </w:r>
          </w:p>
        </w:tc>
        <w:tc>
          <w:tcPr>
            <w:tcW w:w="13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0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r:id="rId324">
              <w:r>
                <w:rPr>
                  <w:rFonts w:ascii="Arial" w:cs="Arial" w:eastAsia="Arial" w:hAnsi="Arial"/>
                  <w:sz w:val="18"/>
                  <w:szCs w:val="18"/>
                  <w:color w:val="0000EE"/>
                  <w:w w:val="93"/>
                </w:rPr>
                <w:t>between Yale University and the Company, dated March 14,</w:t>
              </w:r>
            </w:hyperlink>
          </w:p>
        </w:tc>
        <w:tc>
          <w:tcPr>
            <w:tcW w:w="280" w:type="dxa"/>
            <w:vAlign w:val="bottom"/>
            <w:gridSpan w:val="5"/>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324">
              <w:r>
                <w:rPr>
                  <w:rFonts w:ascii="Arial" w:cs="Arial" w:eastAsia="Arial" w:hAnsi="Arial"/>
                  <w:sz w:val="18"/>
                  <w:szCs w:val="18"/>
                  <w:color w:val="0000EE"/>
                  <w:w w:val="92"/>
                </w:rPr>
                <w:t>2013, as amended by the Amendments, dated March 21,</w:t>
              </w:r>
            </w:hyperlink>
          </w:p>
        </w:tc>
        <w:tc>
          <w:tcPr>
            <w:tcW w:w="580" w:type="dxa"/>
            <w:vAlign w:val="bottom"/>
            <w:gridSpan w:val="12"/>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80" w:type="dxa"/>
            <w:vAlign w:val="bottom"/>
            <w:gridSpan w:val="30"/>
          </w:tcPr>
          <w:p>
            <w:pPr>
              <w:spacing w:after="0" w:line="196" w:lineRule="exact"/>
              <w:rPr>
                <w:rFonts w:ascii="Arial" w:cs="Arial" w:eastAsia="Arial" w:hAnsi="Arial"/>
                <w:sz w:val="18"/>
                <w:szCs w:val="18"/>
                <w:color w:val="0000EE"/>
              </w:rPr>
            </w:pPr>
            <w:hyperlink r:id="rId324">
              <w:r>
                <w:rPr>
                  <w:rFonts w:ascii="Arial" w:cs="Arial" w:eastAsia="Arial" w:hAnsi="Arial"/>
                  <w:sz w:val="18"/>
                  <w:szCs w:val="18"/>
                  <w:color w:val="0000EE"/>
                </w:rPr>
                <w:t>2014 and December 1, 2014</w:t>
              </w:r>
            </w:hyperlink>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260" w:type="dxa"/>
            <w:vAlign w:val="bottom"/>
          </w:tcPr>
          <w:p>
            <w:pPr>
              <w:spacing w:after="0"/>
              <w:rPr>
                <w:sz w:val="24"/>
                <w:szCs w:val="24"/>
                <w:color w:val="auto"/>
              </w:rPr>
            </w:pPr>
          </w:p>
        </w:tc>
        <w:tc>
          <w:tcPr>
            <w:tcW w:w="5520" w:type="dxa"/>
            <w:vAlign w:val="bottom"/>
            <w:gridSpan w:val="33"/>
          </w:tcPr>
          <w:p>
            <w:pPr>
              <w:spacing w:after="0"/>
              <w:rPr>
                <w:sz w:val="20"/>
                <w:szCs w:val="20"/>
                <w:color w:val="auto"/>
              </w:rPr>
            </w:pPr>
            <w:r>
              <w:rPr>
                <w:rFonts w:ascii="Arial" w:cs="Arial" w:eastAsia="Arial" w:hAnsi="Arial"/>
                <w:sz w:val="18"/>
                <w:szCs w:val="18"/>
                <w:i w:val="1"/>
                <w:iCs w:val="1"/>
                <w:color w:val="auto"/>
                <w:w w:val="96"/>
              </w:rPr>
              <w:t>Material Contracts – Stock Purchase, Financing and Credit Agreements</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5520" w:type="dxa"/>
            <w:vAlign w:val="bottom"/>
            <w:gridSpan w:val="33"/>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10.22  </w:t>
            </w:r>
            <w:hyperlink r:id="rId325">
              <w:r>
                <w:rPr>
                  <w:rFonts w:ascii="Arial" w:cs="Arial" w:eastAsia="Arial" w:hAnsi="Arial"/>
                  <w:sz w:val="18"/>
                  <w:szCs w:val="18"/>
                  <w:color w:val="0000EE"/>
                </w:rPr>
                <w:t>Sales Agreement, dated May 19, 2016, by and between</w:t>
              </w:r>
            </w:hyperlink>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6"/>
              </w:rPr>
              <w:t>5/19/16</w:t>
            </w:r>
          </w:p>
        </w:tc>
        <w:tc>
          <w:tcPr>
            <w:tcW w:w="130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80" w:type="dxa"/>
            <w:vAlign w:val="bottom"/>
            <w:gridSpan w:val="30"/>
          </w:tcPr>
          <w:p>
            <w:pPr>
              <w:spacing w:after="0" w:line="196" w:lineRule="exact"/>
              <w:rPr>
                <w:rFonts w:ascii="Arial" w:cs="Arial" w:eastAsia="Arial" w:hAnsi="Arial"/>
                <w:sz w:val="18"/>
                <w:szCs w:val="18"/>
                <w:color w:val="0000EE"/>
              </w:rPr>
            </w:pPr>
            <w:hyperlink r:id="rId325">
              <w:r>
                <w:rPr>
                  <w:rFonts w:ascii="Arial" w:cs="Arial" w:eastAsia="Arial" w:hAnsi="Arial"/>
                  <w:sz w:val="18"/>
                  <w:szCs w:val="18"/>
                  <w:color w:val="0000EE"/>
                </w:rPr>
                <w:t>Celldex Therapeutics, Inc. and Cantor Fitzgerald &amp; Co.</w:t>
              </w:r>
            </w:hyperlink>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260" w:type="dxa"/>
            <w:vAlign w:val="bottom"/>
          </w:tcPr>
          <w:p>
            <w:pPr>
              <w:spacing w:after="0"/>
              <w:rPr>
                <w:sz w:val="24"/>
                <w:szCs w:val="24"/>
                <w:color w:val="auto"/>
              </w:rPr>
            </w:pPr>
          </w:p>
        </w:tc>
        <w:tc>
          <w:tcPr>
            <w:tcW w:w="5520" w:type="dxa"/>
            <w:vAlign w:val="bottom"/>
            <w:gridSpan w:val="33"/>
          </w:tcPr>
          <w:p>
            <w:pPr>
              <w:spacing w:after="0"/>
              <w:rPr>
                <w:sz w:val="20"/>
                <w:szCs w:val="20"/>
                <w:color w:val="auto"/>
              </w:rPr>
            </w:pPr>
            <w:r>
              <w:rPr>
                <w:rFonts w:ascii="Arial" w:cs="Arial" w:eastAsia="Arial" w:hAnsi="Arial"/>
                <w:sz w:val="18"/>
                <w:szCs w:val="18"/>
                <w:i w:val="1"/>
                <w:iCs w:val="1"/>
                <w:color w:val="auto"/>
                <w:w w:val="98"/>
              </w:rPr>
              <w:t>Material Contracts – Management Contracts and Compensatory Plans</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5520" w:type="dxa"/>
            <w:vAlign w:val="bottom"/>
            <w:gridSpan w:val="3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†10.23  </w:t>
            </w:r>
            <w:hyperlink r:id="rId326">
              <w:r>
                <w:rPr>
                  <w:rFonts w:ascii="Arial" w:cs="Arial" w:eastAsia="Arial" w:hAnsi="Arial"/>
                  <w:sz w:val="18"/>
                  <w:szCs w:val="18"/>
                  <w:color w:val="0000EE"/>
                </w:rPr>
                <w:t>Celldex Therapeutics, Inc. Amended and Restated 2008</w:t>
              </w:r>
            </w:hyperlink>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6"/>
              </w:rPr>
              <w:t>6/18/20</w:t>
            </w:r>
          </w:p>
        </w:tc>
        <w:tc>
          <w:tcPr>
            <w:tcW w:w="130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326">
              <w:r>
                <w:rPr>
                  <w:rFonts w:ascii="Arial" w:cs="Arial" w:eastAsia="Arial" w:hAnsi="Arial"/>
                  <w:sz w:val="18"/>
                  <w:szCs w:val="18"/>
                  <w:color w:val="0000EE"/>
                  <w:w w:val="92"/>
                </w:rPr>
                <w:t>Stock Option and Incentive Plan (as amended, effective</w:t>
              </w:r>
            </w:hyperlink>
          </w:p>
        </w:tc>
        <w:tc>
          <w:tcPr>
            <w:tcW w:w="620" w:type="dxa"/>
            <w:vAlign w:val="bottom"/>
            <w:gridSpan w:val="13"/>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80" w:type="dxa"/>
            <w:vAlign w:val="bottom"/>
            <w:gridSpan w:val="30"/>
          </w:tcPr>
          <w:p>
            <w:pPr>
              <w:spacing w:after="0" w:line="196" w:lineRule="exact"/>
              <w:rPr>
                <w:rFonts w:ascii="Arial" w:cs="Arial" w:eastAsia="Arial" w:hAnsi="Arial"/>
                <w:sz w:val="18"/>
                <w:szCs w:val="18"/>
                <w:color w:val="0000EE"/>
              </w:rPr>
            </w:pPr>
            <w:hyperlink r:id="rId326">
              <w:r>
                <w:rPr>
                  <w:rFonts w:ascii="Arial" w:cs="Arial" w:eastAsia="Arial" w:hAnsi="Arial"/>
                  <w:sz w:val="18"/>
                  <w:szCs w:val="18"/>
                  <w:color w:val="0000EE"/>
                </w:rPr>
                <w:t>June 18, 2020).</w:t>
              </w:r>
            </w:hyperlink>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40" w:type="dxa"/>
            <w:vAlign w:val="bottom"/>
            <w:tcBorders>
              <w:right w:val="single" w:sz="8" w:color="0000EE"/>
            </w:tcBorders>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520" w:type="dxa"/>
            <w:vAlign w:val="bottom"/>
            <w:gridSpan w:val="3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†10.24  </w:t>
            </w:r>
            <w:hyperlink r:id="rId327">
              <w:r>
                <w:rPr>
                  <w:rFonts w:ascii="Arial" w:cs="Arial" w:eastAsia="Arial" w:hAnsi="Arial"/>
                  <w:sz w:val="18"/>
                  <w:szCs w:val="18"/>
                  <w:color w:val="0000EE"/>
                </w:rPr>
                <w:t>Celldex Therapeutics, Inc. Amended and Restated 2008</w:t>
              </w:r>
            </w:hyperlink>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6"/>
              </w:rPr>
              <w:t>6/19/19</w:t>
            </w:r>
          </w:p>
        </w:tc>
        <w:tc>
          <w:tcPr>
            <w:tcW w:w="130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80" w:type="dxa"/>
            <w:vAlign w:val="bottom"/>
            <w:gridSpan w:val="30"/>
          </w:tcPr>
          <w:p>
            <w:pPr>
              <w:spacing w:after="0" w:line="196" w:lineRule="exact"/>
              <w:rPr>
                <w:rFonts w:ascii="Arial" w:cs="Arial" w:eastAsia="Arial" w:hAnsi="Arial"/>
                <w:sz w:val="18"/>
                <w:szCs w:val="18"/>
                <w:color w:val="0000EE"/>
              </w:rPr>
            </w:pPr>
            <w:hyperlink r:id="rId327">
              <w:r>
                <w:rPr>
                  <w:rFonts w:ascii="Arial" w:cs="Arial" w:eastAsia="Arial" w:hAnsi="Arial"/>
                  <w:sz w:val="18"/>
                  <w:szCs w:val="18"/>
                  <w:color w:val="0000EE"/>
                </w:rPr>
                <w:t>Stock Option and Incentive Plan (as amended, effective as</w:t>
              </w:r>
            </w:hyperlink>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327">
              <w:r>
                <w:rPr>
                  <w:rFonts w:ascii="Arial" w:cs="Arial" w:eastAsia="Arial" w:hAnsi="Arial"/>
                  <w:sz w:val="18"/>
                  <w:szCs w:val="18"/>
                  <w:color w:val="0000EE"/>
                  <w:w w:val="89"/>
                </w:rPr>
                <w:t>of June 19, 2019)</w:t>
              </w:r>
            </w:hyperlink>
          </w:p>
        </w:tc>
        <w:tc>
          <w:tcPr>
            <w:tcW w:w="3080" w:type="dxa"/>
            <w:vAlign w:val="bottom"/>
            <w:tcBorders>
              <w:top w:val="single" w:sz="8" w:color="0000EE"/>
            </w:tcBorders>
            <w:gridSpan w:val="15"/>
          </w:tcPr>
          <w:p>
            <w:pPr>
              <w:spacing w:after="0"/>
              <w:rPr>
                <w:sz w:val="17"/>
                <w:szCs w:val="17"/>
                <w:color w:val="auto"/>
              </w:rPr>
            </w:pPr>
          </w:p>
        </w:tc>
        <w:tc>
          <w:tcPr>
            <w:tcW w:w="420" w:type="dxa"/>
            <w:vAlign w:val="bottom"/>
            <w:gridSpan w:val="9"/>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1260" w:type="dxa"/>
            <w:vAlign w:val="bottom"/>
          </w:tcPr>
          <w:p>
            <w:pPr>
              <w:spacing w:after="0"/>
              <w:rPr>
                <w:sz w:val="21"/>
                <w:szCs w:val="21"/>
                <w:color w:val="auto"/>
              </w:rPr>
            </w:pPr>
          </w:p>
        </w:tc>
        <w:tc>
          <w:tcPr>
            <w:tcW w:w="5520" w:type="dxa"/>
            <w:vAlign w:val="bottom"/>
            <w:gridSpan w:val="3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†10.25  </w:t>
            </w:r>
            <w:hyperlink r:id="rId328">
              <w:r>
                <w:rPr>
                  <w:rFonts w:ascii="Arial" w:cs="Arial" w:eastAsia="Arial" w:hAnsi="Arial"/>
                  <w:sz w:val="18"/>
                  <w:szCs w:val="18"/>
                  <w:color w:val="0000EE"/>
                </w:rPr>
                <w:t>Celldex Therapeutics, Inc. Amended and Restated 2004</w:t>
              </w:r>
            </w:hyperlink>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6"/>
              </w:rPr>
              <w:t>6/19/19</w:t>
            </w:r>
          </w:p>
        </w:tc>
        <w:tc>
          <w:tcPr>
            <w:tcW w:w="13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60" w:type="dxa"/>
            <w:vAlign w:val="bottom"/>
            <w:tcBorders>
              <w:top w:val="single" w:sz="8" w:color="0000EE"/>
            </w:tcBorders>
            <w:gridSpan w:val="17"/>
          </w:tcPr>
          <w:p>
            <w:pPr>
              <w:spacing w:after="0" w:line="196" w:lineRule="exact"/>
              <w:rPr>
                <w:rFonts w:ascii="Arial" w:cs="Arial" w:eastAsia="Arial" w:hAnsi="Arial"/>
                <w:sz w:val="18"/>
                <w:szCs w:val="18"/>
                <w:color w:val="0000EE"/>
                <w:w w:val="91"/>
              </w:rPr>
            </w:pPr>
            <w:hyperlink r:id="rId328">
              <w:r>
                <w:rPr>
                  <w:rFonts w:ascii="Arial" w:cs="Arial" w:eastAsia="Arial" w:hAnsi="Arial"/>
                  <w:sz w:val="18"/>
                  <w:szCs w:val="18"/>
                  <w:color w:val="0000EE"/>
                  <w:w w:val="91"/>
                </w:rPr>
                <w:t>Employee Stock Purchase Plan (effective as of June 19,</w:t>
              </w:r>
            </w:hyperlink>
          </w:p>
        </w:tc>
        <w:tc>
          <w:tcPr>
            <w:tcW w:w="620" w:type="dxa"/>
            <w:vAlign w:val="bottom"/>
            <w:gridSpan w:val="13"/>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gridSpan w:val="3"/>
          </w:tcPr>
          <w:p>
            <w:pPr>
              <w:spacing w:after="0" w:line="196" w:lineRule="exact"/>
              <w:rPr>
                <w:rFonts w:ascii="Arial" w:cs="Arial" w:eastAsia="Arial" w:hAnsi="Arial"/>
                <w:sz w:val="18"/>
                <w:szCs w:val="18"/>
                <w:color w:val="0000EE"/>
                <w:w w:val="91"/>
              </w:rPr>
            </w:pPr>
            <w:hyperlink r:id="rId328">
              <w:r>
                <w:rPr>
                  <w:rFonts w:ascii="Arial" w:cs="Arial" w:eastAsia="Arial" w:hAnsi="Arial"/>
                  <w:sz w:val="18"/>
                  <w:szCs w:val="18"/>
                  <w:color w:val="0000EE"/>
                  <w:w w:val="91"/>
                </w:rPr>
                <w:t>2019)</w:t>
              </w:r>
            </w:hyperlink>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40" w:type="dxa"/>
            <w:vAlign w:val="bottom"/>
            <w:tcBorders>
              <w:right w:val="single" w:sz="8" w:color="0000EE"/>
            </w:tcBorders>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520" w:type="dxa"/>
            <w:vAlign w:val="bottom"/>
            <w:gridSpan w:val="3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†10.26  </w:t>
            </w:r>
            <w:hyperlink r:id="rId329">
              <w:r>
                <w:rPr>
                  <w:rFonts w:ascii="Arial" w:cs="Arial" w:eastAsia="Arial" w:hAnsi="Arial"/>
                  <w:sz w:val="18"/>
                  <w:szCs w:val="18"/>
                  <w:color w:val="0000EE"/>
                </w:rPr>
                <w:t>2008 Stock Option and Incentive Plan, as amended and</w:t>
              </w:r>
            </w:hyperlink>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10-K</w:t>
            </w:r>
          </w:p>
        </w:tc>
        <w:tc>
          <w:tcPr>
            <w:tcW w:w="48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3/7/18</w:t>
            </w:r>
          </w:p>
        </w:tc>
        <w:tc>
          <w:tcPr>
            <w:tcW w:w="13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2"/>
              </w:rPr>
            </w:pPr>
            <w:hyperlink r:id="rId329">
              <w:r>
                <w:rPr>
                  <w:rFonts w:ascii="Arial" w:cs="Arial" w:eastAsia="Arial" w:hAnsi="Arial"/>
                  <w:sz w:val="18"/>
                  <w:szCs w:val="18"/>
                  <w:color w:val="0000EE"/>
                  <w:w w:val="82"/>
                </w:rPr>
                <w:t>restated</w:t>
              </w:r>
            </w:hyperlink>
          </w:p>
        </w:tc>
        <w:tc>
          <w:tcPr>
            <w:tcW w:w="3600" w:type="dxa"/>
            <w:vAlign w:val="bottom"/>
            <w:tcBorders>
              <w:top w:val="single" w:sz="8" w:color="0000EE"/>
            </w:tcBorders>
            <w:gridSpan w:val="14"/>
          </w:tcPr>
          <w:p>
            <w:pPr>
              <w:spacing w:after="0"/>
              <w:rPr>
                <w:sz w:val="17"/>
                <w:szCs w:val="17"/>
                <w:color w:val="auto"/>
              </w:rPr>
            </w:pPr>
          </w:p>
        </w:tc>
        <w:tc>
          <w:tcPr>
            <w:tcW w:w="620" w:type="dxa"/>
            <w:vAlign w:val="bottom"/>
            <w:gridSpan w:val="13"/>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1260" w:type="dxa"/>
            <w:vAlign w:val="bottom"/>
          </w:tcPr>
          <w:p>
            <w:pPr>
              <w:spacing w:after="0"/>
              <w:rPr>
                <w:sz w:val="21"/>
                <w:szCs w:val="21"/>
                <w:color w:val="auto"/>
              </w:rPr>
            </w:pPr>
          </w:p>
        </w:tc>
        <w:tc>
          <w:tcPr>
            <w:tcW w:w="5520" w:type="dxa"/>
            <w:vAlign w:val="bottom"/>
            <w:gridSpan w:val="3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†10.27  </w:t>
            </w:r>
            <w:hyperlink r:id="rId330">
              <w:r>
                <w:rPr>
                  <w:rFonts w:ascii="Arial" w:cs="Arial" w:eastAsia="Arial" w:hAnsi="Arial"/>
                  <w:sz w:val="18"/>
                  <w:szCs w:val="18"/>
                  <w:color w:val="0000EE"/>
                </w:rPr>
                <w:t>2004 Employee Stock Purchase Plan, as amended and</w:t>
              </w:r>
            </w:hyperlink>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10-K</w:t>
            </w:r>
          </w:p>
        </w:tc>
        <w:tc>
          <w:tcPr>
            <w:tcW w:w="48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3/7/18</w:t>
            </w:r>
          </w:p>
        </w:tc>
        <w:tc>
          <w:tcPr>
            <w:tcW w:w="13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2"/>
              </w:rPr>
            </w:pPr>
            <w:hyperlink r:id="rId330">
              <w:r>
                <w:rPr>
                  <w:rFonts w:ascii="Arial" w:cs="Arial" w:eastAsia="Arial" w:hAnsi="Arial"/>
                  <w:sz w:val="18"/>
                  <w:szCs w:val="18"/>
                  <w:color w:val="0000EE"/>
                  <w:w w:val="82"/>
                </w:rPr>
                <w:t>restated</w:t>
              </w:r>
            </w:hyperlink>
          </w:p>
        </w:tc>
        <w:tc>
          <w:tcPr>
            <w:tcW w:w="3460" w:type="dxa"/>
            <w:vAlign w:val="bottom"/>
            <w:tcBorders>
              <w:top w:val="single" w:sz="8" w:color="0000EE"/>
            </w:tcBorders>
            <w:gridSpan w:val="11"/>
          </w:tcPr>
          <w:p>
            <w:pPr>
              <w:spacing w:after="0"/>
              <w:rPr>
                <w:sz w:val="17"/>
                <w:szCs w:val="17"/>
                <w:color w:val="auto"/>
              </w:rPr>
            </w:pPr>
          </w:p>
        </w:tc>
        <w:tc>
          <w:tcPr>
            <w:tcW w:w="760" w:type="dxa"/>
            <w:vAlign w:val="bottom"/>
            <w:gridSpan w:val="16"/>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1260" w:type="dxa"/>
            <w:vAlign w:val="bottom"/>
          </w:tcPr>
          <w:p>
            <w:pPr>
              <w:spacing w:after="0"/>
              <w:rPr>
                <w:sz w:val="21"/>
                <w:szCs w:val="21"/>
                <w:color w:val="auto"/>
              </w:rPr>
            </w:pPr>
          </w:p>
        </w:tc>
        <w:tc>
          <w:tcPr>
            <w:tcW w:w="5520" w:type="dxa"/>
            <w:vAlign w:val="bottom"/>
            <w:gridSpan w:val="33"/>
          </w:tcPr>
          <w:p>
            <w:pPr>
              <w:ind w:left="60"/>
              <w:spacing w:after="0"/>
              <w:rPr>
                <w:rFonts w:ascii="Arial" w:cs="Arial" w:eastAsia="Arial" w:hAnsi="Arial"/>
                <w:sz w:val="18"/>
                <w:szCs w:val="18"/>
                <w:color w:val="auto"/>
                <w:w w:val="98"/>
              </w:rPr>
            </w:pPr>
            <w:r>
              <w:rPr>
                <w:rFonts w:ascii="Arial" w:cs="Arial" w:eastAsia="Arial" w:hAnsi="Arial"/>
                <w:sz w:val="18"/>
                <w:szCs w:val="18"/>
                <w:color w:val="auto"/>
                <w:w w:val="98"/>
              </w:rPr>
              <w:t xml:space="preserve">†10.28  </w:t>
            </w:r>
            <w:hyperlink r:id="rId331">
              <w:r>
                <w:rPr>
                  <w:rFonts w:ascii="Arial" w:cs="Arial" w:eastAsia="Arial" w:hAnsi="Arial"/>
                  <w:sz w:val="18"/>
                  <w:szCs w:val="18"/>
                  <w:color w:val="0000EE"/>
                  <w:w w:val="98"/>
                </w:rPr>
                <w:t>Amended and Restated Employment Agreement, dated as of</w:t>
              </w:r>
            </w:hyperlink>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12/29/17</w:t>
            </w:r>
          </w:p>
        </w:tc>
        <w:tc>
          <w:tcPr>
            <w:tcW w:w="13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3"/>
              </w:rPr>
            </w:pPr>
            <w:hyperlink r:id="rId331">
              <w:r>
                <w:rPr>
                  <w:rFonts w:ascii="Arial" w:cs="Arial" w:eastAsia="Arial" w:hAnsi="Arial"/>
                  <w:sz w:val="18"/>
                  <w:szCs w:val="18"/>
                  <w:color w:val="0000EE"/>
                  <w:w w:val="93"/>
                </w:rPr>
                <w:t>January 1, 2018, by and between Celldex Therapeutics, Inc.</w:t>
              </w:r>
            </w:hyperlink>
          </w:p>
        </w:tc>
        <w:tc>
          <w:tcPr>
            <w:tcW w:w="40" w:type="dxa"/>
            <w:vAlign w:val="bottom"/>
            <w:tcBorders>
              <w:top w:val="single" w:sz="8" w:color="0000EE"/>
            </w:tcBorders>
            <w:gridSpan w:val="2"/>
          </w:tcPr>
          <w:p>
            <w:pPr>
              <w:spacing w:after="0"/>
              <w:rPr>
                <w:sz w:val="17"/>
                <w:szCs w:val="17"/>
                <w:color w:val="auto"/>
              </w:rPr>
            </w:pPr>
          </w:p>
        </w:tc>
        <w:tc>
          <w:tcPr>
            <w:tcW w:w="260" w:type="dxa"/>
            <w:vAlign w:val="bottom"/>
            <w:gridSpan w:val="4"/>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r:id="rId331">
              <w:r>
                <w:rPr>
                  <w:rFonts w:ascii="Arial" w:cs="Arial" w:eastAsia="Arial" w:hAnsi="Arial"/>
                  <w:sz w:val="18"/>
                  <w:szCs w:val="18"/>
                  <w:color w:val="0000EE"/>
                  <w:w w:val="94"/>
                </w:rPr>
                <w:t>and Anthony S. Marucci</w:t>
              </w:r>
            </w:hyperlink>
          </w:p>
        </w:tc>
        <w:tc>
          <w:tcPr>
            <w:tcW w:w="2960" w:type="dxa"/>
            <w:vAlign w:val="bottom"/>
            <w:gridSpan w:val="22"/>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1260" w:type="dxa"/>
            <w:vAlign w:val="bottom"/>
          </w:tcPr>
          <w:p>
            <w:pPr>
              <w:spacing w:after="0"/>
              <w:rPr>
                <w:sz w:val="21"/>
                <w:szCs w:val="21"/>
                <w:color w:val="auto"/>
              </w:rPr>
            </w:pPr>
          </w:p>
        </w:tc>
        <w:tc>
          <w:tcPr>
            <w:tcW w:w="5520" w:type="dxa"/>
            <w:vAlign w:val="bottom"/>
            <w:gridSpan w:val="33"/>
          </w:tcPr>
          <w:p>
            <w:pPr>
              <w:ind w:left="60"/>
              <w:spacing w:after="0"/>
              <w:rPr>
                <w:rFonts w:ascii="Arial" w:cs="Arial" w:eastAsia="Arial" w:hAnsi="Arial"/>
                <w:sz w:val="18"/>
                <w:szCs w:val="18"/>
                <w:color w:val="auto"/>
                <w:w w:val="98"/>
              </w:rPr>
            </w:pPr>
            <w:r>
              <w:rPr>
                <w:rFonts w:ascii="Arial" w:cs="Arial" w:eastAsia="Arial" w:hAnsi="Arial"/>
                <w:sz w:val="18"/>
                <w:szCs w:val="18"/>
                <w:color w:val="auto"/>
                <w:w w:val="98"/>
              </w:rPr>
              <w:t xml:space="preserve">†10.29  </w:t>
            </w:r>
            <w:hyperlink r:id="rId332">
              <w:r>
                <w:rPr>
                  <w:rFonts w:ascii="Arial" w:cs="Arial" w:eastAsia="Arial" w:hAnsi="Arial"/>
                  <w:sz w:val="18"/>
                  <w:szCs w:val="18"/>
                  <w:color w:val="0000EE"/>
                  <w:w w:val="98"/>
                </w:rPr>
                <w:t>Amended and Restated Employment Agreement, dated as of</w:t>
              </w:r>
            </w:hyperlink>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12/29/17</w:t>
            </w:r>
          </w:p>
        </w:tc>
        <w:tc>
          <w:tcPr>
            <w:tcW w:w="13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3"/>
              </w:rPr>
            </w:pPr>
            <w:hyperlink r:id="rId332">
              <w:r>
                <w:rPr>
                  <w:rFonts w:ascii="Arial" w:cs="Arial" w:eastAsia="Arial" w:hAnsi="Arial"/>
                  <w:sz w:val="18"/>
                  <w:szCs w:val="18"/>
                  <w:color w:val="0000EE"/>
                  <w:w w:val="93"/>
                </w:rPr>
                <w:t>January 1, 2018, by and between Celldex Therapeutics, Inc.</w:t>
              </w:r>
            </w:hyperlink>
          </w:p>
        </w:tc>
        <w:tc>
          <w:tcPr>
            <w:tcW w:w="40" w:type="dxa"/>
            <w:vAlign w:val="bottom"/>
            <w:tcBorders>
              <w:top w:val="single" w:sz="8" w:color="0000EE"/>
            </w:tcBorders>
            <w:gridSpan w:val="2"/>
          </w:tcPr>
          <w:p>
            <w:pPr>
              <w:spacing w:after="0"/>
              <w:rPr>
                <w:sz w:val="17"/>
                <w:szCs w:val="17"/>
                <w:color w:val="auto"/>
              </w:rPr>
            </w:pPr>
          </w:p>
        </w:tc>
        <w:tc>
          <w:tcPr>
            <w:tcW w:w="260" w:type="dxa"/>
            <w:vAlign w:val="bottom"/>
            <w:gridSpan w:val="4"/>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32">
              <w:r>
                <w:rPr>
                  <w:rFonts w:ascii="Arial" w:cs="Arial" w:eastAsia="Arial" w:hAnsi="Arial"/>
                  <w:sz w:val="18"/>
                  <w:szCs w:val="18"/>
                  <w:color w:val="0000EE"/>
                  <w:w w:val="91"/>
                </w:rPr>
                <w:t>and Sam Martin</w:t>
              </w:r>
            </w:hyperlink>
          </w:p>
        </w:tc>
        <w:tc>
          <w:tcPr>
            <w:tcW w:w="3600" w:type="dxa"/>
            <w:vAlign w:val="bottom"/>
            <w:gridSpan w:val="25"/>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1260" w:type="dxa"/>
            <w:vAlign w:val="bottom"/>
          </w:tcPr>
          <w:p>
            <w:pPr>
              <w:spacing w:after="0"/>
              <w:rPr>
                <w:sz w:val="21"/>
                <w:szCs w:val="21"/>
                <w:color w:val="auto"/>
              </w:rPr>
            </w:pPr>
          </w:p>
        </w:tc>
        <w:tc>
          <w:tcPr>
            <w:tcW w:w="5520" w:type="dxa"/>
            <w:vAlign w:val="bottom"/>
            <w:gridSpan w:val="33"/>
          </w:tcPr>
          <w:p>
            <w:pPr>
              <w:ind w:left="60"/>
              <w:spacing w:after="0"/>
              <w:rPr>
                <w:rFonts w:ascii="Arial" w:cs="Arial" w:eastAsia="Arial" w:hAnsi="Arial"/>
                <w:sz w:val="18"/>
                <w:szCs w:val="18"/>
                <w:color w:val="auto"/>
                <w:w w:val="98"/>
              </w:rPr>
            </w:pPr>
            <w:r>
              <w:rPr>
                <w:rFonts w:ascii="Arial" w:cs="Arial" w:eastAsia="Arial" w:hAnsi="Arial"/>
                <w:sz w:val="18"/>
                <w:szCs w:val="18"/>
                <w:color w:val="auto"/>
                <w:w w:val="98"/>
              </w:rPr>
              <w:t xml:space="preserve">†10.30  </w:t>
            </w:r>
            <w:hyperlink r:id="rId333">
              <w:r>
                <w:rPr>
                  <w:rFonts w:ascii="Arial" w:cs="Arial" w:eastAsia="Arial" w:hAnsi="Arial"/>
                  <w:sz w:val="18"/>
                  <w:szCs w:val="18"/>
                  <w:color w:val="0000EE"/>
                  <w:w w:val="98"/>
                </w:rPr>
                <w:t>Amended and Restated Employment Agreement, dated as of</w:t>
              </w:r>
            </w:hyperlink>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12/29/17</w:t>
            </w:r>
          </w:p>
        </w:tc>
        <w:tc>
          <w:tcPr>
            <w:tcW w:w="13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3"/>
              </w:rPr>
            </w:pPr>
            <w:hyperlink r:id="rId333">
              <w:r>
                <w:rPr>
                  <w:rFonts w:ascii="Arial" w:cs="Arial" w:eastAsia="Arial" w:hAnsi="Arial"/>
                  <w:sz w:val="18"/>
                  <w:szCs w:val="18"/>
                  <w:color w:val="0000EE"/>
                  <w:w w:val="93"/>
                </w:rPr>
                <w:t>January 1, 2018, by and between Celldex Therapeutics, Inc.</w:t>
              </w:r>
            </w:hyperlink>
          </w:p>
        </w:tc>
        <w:tc>
          <w:tcPr>
            <w:tcW w:w="40" w:type="dxa"/>
            <w:vAlign w:val="bottom"/>
            <w:tcBorders>
              <w:top w:val="single" w:sz="8" w:color="0000EE"/>
            </w:tcBorders>
            <w:gridSpan w:val="2"/>
          </w:tcPr>
          <w:p>
            <w:pPr>
              <w:spacing w:after="0"/>
              <w:rPr>
                <w:sz w:val="17"/>
                <w:szCs w:val="17"/>
                <w:color w:val="auto"/>
              </w:rPr>
            </w:pPr>
          </w:p>
        </w:tc>
        <w:tc>
          <w:tcPr>
            <w:tcW w:w="260" w:type="dxa"/>
            <w:vAlign w:val="bottom"/>
            <w:gridSpan w:val="4"/>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333">
              <w:r>
                <w:rPr>
                  <w:rFonts w:ascii="Arial" w:cs="Arial" w:eastAsia="Arial" w:hAnsi="Arial"/>
                  <w:sz w:val="18"/>
                  <w:szCs w:val="18"/>
                  <w:color w:val="0000EE"/>
                  <w:w w:val="93"/>
                </w:rPr>
                <w:t>and Tibor Keler, Ph.D.</w:t>
              </w:r>
            </w:hyperlink>
          </w:p>
        </w:tc>
        <w:tc>
          <w:tcPr>
            <w:tcW w:w="3100" w:type="dxa"/>
            <w:vAlign w:val="bottom"/>
            <w:gridSpan w:val="23"/>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1260" w:type="dxa"/>
            <w:vAlign w:val="bottom"/>
          </w:tcPr>
          <w:p>
            <w:pPr>
              <w:spacing w:after="0"/>
              <w:rPr>
                <w:sz w:val="21"/>
                <w:szCs w:val="21"/>
                <w:color w:val="auto"/>
              </w:rPr>
            </w:pPr>
          </w:p>
        </w:tc>
        <w:tc>
          <w:tcPr>
            <w:tcW w:w="5520" w:type="dxa"/>
            <w:vAlign w:val="bottom"/>
            <w:gridSpan w:val="33"/>
          </w:tcPr>
          <w:p>
            <w:pPr>
              <w:ind w:left="60"/>
              <w:spacing w:after="0"/>
              <w:rPr>
                <w:rFonts w:ascii="Arial" w:cs="Arial" w:eastAsia="Arial" w:hAnsi="Arial"/>
                <w:sz w:val="18"/>
                <w:szCs w:val="18"/>
                <w:color w:val="auto"/>
                <w:w w:val="98"/>
              </w:rPr>
            </w:pPr>
            <w:r>
              <w:rPr>
                <w:rFonts w:ascii="Arial" w:cs="Arial" w:eastAsia="Arial" w:hAnsi="Arial"/>
                <w:sz w:val="18"/>
                <w:szCs w:val="18"/>
                <w:color w:val="auto"/>
                <w:w w:val="98"/>
              </w:rPr>
              <w:t xml:space="preserve">†10.31  </w:t>
            </w:r>
            <w:hyperlink r:id="rId334">
              <w:r>
                <w:rPr>
                  <w:rFonts w:ascii="Arial" w:cs="Arial" w:eastAsia="Arial" w:hAnsi="Arial"/>
                  <w:sz w:val="18"/>
                  <w:szCs w:val="18"/>
                  <w:color w:val="0000EE"/>
                  <w:w w:val="98"/>
                </w:rPr>
                <w:t>Amended and Restated Employment Agreement, dated as of</w:t>
              </w:r>
            </w:hyperlink>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12/29/17</w:t>
            </w:r>
          </w:p>
        </w:tc>
        <w:tc>
          <w:tcPr>
            <w:tcW w:w="13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3"/>
              </w:rPr>
            </w:pPr>
            <w:hyperlink r:id="rId334">
              <w:r>
                <w:rPr>
                  <w:rFonts w:ascii="Arial" w:cs="Arial" w:eastAsia="Arial" w:hAnsi="Arial"/>
                  <w:sz w:val="18"/>
                  <w:szCs w:val="18"/>
                  <w:color w:val="0000EE"/>
                  <w:w w:val="93"/>
                </w:rPr>
                <w:t>January 1, 2018, by and between Celldex Therapeutics, Inc.</w:t>
              </w:r>
            </w:hyperlink>
          </w:p>
        </w:tc>
        <w:tc>
          <w:tcPr>
            <w:tcW w:w="40" w:type="dxa"/>
            <w:vAlign w:val="bottom"/>
            <w:tcBorders>
              <w:top w:val="single" w:sz="8" w:color="0000EE"/>
            </w:tcBorders>
            <w:gridSpan w:val="2"/>
          </w:tcPr>
          <w:p>
            <w:pPr>
              <w:spacing w:after="0"/>
              <w:rPr>
                <w:sz w:val="17"/>
                <w:szCs w:val="17"/>
                <w:color w:val="auto"/>
              </w:rPr>
            </w:pPr>
          </w:p>
        </w:tc>
        <w:tc>
          <w:tcPr>
            <w:tcW w:w="260" w:type="dxa"/>
            <w:vAlign w:val="bottom"/>
            <w:gridSpan w:val="4"/>
          </w:tcPr>
          <w:p>
            <w:pPr>
              <w:spacing w:after="0"/>
              <w:rPr>
                <w:sz w:val="17"/>
                <w:szCs w:val="17"/>
                <w:color w:val="auto"/>
              </w:rPr>
            </w:pPr>
          </w:p>
        </w:tc>
        <w:tc>
          <w:tcPr>
            <w:tcW w:w="132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80" w:type="dxa"/>
            <w:vAlign w:val="bottom"/>
            <w:gridSpan w:val="30"/>
          </w:tcPr>
          <w:p>
            <w:pPr>
              <w:spacing w:after="0" w:line="196" w:lineRule="exact"/>
              <w:rPr>
                <w:rFonts w:ascii="Arial" w:cs="Arial" w:eastAsia="Arial" w:hAnsi="Arial"/>
                <w:sz w:val="18"/>
                <w:szCs w:val="18"/>
                <w:color w:val="0000EE"/>
              </w:rPr>
            </w:pPr>
            <w:hyperlink r:id="rId334">
              <w:r>
                <w:rPr>
                  <w:rFonts w:ascii="Arial" w:cs="Arial" w:eastAsia="Arial" w:hAnsi="Arial"/>
                  <w:sz w:val="18"/>
                  <w:szCs w:val="18"/>
                  <w:color w:val="0000EE"/>
                </w:rPr>
                <w:t>and Ronald Pepin, Ph.D.</w:t>
              </w:r>
            </w:hyperlink>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55"/>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Borders>
              <w:top w:val="single" w:sz="8" w:color="0000EE"/>
            </w:tcBorders>
            <w:gridSpan w:val="8"/>
          </w:tcPr>
          <w:p>
            <w:pPr>
              <w:spacing w:after="0"/>
              <w:rPr>
                <w:sz w:val="24"/>
                <w:szCs w:val="24"/>
                <w:color w:val="auto"/>
              </w:rPr>
            </w:pP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4" w:name="page105"/>
    <w:bookmarkEnd w:id="10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Incorporated by Reference to</w:t>
            </w:r>
          </w:p>
        </w:tc>
      </w:tr>
      <w:tr>
        <w:trPr>
          <w:trHeight w:val="26"/>
        </w:trPr>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7"/>
        </w:trPr>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Form and</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SEC</w:t>
            </w:r>
          </w:p>
        </w:tc>
      </w:tr>
      <w:tr>
        <w:trPr>
          <w:trHeight w:val="186"/>
        </w:trPr>
        <w:tc>
          <w:tcPr>
            <w:tcW w:w="700" w:type="dxa"/>
            <w:vAlign w:val="bottom"/>
            <w:gridSpan w:val="2"/>
          </w:tcPr>
          <w:p>
            <w:pPr>
              <w:ind w:left="22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8"/>
          </w:tcPr>
          <w:p>
            <w:pPr>
              <w:ind w:left="240"/>
              <w:spacing w:after="0"/>
              <w:rPr>
                <w:sz w:val="20"/>
                <w:szCs w:val="20"/>
                <w:color w:val="auto"/>
              </w:rPr>
            </w:pPr>
            <w:r>
              <w:rPr>
                <w:rFonts w:ascii="Arial" w:cs="Arial" w:eastAsia="Arial" w:hAnsi="Arial"/>
                <w:sz w:val="14"/>
                <w:szCs w:val="14"/>
                <w:b w:val="1"/>
                <w:bCs w:val="1"/>
                <w:color w:val="auto"/>
              </w:rPr>
              <w:t>Description</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SEC File No.</w:t>
            </w:r>
          </w:p>
        </w:tc>
        <w:tc>
          <w:tcPr>
            <w:tcW w:w="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No.</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Filing Date</w:t>
            </w:r>
          </w:p>
        </w:tc>
      </w:tr>
      <w:tr>
        <w:trPr>
          <w:trHeight w:val="26"/>
        </w:trPr>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6"/>
        </w:trPr>
        <w:tc>
          <w:tcPr>
            <w:tcW w:w="7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4"/>
              </w:rPr>
              <w:t>†10.32</w:t>
            </w:r>
          </w:p>
        </w:tc>
        <w:tc>
          <w:tcPr>
            <w:tcW w:w="45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337">
              <w:r>
                <w:rPr>
                  <w:rFonts w:ascii="Arial" w:cs="Arial" w:eastAsia="Arial" w:hAnsi="Arial"/>
                  <w:sz w:val="18"/>
                  <w:szCs w:val="18"/>
                  <w:color w:val="0000EE"/>
                  <w:w w:val="93"/>
                </w:rPr>
                <w:t>Amended and Restated Employment Agreement, dated as of</w:t>
              </w:r>
            </w:hyperlink>
          </w:p>
        </w:tc>
        <w:tc>
          <w:tcPr>
            <w:tcW w:w="100" w:type="dxa"/>
            <w:vAlign w:val="bottom"/>
            <w:gridSpan w:val="3"/>
          </w:tcPr>
          <w:p>
            <w:pPr>
              <w:spacing w:after="0"/>
              <w:rPr>
                <w:sz w:val="17"/>
                <w:szCs w:val="17"/>
                <w:color w:val="auto"/>
              </w:rPr>
            </w:pPr>
          </w:p>
        </w:tc>
        <w:tc>
          <w:tcPr>
            <w:tcW w:w="154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4"/>
              </w:rPr>
              <w:t>12/29/17</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337">
              <w:r>
                <w:rPr>
                  <w:rFonts w:ascii="Arial" w:cs="Arial" w:eastAsia="Arial" w:hAnsi="Arial"/>
                  <w:sz w:val="18"/>
                  <w:szCs w:val="18"/>
                  <w:color w:val="0000EE"/>
                  <w:w w:val="93"/>
                </w:rPr>
                <w:t>January 1, 2018, by and between Celldex Therapeutics, Inc.</w:t>
              </w:r>
            </w:hyperlink>
          </w:p>
        </w:tc>
        <w:tc>
          <w:tcPr>
            <w:tcW w:w="140" w:type="dxa"/>
            <w:vAlign w:val="bottom"/>
            <w:gridSpan w:val="4"/>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337">
              <w:r>
                <w:rPr>
                  <w:rFonts w:ascii="Arial" w:cs="Arial" w:eastAsia="Arial" w:hAnsi="Arial"/>
                  <w:sz w:val="18"/>
                  <w:szCs w:val="18"/>
                  <w:color w:val="0000EE"/>
                  <w:w w:val="89"/>
                </w:rPr>
                <w:t>and Sarah Cavanaugh</w:t>
              </w:r>
            </w:hyperlink>
          </w:p>
        </w:tc>
        <w:tc>
          <w:tcPr>
            <w:tcW w:w="3020" w:type="dxa"/>
            <w:vAlign w:val="bottom"/>
            <w:gridSpan w:val="19"/>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7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†10.33</w:t>
            </w:r>
          </w:p>
        </w:tc>
        <w:tc>
          <w:tcPr>
            <w:tcW w:w="4560" w:type="dxa"/>
            <w:vAlign w:val="bottom"/>
            <w:tcBorders>
              <w:bottom w:val="single" w:sz="8" w:color="0000EE"/>
            </w:tcBorders>
            <w:gridSpan w:val="18"/>
          </w:tcPr>
          <w:p>
            <w:pPr>
              <w:spacing w:after="0"/>
              <w:rPr>
                <w:rFonts w:ascii="Arial" w:cs="Arial" w:eastAsia="Arial" w:hAnsi="Arial"/>
                <w:sz w:val="18"/>
                <w:szCs w:val="18"/>
                <w:color w:val="0000EE"/>
                <w:w w:val="93"/>
              </w:rPr>
            </w:pPr>
            <w:hyperlink r:id="rId338">
              <w:r>
                <w:rPr>
                  <w:rFonts w:ascii="Arial" w:cs="Arial" w:eastAsia="Arial" w:hAnsi="Arial"/>
                  <w:sz w:val="18"/>
                  <w:szCs w:val="18"/>
                  <w:color w:val="0000EE"/>
                  <w:w w:val="93"/>
                </w:rPr>
                <w:t>Amended and Restated Employment Agreement, dated as of</w:t>
              </w:r>
            </w:hyperlink>
          </w:p>
        </w:tc>
        <w:tc>
          <w:tcPr>
            <w:tcW w:w="100" w:type="dxa"/>
            <w:vAlign w:val="bottom"/>
            <w:gridSpan w:val="3"/>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12/29/17</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338">
              <w:r>
                <w:rPr>
                  <w:rFonts w:ascii="Arial" w:cs="Arial" w:eastAsia="Arial" w:hAnsi="Arial"/>
                  <w:sz w:val="18"/>
                  <w:szCs w:val="18"/>
                  <w:color w:val="0000EE"/>
                  <w:w w:val="93"/>
                </w:rPr>
                <w:t>January 1, 2018, by and between Celldex Therapeutics, Inc.</w:t>
              </w:r>
            </w:hyperlink>
          </w:p>
        </w:tc>
        <w:tc>
          <w:tcPr>
            <w:tcW w:w="140" w:type="dxa"/>
            <w:vAlign w:val="bottom"/>
            <w:gridSpan w:val="4"/>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338">
              <w:r>
                <w:rPr>
                  <w:rFonts w:ascii="Arial" w:cs="Arial" w:eastAsia="Arial" w:hAnsi="Arial"/>
                  <w:sz w:val="18"/>
                  <w:szCs w:val="18"/>
                  <w:color w:val="0000EE"/>
                  <w:w w:val="96"/>
                </w:rPr>
                <w:t>and Margo Heath-Chiozzi, M.D.</w:t>
              </w:r>
            </w:hyperlink>
          </w:p>
        </w:tc>
        <w:tc>
          <w:tcPr>
            <w:tcW w:w="2200" w:type="dxa"/>
            <w:vAlign w:val="bottom"/>
            <w:gridSpan w:val="14"/>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7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†10.34</w:t>
            </w:r>
          </w:p>
        </w:tc>
        <w:tc>
          <w:tcPr>
            <w:tcW w:w="4560" w:type="dxa"/>
            <w:vAlign w:val="bottom"/>
            <w:tcBorders>
              <w:bottom w:val="single" w:sz="8" w:color="0000EE"/>
            </w:tcBorders>
            <w:gridSpan w:val="18"/>
          </w:tcPr>
          <w:p>
            <w:pPr>
              <w:spacing w:after="0"/>
              <w:rPr>
                <w:rFonts w:ascii="Arial" w:cs="Arial" w:eastAsia="Arial" w:hAnsi="Arial"/>
                <w:sz w:val="18"/>
                <w:szCs w:val="18"/>
                <w:color w:val="0000EE"/>
                <w:w w:val="93"/>
              </w:rPr>
            </w:pPr>
            <w:hyperlink r:id="rId339">
              <w:r>
                <w:rPr>
                  <w:rFonts w:ascii="Arial" w:cs="Arial" w:eastAsia="Arial" w:hAnsi="Arial"/>
                  <w:sz w:val="18"/>
                  <w:szCs w:val="18"/>
                  <w:color w:val="0000EE"/>
                  <w:w w:val="93"/>
                </w:rPr>
                <w:t>Amended and Restated Employment Agreement, dated as of</w:t>
              </w:r>
            </w:hyperlink>
          </w:p>
        </w:tc>
        <w:tc>
          <w:tcPr>
            <w:tcW w:w="100" w:type="dxa"/>
            <w:vAlign w:val="bottom"/>
            <w:gridSpan w:val="3"/>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12/29/17</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339">
              <w:r>
                <w:rPr>
                  <w:rFonts w:ascii="Arial" w:cs="Arial" w:eastAsia="Arial" w:hAnsi="Arial"/>
                  <w:sz w:val="18"/>
                  <w:szCs w:val="18"/>
                  <w:color w:val="0000EE"/>
                  <w:w w:val="93"/>
                </w:rPr>
                <w:t>January 1, 2018, by and between Celldex Therapeutics, Inc.</w:t>
              </w:r>
            </w:hyperlink>
          </w:p>
        </w:tc>
        <w:tc>
          <w:tcPr>
            <w:tcW w:w="140" w:type="dxa"/>
            <w:vAlign w:val="bottom"/>
            <w:gridSpan w:val="4"/>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60" w:type="dxa"/>
            <w:vAlign w:val="bottom"/>
            <w:gridSpan w:val="21"/>
          </w:tcPr>
          <w:p>
            <w:pPr>
              <w:spacing w:after="0" w:line="196" w:lineRule="exact"/>
              <w:rPr>
                <w:rFonts w:ascii="Arial" w:cs="Arial" w:eastAsia="Arial" w:hAnsi="Arial"/>
                <w:sz w:val="18"/>
                <w:szCs w:val="18"/>
                <w:color w:val="0000EE"/>
              </w:rPr>
            </w:pPr>
            <w:hyperlink r:id="rId339">
              <w:r>
                <w:rPr>
                  <w:rFonts w:ascii="Arial" w:cs="Arial" w:eastAsia="Arial" w:hAnsi="Arial"/>
                  <w:sz w:val="18"/>
                  <w:szCs w:val="18"/>
                  <w:color w:val="0000EE"/>
                </w:rPr>
                <w:t>and Elizabeth Crowley</w:t>
              </w:r>
            </w:hyperlink>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0"/>
        </w:trPr>
        <w:tc>
          <w:tcPr>
            <w:tcW w:w="7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†10.35</w:t>
            </w:r>
          </w:p>
        </w:tc>
        <w:tc>
          <w:tcPr>
            <w:tcW w:w="4560" w:type="dxa"/>
            <w:vAlign w:val="bottom"/>
            <w:tcBorders>
              <w:bottom w:val="single" w:sz="8" w:color="0000EE"/>
            </w:tcBorders>
            <w:gridSpan w:val="18"/>
          </w:tcPr>
          <w:p>
            <w:pPr>
              <w:spacing w:after="0"/>
              <w:rPr>
                <w:rFonts w:ascii="Arial" w:cs="Arial" w:eastAsia="Arial" w:hAnsi="Arial"/>
                <w:sz w:val="18"/>
                <w:szCs w:val="18"/>
                <w:color w:val="0000EE"/>
                <w:w w:val="93"/>
              </w:rPr>
            </w:pPr>
            <w:hyperlink r:id="rId340">
              <w:r>
                <w:rPr>
                  <w:rFonts w:ascii="Arial" w:cs="Arial" w:eastAsia="Arial" w:hAnsi="Arial"/>
                  <w:sz w:val="18"/>
                  <w:szCs w:val="18"/>
                  <w:color w:val="0000EE"/>
                  <w:w w:val="93"/>
                </w:rPr>
                <w:t>Amended and Restated Employment Agreement, dated as of</w:t>
              </w:r>
            </w:hyperlink>
          </w:p>
        </w:tc>
        <w:tc>
          <w:tcPr>
            <w:tcW w:w="100" w:type="dxa"/>
            <w:vAlign w:val="bottom"/>
            <w:gridSpan w:val="3"/>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12/29/17</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340">
              <w:r>
                <w:rPr>
                  <w:rFonts w:ascii="Arial" w:cs="Arial" w:eastAsia="Arial" w:hAnsi="Arial"/>
                  <w:sz w:val="18"/>
                  <w:szCs w:val="18"/>
                  <w:color w:val="0000EE"/>
                  <w:w w:val="93"/>
                </w:rPr>
                <w:t>January 1, 2018, by and between Celldex Therapeutics, Inc.</w:t>
              </w:r>
            </w:hyperlink>
          </w:p>
        </w:tc>
        <w:tc>
          <w:tcPr>
            <w:tcW w:w="140" w:type="dxa"/>
            <w:vAlign w:val="bottom"/>
            <w:gridSpan w:val="4"/>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340">
              <w:r>
                <w:rPr>
                  <w:rFonts w:ascii="Arial" w:cs="Arial" w:eastAsia="Arial" w:hAnsi="Arial"/>
                  <w:sz w:val="18"/>
                  <w:szCs w:val="18"/>
                  <w:color w:val="0000EE"/>
                  <w:w w:val="95"/>
                </w:rPr>
                <w:t>and Richard Wright, Ph.D.</w:t>
              </w:r>
            </w:hyperlink>
          </w:p>
        </w:tc>
        <w:tc>
          <w:tcPr>
            <w:tcW w:w="2640" w:type="dxa"/>
            <w:vAlign w:val="bottom"/>
            <w:gridSpan w:val="17"/>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7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†10.36</w:t>
            </w:r>
          </w:p>
        </w:tc>
        <w:tc>
          <w:tcPr>
            <w:tcW w:w="4660" w:type="dxa"/>
            <w:vAlign w:val="bottom"/>
            <w:gridSpan w:val="21"/>
          </w:tcPr>
          <w:p>
            <w:pPr>
              <w:spacing w:after="0"/>
              <w:rPr>
                <w:rFonts w:ascii="Arial" w:cs="Arial" w:eastAsia="Arial" w:hAnsi="Arial"/>
                <w:sz w:val="18"/>
                <w:szCs w:val="18"/>
                <w:color w:val="0000EE"/>
              </w:rPr>
            </w:pPr>
            <w:hyperlink r:id="rId341">
              <w:r>
                <w:rPr>
                  <w:rFonts w:ascii="Arial" w:cs="Arial" w:eastAsia="Arial" w:hAnsi="Arial"/>
                  <w:sz w:val="18"/>
                  <w:szCs w:val="18"/>
                  <w:color w:val="0000EE"/>
                </w:rPr>
                <w:t>Employment Agreement, dated as of July 8, 2019, by and</w:t>
              </w:r>
            </w:hyperlink>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6"/>
              </w:rPr>
              <w:t>6/24/19</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41">
              <w:r>
                <w:rPr>
                  <w:rFonts w:ascii="Arial" w:cs="Arial" w:eastAsia="Arial" w:hAnsi="Arial"/>
                  <w:sz w:val="18"/>
                  <w:szCs w:val="18"/>
                  <w:color w:val="0000EE"/>
                </w:rPr>
                <w:t>between Diane Young and Celldex Therapeutics., Inc.</w:t>
              </w:r>
            </w:hyperlink>
          </w:p>
        </w:tc>
        <w:tc>
          <w:tcPr>
            <w:tcW w:w="320" w:type="dxa"/>
            <w:vAlign w:val="bottom"/>
            <w:gridSpan w:val="7"/>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0"/>
        </w:trPr>
        <w:tc>
          <w:tcPr>
            <w:tcW w:w="7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†10.37</w:t>
            </w:r>
          </w:p>
        </w:tc>
        <w:tc>
          <w:tcPr>
            <w:tcW w:w="4300" w:type="dxa"/>
            <w:vAlign w:val="bottom"/>
            <w:tcBorders>
              <w:bottom w:val="single" w:sz="8" w:color="0000EE"/>
            </w:tcBorders>
            <w:gridSpan w:val="13"/>
          </w:tcPr>
          <w:p>
            <w:pPr>
              <w:spacing w:after="0"/>
              <w:rPr>
                <w:rFonts w:ascii="Arial" w:cs="Arial" w:eastAsia="Arial" w:hAnsi="Arial"/>
                <w:sz w:val="18"/>
                <w:szCs w:val="18"/>
                <w:color w:val="0000EE"/>
                <w:w w:val="94"/>
              </w:rPr>
            </w:pPr>
            <w:hyperlink r:id="rId342">
              <w:r>
                <w:rPr>
                  <w:rFonts w:ascii="Arial" w:cs="Arial" w:eastAsia="Arial" w:hAnsi="Arial"/>
                  <w:sz w:val="18"/>
                  <w:szCs w:val="18"/>
                  <w:color w:val="0000EE"/>
                  <w:w w:val="94"/>
                </w:rPr>
                <w:t>Employment Agreement, dated as of January 1, 2021, by</w:t>
              </w:r>
            </w:hyperlink>
          </w:p>
        </w:tc>
        <w:tc>
          <w:tcPr>
            <w:tcW w:w="360" w:type="dxa"/>
            <w:vAlign w:val="bottom"/>
            <w:gridSpan w:val="8"/>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1/4/21</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342">
              <w:r>
                <w:rPr>
                  <w:rFonts w:ascii="Arial" w:cs="Arial" w:eastAsia="Arial" w:hAnsi="Arial"/>
                  <w:sz w:val="18"/>
                  <w:szCs w:val="18"/>
                  <w:color w:val="0000EE"/>
                  <w:w w:val="93"/>
                </w:rPr>
                <w:t>and between Freddy Jimenez and Celldex Therapeutics., Inc.</w:t>
              </w:r>
            </w:hyperlink>
          </w:p>
        </w:tc>
        <w:tc>
          <w:tcPr>
            <w:tcW w:w="60" w:type="dxa"/>
            <w:vAlign w:val="bottom"/>
            <w:gridSpan w:val="2"/>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7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†10.38</w:t>
            </w:r>
          </w:p>
        </w:tc>
        <w:tc>
          <w:tcPr>
            <w:tcW w:w="4660" w:type="dxa"/>
            <w:vAlign w:val="bottom"/>
            <w:gridSpan w:val="21"/>
          </w:tcPr>
          <w:p>
            <w:pPr>
              <w:spacing w:after="0"/>
              <w:rPr>
                <w:rFonts w:ascii="Arial" w:cs="Arial" w:eastAsia="Arial" w:hAnsi="Arial"/>
                <w:sz w:val="18"/>
                <w:szCs w:val="18"/>
                <w:color w:val="0000EE"/>
              </w:rPr>
            </w:pPr>
            <w:hyperlink r:id="rId343">
              <w:r>
                <w:rPr>
                  <w:rFonts w:ascii="Arial" w:cs="Arial" w:eastAsia="Arial" w:hAnsi="Arial"/>
                  <w:sz w:val="18"/>
                  <w:szCs w:val="18"/>
                  <w:color w:val="0000EE"/>
                </w:rPr>
                <w:t>Form of Stock Option Agreement</w:t>
              </w:r>
            </w:hyperlink>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6"/>
              </w:rPr>
              <w:t>8/08/18</w:t>
            </w:r>
          </w:p>
        </w:tc>
      </w:tr>
      <w:tr>
        <w:trPr>
          <w:trHeight w:val="237"/>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9"/>
        </w:trPr>
        <w:tc>
          <w:tcPr>
            <w:tcW w:w="7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†10.39</w:t>
            </w:r>
          </w:p>
        </w:tc>
        <w:tc>
          <w:tcPr>
            <w:tcW w:w="4660" w:type="dxa"/>
            <w:vAlign w:val="bottom"/>
            <w:gridSpan w:val="21"/>
          </w:tcPr>
          <w:p>
            <w:pPr>
              <w:spacing w:after="0"/>
              <w:rPr>
                <w:rFonts w:ascii="Arial" w:cs="Arial" w:eastAsia="Arial" w:hAnsi="Arial"/>
                <w:sz w:val="18"/>
                <w:szCs w:val="18"/>
                <w:color w:val="0000EE"/>
              </w:rPr>
            </w:pPr>
            <w:hyperlink r:id="rId344">
              <w:r>
                <w:rPr>
                  <w:rFonts w:ascii="Arial" w:cs="Arial" w:eastAsia="Arial" w:hAnsi="Arial"/>
                  <w:sz w:val="18"/>
                  <w:szCs w:val="18"/>
                  <w:color w:val="0000EE"/>
                </w:rPr>
                <w:t>Form of Restricted Stock Award</w:t>
              </w:r>
            </w:hyperlink>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480" w:type="dxa"/>
            <w:vAlign w:val="bottom"/>
          </w:tcPr>
          <w:p>
            <w:pPr>
              <w:jc w:val="center"/>
              <w:spacing w:after="0"/>
              <w:rPr>
                <w:sz w:val="20"/>
                <w:szCs w:val="20"/>
                <w:color w:val="auto"/>
              </w:rPr>
            </w:pPr>
            <w:r>
              <w:rPr>
                <w:rFonts w:ascii="Arial" w:cs="Arial" w:eastAsia="Arial" w:hAnsi="Arial"/>
                <w:sz w:val="18"/>
                <w:szCs w:val="18"/>
                <w:color w:val="auto"/>
                <w:w w:val="93"/>
              </w:rPr>
              <w:t>10.42</w:t>
            </w:r>
          </w:p>
        </w:tc>
        <w:tc>
          <w:tcPr>
            <w:tcW w:w="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6"/>
              </w:rPr>
              <w:t>3/12/10</w:t>
            </w:r>
          </w:p>
        </w:tc>
      </w:tr>
      <w:tr>
        <w:trPr>
          <w:trHeight w:val="237"/>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(000-15006)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3"/>
        </w:trPr>
        <w:tc>
          <w:tcPr>
            <w:tcW w:w="640" w:type="dxa"/>
            <w:vAlign w:val="bottom"/>
          </w:tcPr>
          <w:p>
            <w:pPr>
              <w:jc w:val="center"/>
              <w:ind w:left="11"/>
              <w:spacing w:after="0"/>
              <w:rPr>
                <w:sz w:val="20"/>
                <w:szCs w:val="20"/>
                <w:color w:val="auto"/>
              </w:rPr>
            </w:pPr>
            <w:r>
              <w:rPr>
                <w:rFonts w:ascii="Arial" w:cs="Arial" w:eastAsia="Arial" w:hAnsi="Arial"/>
                <w:sz w:val="18"/>
                <w:szCs w:val="18"/>
                <w:color w:val="auto"/>
                <w:w w:val="96"/>
              </w:rPr>
              <w:t>21.1</w:t>
            </w:r>
          </w:p>
        </w:tc>
        <w:tc>
          <w:tcPr>
            <w:tcW w:w="60" w:type="dxa"/>
            <w:vAlign w:val="bottom"/>
          </w:tcPr>
          <w:p>
            <w:pPr>
              <w:spacing w:after="0"/>
              <w:rPr>
                <w:sz w:val="21"/>
                <w:szCs w:val="21"/>
                <w:color w:val="auto"/>
              </w:rPr>
            </w:pPr>
          </w:p>
        </w:tc>
        <w:tc>
          <w:tcPr>
            <w:tcW w:w="31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07">
              <w:r>
                <w:rPr>
                  <w:rFonts w:ascii="Arial" w:cs="Arial" w:eastAsia="Arial" w:hAnsi="Arial"/>
                  <w:sz w:val="18"/>
                  <w:szCs w:val="18"/>
                  <w:color w:val="0000EE"/>
                  <w:w w:val="95"/>
                </w:rPr>
                <w:t>Subsidiaries of Celldex Therapeutics, Inc.</w:t>
              </w:r>
            </w:hyperlink>
          </w:p>
        </w:tc>
        <w:tc>
          <w:tcPr>
            <w:tcW w:w="1480" w:type="dxa"/>
            <w:vAlign w:val="bottom"/>
            <w:gridSpan w:val="11"/>
          </w:tcPr>
          <w:p>
            <w:pPr>
              <w:spacing w:after="0"/>
              <w:rPr>
                <w:sz w:val="21"/>
                <w:szCs w:val="21"/>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Filed herewith</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7"/>
        </w:trPr>
        <w:tc>
          <w:tcPr>
            <w:tcW w:w="640" w:type="dxa"/>
            <w:vAlign w:val="bottom"/>
          </w:tcPr>
          <w:p>
            <w:pPr>
              <w:jc w:val="center"/>
              <w:ind w:left="11"/>
              <w:spacing w:after="0"/>
              <w:rPr>
                <w:sz w:val="20"/>
                <w:szCs w:val="20"/>
                <w:color w:val="auto"/>
              </w:rPr>
            </w:pPr>
            <w:r>
              <w:rPr>
                <w:rFonts w:ascii="Arial" w:cs="Arial" w:eastAsia="Arial" w:hAnsi="Arial"/>
                <w:sz w:val="18"/>
                <w:szCs w:val="18"/>
                <w:color w:val="auto"/>
                <w:w w:val="96"/>
              </w:rPr>
              <w:t>23.1</w:t>
            </w:r>
          </w:p>
        </w:tc>
        <w:tc>
          <w:tcPr>
            <w:tcW w:w="60" w:type="dxa"/>
            <w:vAlign w:val="bottom"/>
          </w:tcPr>
          <w:p>
            <w:pPr>
              <w:spacing w:after="0"/>
              <w:rPr>
                <w:sz w:val="20"/>
                <w:szCs w:val="20"/>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Consent of PricewaterhouseCoopers LLP, an Independent</w:t>
              </w:r>
            </w:hyperlink>
          </w:p>
        </w:tc>
        <w:tc>
          <w:tcPr>
            <w:tcW w:w="300" w:type="dxa"/>
            <w:vAlign w:val="bottom"/>
            <w:gridSpan w:val="6"/>
          </w:tcPr>
          <w:p>
            <w:pPr>
              <w:spacing w:after="0"/>
              <w:rPr>
                <w:sz w:val="20"/>
                <w:szCs w:val="20"/>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Filed herewith</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8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108">
              <w:r>
                <w:rPr>
                  <w:rFonts w:ascii="Arial" w:cs="Arial" w:eastAsia="Arial" w:hAnsi="Arial"/>
                  <w:sz w:val="18"/>
                  <w:szCs w:val="18"/>
                  <w:color w:val="0000EE"/>
                  <w:w w:val="96"/>
                </w:rPr>
                <w:t>Registered Public Accounting Firm</w:t>
              </w:r>
            </w:hyperlink>
          </w:p>
        </w:tc>
        <w:tc>
          <w:tcPr>
            <w:tcW w:w="1980" w:type="dxa"/>
            <w:vAlign w:val="bottom"/>
            <w:gridSpan w:val="12"/>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77"/>
        </w:trPr>
        <w:tc>
          <w:tcPr>
            <w:tcW w:w="640" w:type="dxa"/>
            <w:vAlign w:val="bottom"/>
          </w:tcPr>
          <w:p>
            <w:pPr>
              <w:jc w:val="center"/>
              <w:ind w:left="11"/>
              <w:spacing w:after="0"/>
              <w:rPr>
                <w:sz w:val="20"/>
                <w:szCs w:val="20"/>
                <w:color w:val="auto"/>
              </w:rPr>
            </w:pPr>
            <w:r>
              <w:rPr>
                <w:rFonts w:ascii="Arial" w:cs="Arial" w:eastAsia="Arial" w:hAnsi="Arial"/>
                <w:sz w:val="18"/>
                <w:szCs w:val="18"/>
                <w:color w:val="auto"/>
                <w:w w:val="96"/>
              </w:rPr>
              <w:t>31.1</w:t>
            </w:r>
          </w:p>
        </w:tc>
        <w:tc>
          <w:tcPr>
            <w:tcW w:w="60" w:type="dxa"/>
            <w:vAlign w:val="bottom"/>
          </w:tcPr>
          <w:p>
            <w:pPr>
              <w:spacing w:after="0"/>
              <w:rPr>
                <w:sz w:val="24"/>
                <w:szCs w:val="24"/>
                <w:color w:val="auto"/>
              </w:rPr>
            </w:pPr>
          </w:p>
        </w:tc>
        <w:tc>
          <w:tcPr>
            <w:tcW w:w="410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09">
              <w:r>
                <w:rPr>
                  <w:rFonts w:ascii="Arial" w:cs="Arial" w:eastAsia="Arial" w:hAnsi="Arial"/>
                  <w:sz w:val="18"/>
                  <w:szCs w:val="18"/>
                  <w:color w:val="0000EE"/>
                  <w:w w:val="97"/>
                </w:rPr>
                <w:t>Certification of President and Chief Executive Officer</w:t>
              </w:r>
            </w:hyperlink>
          </w:p>
        </w:tc>
        <w:tc>
          <w:tcPr>
            <w:tcW w:w="560" w:type="dxa"/>
            <w:vAlign w:val="bottom"/>
            <w:gridSpan w:val="9"/>
          </w:tcPr>
          <w:p>
            <w:pPr>
              <w:spacing w:after="0"/>
              <w:rPr>
                <w:sz w:val="24"/>
                <w:szCs w:val="24"/>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Filed herewith</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640" w:type="dxa"/>
            <w:vAlign w:val="bottom"/>
          </w:tcPr>
          <w:p>
            <w:pPr>
              <w:jc w:val="center"/>
              <w:ind w:left="11"/>
              <w:spacing w:after="0"/>
              <w:rPr>
                <w:sz w:val="20"/>
                <w:szCs w:val="20"/>
                <w:color w:val="auto"/>
              </w:rPr>
            </w:pPr>
            <w:r>
              <w:rPr>
                <w:rFonts w:ascii="Arial" w:cs="Arial" w:eastAsia="Arial" w:hAnsi="Arial"/>
                <w:sz w:val="18"/>
                <w:szCs w:val="18"/>
                <w:color w:val="auto"/>
                <w:w w:val="96"/>
              </w:rPr>
              <w:t>31.2</w:t>
            </w:r>
          </w:p>
        </w:tc>
        <w:tc>
          <w:tcPr>
            <w:tcW w:w="60" w:type="dxa"/>
            <w:vAlign w:val="bottom"/>
          </w:tcPr>
          <w:p>
            <w:pPr>
              <w:spacing w:after="0"/>
              <w:rPr>
                <w:sz w:val="21"/>
                <w:szCs w:val="21"/>
                <w:color w:val="auto"/>
              </w:rPr>
            </w:pPr>
          </w:p>
        </w:tc>
        <w:tc>
          <w:tcPr>
            <w:tcW w:w="438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110">
              <w:r>
                <w:rPr>
                  <w:rFonts w:ascii="Arial" w:cs="Arial" w:eastAsia="Arial" w:hAnsi="Arial"/>
                  <w:sz w:val="18"/>
                  <w:szCs w:val="18"/>
                  <w:color w:val="0000EE"/>
                  <w:w w:val="96"/>
                </w:rPr>
                <w:t>Certification of Senior Vice President and Chief Financial</w:t>
              </w:r>
            </w:hyperlink>
          </w:p>
        </w:tc>
        <w:tc>
          <w:tcPr>
            <w:tcW w:w="280" w:type="dxa"/>
            <w:vAlign w:val="bottom"/>
            <w:gridSpan w:val="5"/>
          </w:tcPr>
          <w:p>
            <w:pPr>
              <w:spacing w:after="0"/>
              <w:rPr>
                <w:sz w:val="21"/>
                <w:szCs w:val="21"/>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Filed herewith</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7"/>
              </w:rPr>
            </w:pPr>
            <w:hyperlink w:anchor="page110">
              <w:r>
                <w:rPr>
                  <w:rFonts w:ascii="Arial" w:cs="Arial" w:eastAsia="Arial" w:hAnsi="Arial"/>
                  <w:sz w:val="18"/>
                  <w:szCs w:val="18"/>
                  <w:color w:val="0000EE"/>
                  <w:w w:val="97"/>
                </w:rPr>
                <w:t>Officer</w:t>
              </w:r>
            </w:hyperlink>
          </w:p>
        </w:tc>
        <w:tc>
          <w:tcPr>
            <w:tcW w:w="4120" w:type="dxa"/>
            <w:vAlign w:val="bottom"/>
            <w:gridSpan w:val="20"/>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77"/>
        </w:trPr>
        <w:tc>
          <w:tcPr>
            <w:tcW w:w="640" w:type="dxa"/>
            <w:vAlign w:val="bottom"/>
          </w:tcPr>
          <w:p>
            <w:pPr>
              <w:jc w:val="center"/>
              <w:ind w:left="11"/>
              <w:spacing w:after="0"/>
              <w:rPr>
                <w:sz w:val="20"/>
                <w:szCs w:val="20"/>
                <w:color w:val="auto"/>
              </w:rPr>
            </w:pPr>
            <w:r>
              <w:rPr>
                <w:rFonts w:ascii="Arial" w:cs="Arial" w:eastAsia="Arial" w:hAnsi="Arial"/>
                <w:sz w:val="18"/>
                <w:szCs w:val="18"/>
                <w:color w:val="auto"/>
                <w:w w:val="89"/>
              </w:rPr>
              <w:t>32</w:t>
            </w:r>
          </w:p>
        </w:tc>
        <w:tc>
          <w:tcPr>
            <w:tcW w:w="60" w:type="dxa"/>
            <w:vAlign w:val="bottom"/>
          </w:tcPr>
          <w:p>
            <w:pPr>
              <w:spacing w:after="0"/>
              <w:rPr>
                <w:sz w:val="24"/>
                <w:szCs w:val="24"/>
                <w:color w:val="auto"/>
              </w:rPr>
            </w:pPr>
          </w:p>
        </w:tc>
        <w:tc>
          <w:tcPr>
            <w:tcW w:w="466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Section 1350 Certifications</w:t>
              </w:r>
            </w:hyperlink>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Furnished herewith</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60" w:type="dxa"/>
            <w:vAlign w:val="bottom"/>
          </w:tcPr>
          <w:p>
            <w:pPr>
              <w:spacing w:after="0"/>
              <w:rPr>
                <w:sz w:val="24"/>
                <w:szCs w:val="24"/>
                <w:color w:val="auto"/>
              </w:rPr>
            </w:pPr>
          </w:p>
        </w:tc>
        <w:tc>
          <w:tcPr>
            <w:tcW w:w="20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w w:val="98"/>
              </w:rPr>
              <w:t>XBRL Instance Document</w:t>
            </w:r>
          </w:p>
        </w:tc>
        <w:tc>
          <w:tcPr>
            <w:tcW w:w="2600" w:type="dxa"/>
            <w:vAlign w:val="bottom"/>
            <w:gridSpan w:val="16"/>
          </w:tcPr>
          <w:p>
            <w:pPr>
              <w:spacing w:after="0"/>
              <w:rPr>
                <w:sz w:val="24"/>
                <w:szCs w:val="24"/>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Filed herewith</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3"/>
        </w:trPr>
        <w:tc>
          <w:tcPr>
            <w:tcW w:w="64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60" w:type="dxa"/>
            <w:vAlign w:val="bottom"/>
          </w:tcPr>
          <w:p>
            <w:pPr>
              <w:spacing w:after="0"/>
              <w:rPr>
                <w:sz w:val="24"/>
                <w:szCs w:val="24"/>
                <w:color w:val="auto"/>
              </w:rPr>
            </w:pPr>
          </w:p>
        </w:tc>
        <w:tc>
          <w:tcPr>
            <w:tcW w:w="466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15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Filed herewith</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6"/>
        </w:trPr>
        <w:tc>
          <w:tcPr>
            <w:tcW w:w="64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60" w:type="dxa"/>
            <w:vAlign w:val="bottom"/>
          </w:tcPr>
          <w:p>
            <w:pPr>
              <w:spacing w:after="0"/>
              <w:rPr>
                <w:sz w:val="22"/>
                <w:szCs w:val="22"/>
                <w:color w:val="auto"/>
              </w:rPr>
            </w:pPr>
          </w:p>
        </w:tc>
        <w:tc>
          <w:tcPr>
            <w:tcW w:w="466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w:t>
            </w:r>
          </w:p>
        </w:tc>
        <w:tc>
          <w:tcPr>
            <w:tcW w:w="15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Filed herewith</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30"/>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6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83"/>
        </w:trPr>
        <w:tc>
          <w:tcPr>
            <w:tcW w:w="64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60" w:type="dxa"/>
            <w:vAlign w:val="bottom"/>
          </w:tcPr>
          <w:p>
            <w:pPr>
              <w:spacing w:after="0"/>
              <w:rPr>
                <w:sz w:val="24"/>
                <w:szCs w:val="24"/>
                <w:color w:val="auto"/>
              </w:rPr>
            </w:pPr>
          </w:p>
        </w:tc>
        <w:tc>
          <w:tcPr>
            <w:tcW w:w="4660" w:type="dxa"/>
            <w:vAlign w:val="bottom"/>
            <w:gridSpan w:val="21"/>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15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Filed herewith</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64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60" w:type="dxa"/>
            <w:vAlign w:val="bottom"/>
          </w:tcPr>
          <w:p>
            <w:pPr>
              <w:spacing w:after="0"/>
              <w:rPr>
                <w:sz w:val="24"/>
                <w:szCs w:val="24"/>
                <w:color w:val="auto"/>
              </w:rPr>
            </w:pPr>
          </w:p>
        </w:tc>
        <w:tc>
          <w:tcPr>
            <w:tcW w:w="466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15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Filed herewith</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6"/>
        </w:trPr>
        <w:tc>
          <w:tcPr>
            <w:tcW w:w="64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60" w:type="dxa"/>
            <w:vAlign w:val="bottom"/>
          </w:tcPr>
          <w:p>
            <w:pPr>
              <w:spacing w:after="0"/>
              <w:rPr>
                <w:sz w:val="22"/>
                <w:szCs w:val="22"/>
                <w:color w:val="auto"/>
              </w:rPr>
            </w:pPr>
          </w:p>
        </w:tc>
        <w:tc>
          <w:tcPr>
            <w:tcW w:w="466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w:t>
            </w:r>
          </w:p>
        </w:tc>
        <w:tc>
          <w:tcPr>
            <w:tcW w:w="15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Filed herewith</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30"/>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6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499" w:hanging="360"/>
        <w:spacing w:after="0" w:line="277"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35" w:lineRule="exact"/>
        <w:rPr>
          <w:sz w:val="20"/>
          <w:szCs w:val="20"/>
          <w:color w:val="auto"/>
        </w:rPr>
      </w:pPr>
    </w:p>
    <w:p>
      <w:pPr>
        <w:ind w:left="1620" w:hanging="360"/>
        <w:spacing w:after="0"/>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FORM 10-K SUMMARY</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1039" w:firstLine="360"/>
        <w:spacing w:after="0" w:line="26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CELLDEX THERAPEUTICS, INC.</w:t>
      </w:r>
    </w:p>
    <w:p>
      <w:pPr>
        <w:spacing w:after="0" w:line="364"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4540" w:type="dxa"/>
            <w:vAlign w:val="bottom"/>
          </w:tcPr>
          <w:p>
            <w:pPr>
              <w:ind w:left="4040"/>
              <w:spacing w:after="0"/>
              <w:rPr>
                <w:sz w:val="20"/>
                <w:szCs w:val="20"/>
                <w:color w:val="auto"/>
              </w:rPr>
            </w:pPr>
            <w:r>
              <w:rPr>
                <w:rFonts w:ascii="Arial" w:cs="Arial" w:eastAsia="Arial" w:hAnsi="Arial"/>
                <w:sz w:val="18"/>
                <w:szCs w:val="18"/>
                <w:color w:val="auto"/>
              </w:rPr>
              <w:t>By:</w:t>
            </w:r>
          </w:p>
        </w:tc>
        <w:tc>
          <w:tcPr>
            <w:tcW w:w="3880" w:type="dxa"/>
            <w:vAlign w:val="bottom"/>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NTHONY</w:t>
            </w:r>
            <w:r>
              <w:rPr>
                <w:rFonts w:ascii="Arial" w:cs="Arial" w:eastAsia="Arial" w:hAnsi="Arial"/>
                <w:sz w:val="18"/>
                <w:szCs w:val="18"/>
                <w:color w:val="auto"/>
              </w:rPr>
              <w:t xml:space="preserve"> S. M</w:t>
            </w:r>
            <w:r>
              <w:rPr>
                <w:rFonts w:ascii="Arial" w:cs="Arial" w:eastAsia="Arial" w:hAnsi="Arial"/>
                <w:sz w:val="12"/>
                <w:szCs w:val="12"/>
                <w:color w:val="auto"/>
              </w:rPr>
              <w:t>ARUCCI</w:t>
            </w:r>
          </w:p>
        </w:tc>
        <w:tc>
          <w:tcPr>
            <w:tcW w:w="0" w:type="dxa"/>
            <w:vAlign w:val="bottom"/>
          </w:tcPr>
          <w:p>
            <w:pPr>
              <w:spacing w:after="0"/>
              <w:rPr>
                <w:sz w:val="1"/>
                <w:szCs w:val="1"/>
                <w:color w:val="auto"/>
              </w:rPr>
            </w:pPr>
          </w:p>
        </w:tc>
      </w:tr>
      <w:tr>
        <w:trPr>
          <w:trHeight w:val="54"/>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3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540" w:type="dxa"/>
            <w:vAlign w:val="bottom"/>
            <w:vMerge w:val="continue"/>
          </w:tcPr>
          <w:p>
            <w:pPr>
              <w:spacing w:after="0"/>
              <w:rPr>
                <w:sz w:val="22"/>
                <w:szCs w:val="22"/>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Anthony S. Marucci</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March 29, 2021</w:t>
            </w:r>
          </w:p>
        </w:tc>
        <w:tc>
          <w:tcPr>
            <w:tcW w:w="3880" w:type="dxa"/>
            <w:vAlign w:val="bottom"/>
          </w:tcPr>
          <w:p>
            <w:pPr>
              <w:jc w:val="center"/>
              <w:spacing w:after="0"/>
              <w:rPr>
                <w:sz w:val="20"/>
                <w:szCs w:val="20"/>
                <w:color w:val="auto"/>
              </w:rPr>
            </w:pPr>
            <w:r>
              <w:rPr>
                <w:rFonts w:ascii="Arial" w:cs="Arial" w:eastAsia="Arial" w:hAnsi="Arial"/>
                <w:sz w:val="18"/>
                <w:szCs w:val="18"/>
                <w:i w:val="1"/>
                <w:iCs w:val="1"/>
                <w:color w:val="auto"/>
                <w:w w:val="95"/>
              </w:rPr>
              <w:t>President and Chief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21" w:lineRule="exact"/>
        <w:rPr>
          <w:sz w:val="20"/>
          <w:szCs w:val="20"/>
          <w:color w:val="auto"/>
        </w:rPr>
      </w:pPr>
    </w:p>
    <w:p>
      <w:pPr>
        <w:ind w:left="2280"/>
        <w:spacing w:after="0"/>
        <w:tabs>
          <w:tab w:leader="none" w:pos="5740" w:val="left"/>
          <w:tab w:leader="none" w:pos="85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NTHONY</w:t>
      </w:r>
      <w:r>
        <w:rPr>
          <w:rFonts w:ascii="Arial" w:cs="Arial" w:eastAsia="Arial" w:hAnsi="Arial"/>
          <w:sz w:val="18"/>
          <w:szCs w:val="18"/>
          <w:color w:val="auto"/>
        </w:rPr>
        <w:t xml:space="preserve"> S. M</w:t>
      </w:r>
      <w:r>
        <w:rPr>
          <w:rFonts w:ascii="Arial" w:cs="Arial" w:eastAsia="Arial" w:hAnsi="Arial"/>
          <w:sz w:val="12"/>
          <w:szCs w:val="12"/>
          <w:color w:val="auto"/>
        </w:rPr>
        <w:t>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6459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97"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Anthony S. Marucci</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AM</w:t>
      </w:r>
      <w:r>
        <w:rPr>
          <w:rFonts w:ascii="Arial" w:cs="Arial" w:eastAsia="Arial" w:hAnsi="Arial"/>
          <w:sz w:val="18"/>
          <w:szCs w:val="18"/>
          <w:color w:val="auto"/>
        </w:rPr>
        <w:t xml:space="preserve"> M</w:t>
      </w:r>
      <w:r>
        <w:rPr>
          <w:rFonts w:ascii="Arial" w:cs="Arial" w:eastAsia="Arial" w:hAnsi="Arial"/>
          <w:sz w:val="12"/>
          <w:szCs w:val="12"/>
          <w:color w:val="auto"/>
        </w:rPr>
        <w:t>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6459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9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Sam Martin</w:t>
      </w:r>
    </w:p>
    <w:p>
      <w:pPr>
        <w:spacing w:after="0" w:line="374"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AREN</w:t>
      </w:r>
      <w:r>
        <w:rPr>
          <w:rFonts w:ascii="Arial" w:cs="Arial" w:eastAsia="Arial" w:hAnsi="Arial"/>
          <w:sz w:val="18"/>
          <w:szCs w:val="18"/>
          <w:color w:val="auto"/>
        </w:rPr>
        <w:t xml:space="preserve"> L. S</w:t>
      </w:r>
      <w:r>
        <w:rPr>
          <w:rFonts w:ascii="Arial" w:cs="Arial" w:eastAsia="Arial" w:hAnsi="Arial"/>
          <w:sz w:val="12"/>
          <w:szCs w:val="12"/>
          <w:color w:val="auto"/>
        </w:rPr>
        <w:t>HOOS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6459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97"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Karen L. Shoos</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EITH</w:t>
      </w:r>
      <w:r>
        <w:rPr>
          <w:rFonts w:ascii="Arial" w:cs="Arial" w:eastAsia="Arial" w:hAnsi="Arial"/>
          <w:sz w:val="18"/>
          <w:szCs w:val="18"/>
          <w:color w:val="auto"/>
        </w:rPr>
        <w:t xml:space="preserve"> L. B</w:t>
      </w:r>
      <w:r>
        <w:rPr>
          <w:rFonts w:ascii="Arial" w:cs="Arial" w:eastAsia="Arial" w:hAnsi="Arial"/>
          <w:sz w:val="12"/>
          <w:szCs w:val="12"/>
          <w:color w:val="auto"/>
        </w:rPr>
        <w:t>ROWNLIE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6459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97"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Keith L. Brownlie</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ERBERT</w:t>
      </w:r>
      <w:r>
        <w:rPr>
          <w:rFonts w:ascii="Arial" w:cs="Arial" w:eastAsia="Arial" w:hAnsi="Arial"/>
          <w:sz w:val="18"/>
          <w:szCs w:val="18"/>
          <w:color w:val="auto"/>
        </w:rPr>
        <w:t xml:space="preserve"> J. C</w:t>
      </w:r>
      <w:r>
        <w:rPr>
          <w:rFonts w:ascii="Arial" w:cs="Arial" w:eastAsia="Arial" w:hAnsi="Arial"/>
          <w:sz w:val="12"/>
          <w:szCs w:val="12"/>
          <w:color w:val="auto"/>
        </w:rPr>
        <w:t>ONRAD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6459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9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Herbert J. Conrad</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J. M</w:t>
      </w:r>
      <w:r>
        <w:rPr>
          <w:rFonts w:ascii="Arial" w:cs="Arial" w:eastAsia="Arial" w:hAnsi="Arial"/>
          <w:sz w:val="12"/>
          <w:szCs w:val="12"/>
          <w:color w:val="auto"/>
        </w:rPr>
        <w:t>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6459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97"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James J. Marino</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7"/>
          <w:szCs w:val="17"/>
          <w:color w:val="auto"/>
        </w:rPr>
        <w:t>/s/ H</w:t>
      </w:r>
      <w:r>
        <w:rPr>
          <w:rFonts w:ascii="Arial" w:cs="Arial" w:eastAsia="Arial" w:hAnsi="Arial"/>
          <w:sz w:val="11"/>
          <w:szCs w:val="11"/>
          <w:color w:val="auto"/>
        </w:rPr>
        <w:t>ARRY</w:t>
      </w:r>
      <w:r>
        <w:rPr>
          <w:rFonts w:ascii="Arial" w:cs="Arial" w:eastAsia="Arial" w:hAnsi="Arial"/>
          <w:sz w:val="17"/>
          <w:szCs w:val="17"/>
          <w:color w:val="auto"/>
        </w:rPr>
        <w:t xml:space="preserve"> H. P</w:t>
      </w:r>
      <w:r>
        <w:rPr>
          <w:rFonts w:ascii="Arial" w:cs="Arial" w:eastAsia="Arial" w:hAnsi="Arial"/>
          <w:sz w:val="11"/>
          <w:szCs w:val="11"/>
          <w:color w:val="auto"/>
        </w:rPr>
        <w:t>ENNER</w:t>
      </w:r>
      <w:r>
        <w:rPr>
          <w:rFonts w:ascii="Arial" w:cs="Arial" w:eastAsia="Arial" w:hAnsi="Arial"/>
          <w:sz w:val="17"/>
          <w:szCs w:val="17"/>
          <w:color w:val="auto"/>
        </w:rPr>
        <w:t>, J</w:t>
      </w:r>
      <w:r>
        <w:rPr>
          <w:rFonts w:ascii="Arial" w:cs="Arial" w:eastAsia="Arial" w:hAnsi="Arial"/>
          <w:sz w:val="11"/>
          <w:szCs w:val="11"/>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56515</wp:posOffset>
            </wp:positionV>
            <wp:extent cx="16459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09"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Harry H. Penner, Jr.</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jc w:val="center"/>
              <w:ind w:right="130"/>
              <w:spacing w:after="0"/>
              <w:rPr>
                <w:sz w:val="20"/>
                <w:szCs w:val="20"/>
                <w:color w:val="auto"/>
              </w:rPr>
            </w:pPr>
            <w:r>
              <w:rPr>
                <w:rFonts w:ascii="Arial" w:cs="Arial" w:eastAsia="Arial" w:hAnsi="Arial"/>
                <w:sz w:val="18"/>
                <w:szCs w:val="18"/>
                <w:color w:val="auto"/>
                <w:w w:val="96"/>
              </w:rPr>
              <w:t>President, Chief Executive Officer, and Director</w:t>
            </w:r>
          </w:p>
        </w:tc>
        <w:tc>
          <w:tcPr>
            <w:tcW w:w="1400" w:type="dxa"/>
            <w:vAlign w:val="bottom"/>
          </w:tcPr>
          <w:p>
            <w:pPr>
              <w:ind w:left="220"/>
              <w:spacing w:after="0"/>
              <w:rPr>
                <w:sz w:val="20"/>
                <w:szCs w:val="20"/>
                <w:color w:val="auto"/>
              </w:rPr>
            </w:pPr>
            <w:r>
              <w:rPr>
                <w:rFonts w:ascii="Arial" w:cs="Arial" w:eastAsia="Arial" w:hAnsi="Arial"/>
                <w:sz w:val="18"/>
                <w:szCs w:val="18"/>
                <w:color w:val="auto"/>
                <w:w w:val="92"/>
              </w:rPr>
              <w:t>March 29, 2021</w:t>
            </w:r>
          </w:p>
        </w:tc>
      </w:tr>
      <w:tr>
        <w:trPr>
          <w:trHeight w:val="230"/>
        </w:trPr>
        <w:tc>
          <w:tcPr>
            <w:tcW w:w="3860" w:type="dxa"/>
            <w:vAlign w:val="bottom"/>
          </w:tcPr>
          <w:p>
            <w:pPr>
              <w:jc w:val="center"/>
              <w:ind w:right="70"/>
              <w:spacing w:after="0"/>
              <w:rPr>
                <w:sz w:val="20"/>
                <w:szCs w:val="20"/>
                <w:color w:val="auto"/>
              </w:rPr>
            </w:pPr>
            <w:r>
              <w:rPr>
                <w:rFonts w:ascii="Arial" w:cs="Arial" w:eastAsia="Arial" w:hAnsi="Arial"/>
                <w:sz w:val="18"/>
                <w:szCs w:val="18"/>
                <w:color w:val="auto"/>
                <w:w w:val="98"/>
              </w:rPr>
              <w:t>(Principal Executive Officer)</w:t>
            </w:r>
          </w:p>
        </w:tc>
        <w:tc>
          <w:tcPr>
            <w:tcW w:w="1400" w:type="dxa"/>
            <w:vAlign w:val="bottom"/>
          </w:tcPr>
          <w:p>
            <w:pPr>
              <w:spacing w:after="0"/>
              <w:rPr>
                <w:sz w:val="20"/>
                <w:szCs w:val="20"/>
                <w:color w:val="auto"/>
              </w:rPr>
            </w:pPr>
          </w:p>
        </w:tc>
      </w:tr>
      <w:tr>
        <w:trPr>
          <w:trHeight w:val="553"/>
        </w:trPr>
        <w:tc>
          <w:tcPr>
            <w:tcW w:w="3860" w:type="dxa"/>
            <w:vAlign w:val="bottom"/>
          </w:tcPr>
          <w:p>
            <w:pPr>
              <w:jc w:val="center"/>
              <w:ind w:right="130"/>
              <w:spacing w:after="0"/>
              <w:rPr>
                <w:sz w:val="20"/>
                <w:szCs w:val="20"/>
                <w:color w:val="auto"/>
              </w:rPr>
            </w:pPr>
            <w:r>
              <w:rPr>
                <w:rFonts w:ascii="Arial" w:cs="Arial" w:eastAsia="Arial" w:hAnsi="Arial"/>
                <w:sz w:val="18"/>
                <w:szCs w:val="18"/>
                <w:color w:val="auto"/>
                <w:w w:val="94"/>
              </w:rPr>
              <w:t>Senior Vice President,</w:t>
            </w:r>
          </w:p>
        </w:tc>
        <w:tc>
          <w:tcPr>
            <w:tcW w:w="1400" w:type="dxa"/>
            <w:vAlign w:val="bottom"/>
          </w:tcPr>
          <w:p>
            <w:pPr>
              <w:ind w:left="220"/>
              <w:spacing w:after="0"/>
              <w:rPr>
                <w:sz w:val="20"/>
                <w:szCs w:val="20"/>
                <w:color w:val="auto"/>
              </w:rPr>
            </w:pPr>
            <w:r>
              <w:rPr>
                <w:rFonts w:ascii="Arial" w:cs="Arial" w:eastAsia="Arial" w:hAnsi="Arial"/>
                <w:sz w:val="18"/>
                <w:szCs w:val="18"/>
                <w:color w:val="auto"/>
                <w:w w:val="92"/>
              </w:rPr>
              <w:t>March 29, 2021</w:t>
            </w:r>
          </w:p>
        </w:tc>
      </w:tr>
      <w:tr>
        <w:trPr>
          <w:trHeight w:val="216"/>
        </w:trPr>
        <w:tc>
          <w:tcPr>
            <w:tcW w:w="3860" w:type="dxa"/>
            <w:vAlign w:val="bottom"/>
          </w:tcPr>
          <w:p>
            <w:pPr>
              <w:jc w:val="center"/>
              <w:ind w:right="130"/>
              <w:spacing w:after="0"/>
              <w:rPr>
                <w:sz w:val="20"/>
                <w:szCs w:val="20"/>
                <w:color w:val="auto"/>
              </w:rPr>
            </w:pPr>
            <w:r>
              <w:rPr>
                <w:rFonts w:ascii="Arial" w:cs="Arial" w:eastAsia="Arial" w:hAnsi="Arial"/>
                <w:sz w:val="18"/>
                <w:szCs w:val="18"/>
                <w:color w:val="auto"/>
                <w:w w:val="96"/>
              </w:rPr>
              <w:t>Chief Financial Officer and Treasurer</w:t>
            </w:r>
          </w:p>
        </w:tc>
        <w:tc>
          <w:tcPr>
            <w:tcW w:w="1400" w:type="dxa"/>
            <w:vAlign w:val="bottom"/>
          </w:tcPr>
          <w:p>
            <w:pPr>
              <w:spacing w:after="0"/>
              <w:rPr>
                <w:sz w:val="18"/>
                <w:szCs w:val="18"/>
                <w:color w:val="auto"/>
              </w:rPr>
            </w:pPr>
          </w:p>
        </w:tc>
      </w:tr>
      <w:tr>
        <w:trPr>
          <w:trHeight w:val="230"/>
        </w:trPr>
        <w:tc>
          <w:tcPr>
            <w:tcW w:w="3860" w:type="dxa"/>
            <w:vAlign w:val="bottom"/>
          </w:tcPr>
          <w:p>
            <w:pPr>
              <w:jc w:val="center"/>
              <w:ind w:right="70"/>
              <w:spacing w:after="0"/>
              <w:rPr>
                <w:sz w:val="20"/>
                <w:szCs w:val="20"/>
                <w:color w:val="auto"/>
              </w:rPr>
            </w:pPr>
            <w:r>
              <w:rPr>
                <w:rFonts w:ascii="Arial" w:cs="Arial" w:eastAsia="Arial" w:hAnsi="Arial"/>
                <w:sz w:val="18"/>
                <w:szCs w:val="18"/>
                <w:color w:val="auto"/>
                <w:w w:val="97"/>
              </w:rPr>
              <w:t>(Principal Financial and Accounting Officer)</w:t>
            </w:r>
          </w:p>
        </w:tc>
        <w:tc>
          <w:tcPr>
            <w:tcW w:w="1400" w:type="dxa"/>
            <w:vAlign w:val="bottom"/>
          </w:tcPr>
          <w:p>
            <w:pPr>
              <w:spacing w:after="0"/>
              <w:rPr>
                <w:sz w:val="20"/>
                <w:szCs w:val="20"/>
                <w:color w:val="auto"/>
              </w:rPr>
            </w:pPr>
          </w:p>
        </w:tc>
      </w:tr>
      <w:tr>
        <w:trPr>
          <w:trHeight w:val="473"/>
        </w:trPr>
        <w:tc>
          <w:tcPr>
            <w:tcW w:w="3860" w:type="dxa"/>
            <w:vAlign w:val="bottom"/>
          </w:tcPr>
          <w:p>
            <w:pPr>
              <w:jc w:val="center"/>
              <w:ind w:right="90"/>
              <w:spacing w:after="0"/>
              <w:rPr>
                <w:sz w:val="20"/>
                <w:szCs w:val="20"/>
                <w:color w:val="auto"/>
              </w:rPr>
            </w:pPr>
            <w:r>
              <w:rPr>
                <w:rFonts w:ascii="Arial" w:cs="Arial" w:eastAsia="Arial" w:hAnsi="Arial"/>
                <w:sz w:val="18"/>
                <w:szCs w:val="18"/>
                <w:color w:val="auto"/>
                <w:w w:val="97"/>
              </w:rPr>
              <w:t>Director, Chair of the Board of Directors</w:t>
            </w:r>
          </w:p>
        </w:tc>
        <w:tc>
          <w:tcPr>
            <w:tcW w:w="1400" w:type="dxa"/>
            <w:vAlign w:val="bottom"/>
          </w:tcPr>
          <w:p>
            <w:pPr>
              <w:ind w:left="220"/>
              <w:spacing w:after="0"/>
              <w:rPr>
                <w:sz w:val="20"/>
                <w:szCs w:val="20"/>
                <w:color w:val="auto"/>
              </w:rPr>
            </w:pPr>
            <w:r>
              <w:rPr>
                <w:rFonts w:ascii="Arial" w:cs="Arial" w:eastAsia="Arial" w:hAnsi="Arial"/>
                <w:sz w:val="18"/>
                <w:szCs w:val="18"/>
                <w:color w:val="auto"/>
                <w:w w:val="92"/>
              </w:rPr>
              <w:t>March 29, 2021</w:t>
            </w:r>
          </w:p>
        </w:tc>
      </w:tr>
      <w:tr>
        <w:trPr>
          <w:trHeight w:val="783"/>
        </w:trPr>
        <w:tc>
          <w:tcPr>
            <w:tcW w:w="3860" w:type="dxa"/>
            <w:vAlign w:val="bottom"/>
          </w:tcPr>
          <w:p>
            <w:pPr>
              <w:jc w:val="center"/>
              <w:ind w:right="70"/>
              <w:spacing w:after="0"/>
              <w:rPr>
                <w:sz w:val="20"/>
                <w:szCs w:val="20"/>
                <w:color w:val="auto"/>
              </w:rPr>
            </w:pPr>
            <w:r>
              <w:rPr>
                <w:rFonts w:ascii="Arial" w:cs="Arial" w:eastAsia="Arial" w:hAnsi="Arial"/>
                <w:sz w:val="18"/>
                <w:szCs w:val="18"/>
                <w:color w:val="auto"/>
                <w:w w:val="98"/>
              </w:rPr>
              <w:t>Director</w:t>
            </w:r>
          </w:p>
        </w:tc>
        <w:tc>
          <w:tcPr>
            <w:tcW w:w="1400" w:type="dxa"/>
            <w:vAlign w:val="bottom"/>
          </w:tcPr>
          <w:p>
            <w:pPr>
              <w:ind w:left="220"/>
              <w:spacing w:after="0"/>
              <w:rPr>
                <w:sz w:val="20"/>
                <w:szCs w:val="20"/>
                <w:color w:val="auto"/>
              </w:rPr>
            </w:pPr>
            <w:r>
              <w:rPr>
                <w:rFonts w:ascii="Arial" w:cs="Arial" w:eastAsia="Arial" w:hAnsi="Arial"/>
                <w:sz w:val="18"/>
                <w:szCs w:val="18"/>
                <w:color w:val="auto"/>
                <w:w w:val="92"/>
              </w:rPr>
              <w:t>March 29, 2021</w:t>
            </w:r>
          </w:p>
        </w:tc>
      </w:tr>
      <w:tr>
        <w:trPr>
          <w:trHeight w:val="783"/>
        </w:trPr>
        <w:tc>
          <w:tcPr>
            <w:tcW w:w="3860" w:type="dxa"/>
            <w:vAlign w:val="bottom"/>
          </w:tcPr>
          <w:p>
            <w:pPr>
              <w:jc w:val="center"/>
              <w:ind w:right="70"/>
              <w:spacing w:after="0"/>
              <w:rPr>
                <w:sz w:val="20"/>
                <w:szCs w:val="20"/>
                <w:color w:val="auto"/>
              </w:rPr>
            </w:pPr>
            <w:r>
              <w:rPr>
                <w:rFonts w:ascii="Arial" w:cs="Arial" w:eastAsia="Arial" w:hAnsi="Arial"/>
                <w:sz w:val="18"/>
                <w:szCs w:val="18"/>
                <w:color w:val="auto"/>
                <w:w w:val="98"/>
              </w:rPr>
              <w:t>Director</w:t>
            </w:r>
          </w:p>
        </w:tc>
        <w:tc>
          <w:tcPr>
            <w:tcW w:w="1400" w:type="dxa"/>
            <w:vAlign w:val="bottom"/>
          </w:tcPr>
          <w:p>
            <w:pPr>
              <w:ind w:left="220"/>
              <w:spacing w:after="0"/>
              <w:rPr>
                <w:sz w:val="20"/>
                <w:szCs w:val="20"/>
                <w:color w:val="auto"/>
              </w:rPr>
            </w:pPr>
            <w:r>
              <w:rPr>
                <w:rFonts w:ascii="Arial" w:cs="Arial" w:eastAsia="Arial" w:hAnsi="Arial"/>
                <w:sz w:val="18"/>
                <w:szCs w:val="18"/>
                <w:color w:val="auto"/>
                <w:w w:val="92"/>
              </w:rPr>
              <w:t>March 29, 2021</w:t>
            </w:r>
          </w:p>
        </w:tc>
      </w:tr>
      <w:tr>
        <w:trPr>
          <w:trHeight w:val="783"/>
        </w:trPr>
        <w:tc>
          <w:tcPr>
            <w:tcW w:w="3860" w:type="dxa"/>
            <w:vAlign w:val="bottom"/>
          </w:tcPr>
          <w:p>
            <w:pPr>
              <w:jc w:val="center"/>
              <w:ind w:right="70"/>
              <w:spacing w:after="0"/>
              <w:rPr>
                <w:sz w:val="20"/>
                <w:szCs w:val="20"/>
                <w:color w:val="auto"/>
              </w:rPr>
            </w:pPr>
            <w:r>
              <w:rPr>
                <w:rFonts w:ascii="Arial" w:cs="Arial" w:eastAsia="Arial" w:hAnsi="Arial"/>
                <w:sz w:val="18"/>
                <w:szCs w:val="18"/>
                <w:color w:val="auto"/>
                <w:w w:val="98"/>
              </w:rPr>
              <w:t>Director</w:t>
            </w:r>
          </w:p>
        </w:tc>
        <w:tc>
          <w:tcPr>
            <w:tcW w:w="1400" w:type="dxa"/>
            <w:vAlign w:val="bottom"/>
          </w:tcPr>
          <w:p>
            <w:pPr>
              <w:ind w:left="220"/>
              <w:spacing w:after="0"/>
              <w:rPr>
                <w:sz w:val="20"/>
                <w:szCs w:val="20"/>
                <w:color w:val="auto"/>
              </w:rPr>
            </w:pPr>
            <w:r>
              <w:rPr>
                <w:rFonts w:ascii="Arial" w:cs="Arial" w:eastAsia="Arial" w:hAnsi="Arial"/>
                <w:sz w:val="18"/>
                <w:szCs w:val="18"/>
                <w:color w:val="auto"/>
                <w:w w:val="92"/>
              </w:rPr>
              <w:t>March 29, 2021</w:t>
            </w:r>
          </w:p>
        </w:tc>
      </w:tr>
      <w:tr>
        <w:trPr>
          <w:trHeight w:val="783"/>
        </w:trPr>
        <w:tc>
          <w:tcPr>
            <w:tcW w:w="3860" w:type="dxa"/>
            <w:vAlign w:val="bottom"/>
          </w:tcPr>
          <w:p>
            <w:pPr>
              <w:jc w:val="center"/>
              <w:ind w:right="70"/>
              <w:spacing w:after="0"/>
              <w:rPr>
                <w:sz w:val="20"/>
                <w:szCs w:val="20"/>
                <w:color w:val="auto"/>
              </w:rPr>
            </w:pPr>
            <w:r>
              <w:rPr>
                <w:rFonts w:ascii="Arial" w:cs="Arial" w:eastAsia="Arial" w:hAnsi="Arial"/>
                <w:sz w:val="18"/>
                <w:szCs w:val="18"/>
                <w:color w:val="auto"/>
                <w:w w:val="98"/>
              </w:rPr>
              <w:t>Director</w:t>
            </w:r>
          </w:p>
        </w:tc>
        <w:tc>
          <w:tcPr>
            <w:tcW w:w="1400" w:type="dxa"/>
            <w:vAlign w:val="bottom"/>
          </w:tcPr>
          <w:p>
            <w:pPr>
              <w:ind w:left="220"/>
              <w:spacing w:after="0"/>
              <w:rPr>
                <w:sz w:val="20"/>
                <w:szCs w:val="20"/>
                <w:color w:val="auto"/>
              </w:rPr>
            </w:pPr>
            <w:r>
              <w:rPr>
                <w:rFonts w:ascii="Arial" w:cs="Arial" w:eastAsia="Arial" w:hAnsi="Arial"/>
                <w:sz w:val="18"/>
                <w:szCs w:val="18"/>
                <w:color w:val="auto"/>
                <w:w w:val="92"/>
              </w:rPr>
              <w:t>March 29, 2021</w:t>
            </w:r>
          </w:p>
        </w:tc>
      </w:tr>
    </w:tbl>
    <w:p>
      <w:pPr>
        <w:spacing w:after="0" w:line="500" w:lineRule="exact"/>
        <w:rPr>
          <w:sz w:val="20"/>
          <w:szCs w:val="20"/>
          <w:color w:val="auto"/>
        </w:rPr>
      </w:pPr>
    </w:p>
    <w:p>
      <w:pPr>
        <w:sectPr>
          <w:pgSz w:w="11900" w:h="16838" w:orient="portrait"/>
          <w:cols w:equalWidth="0" w:num="2">
            <w:col w:w="3480" w:space="560"/>
            <w:col w:w="583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6" w:name="page107"/>
    <w:bookmarkEnd w:id="106"/>
    <w:tbl>
      <w:tblPr>
        <w:tblLayout w:type="fixed"/>
        <w:tblInd w:w="76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w w:val="87"/>
              </w:rPr>
              <w:t>Exhibit 21.1</w:t>
            </w:r>
          </w:p>
        </w:tc>
      </w:tr>
      <w:tr>
        <w:trPr>
          <w:trHeight w:val="432"/>
        </w:trPr>
        <w:tc>
          <w:tcPr>
            <w:tcW w:w="6780" w:type="dxa"/>
            <w:vAlign w:val="bottom"/>
            <w:gridSpan w:val="4"/>
          </w:tcPr>
          <w:p>
            <w:pPr>
              <w:ind w:left="1620"/>
              <w:spacing w:after="0"/>
              <w:rPr>
                <w:sz w:val="20"/>
                <w:szCs w:val="20"/>
                <w:color w:val="auto"/>
              </w:rPr>
            </w:pPr>
            <w:r>
              <w:rPr>
                <w:rFonts w:ascii="Arial" w:cs="Arial" w:eastAsia="Arial" w:hAnsi="Arial"/>
                <w:sz w:val="18"/>
                <w:szCs w:val="18"/>
                <w:b w:val="1"/>
                <w:bCs w:val="1"/>
                <w:color w:val="auto"/>
              </w:rPr>
              <w:t>SUBSIDIARIES OF CELLDEX THERAPEUTICS, INC.</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5"/>
        </w:trPr>
        <w:tc>
          <w:tcPr>
            <w:tcW w:w="5460" w:type="dxa"/>
            <w:vAlign w:val="bottom"/>
          </w:tcPr>
          <w:p>
            <w:pPr>
              <w:spacing w:after="0"/>
              <w:rPr>
                <w:sz w:val="24"/>
                <w:szCs w:val="24"/>
                <w:color w:val="auto"/>
              </w:rPr>
            </w:pPr>
          </w:p>
        </w:tc>
        <w:tc>
          <w:tcPr>
            <w:tcW w:w="1320" w:type="dxa"/>
            <w:vAlign w:val="bottom"/>
            <w:gridSpan w:val="3"/>
          </w:tcPr>
          <w:p>
            <w:pPr>
              <w:ind w:left="220"/>
              <w:spacing w:after="0"/>
              <w:rPr>
                <w:sz w:val="20"/>
                <w:szCs w:val="20"/>
                <w:color w:val="auto"/>
              </w:rPr>
            </w:pPr>
            <w:r>
              <w:rPr>
                <w:rFonts w:ascii="Arial" w:cs="Arial" w:eastAsia="Arial" w:hAnsi="Arial"/>
                <w:sz w:val="14"/>
                <w:szCs w:val="14"/>
                <w:b w:val="1"/>
                <w:bCs w:val="1"/>
                <w:color w:val="auto"/>
              </w:rPr>
              <w:t>Jurisdiction of</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Ownership</w:t>
            </w:r>
          </w:p>
        </w:tc>
      </w:tr>
      <w:tr>
        <w:trPr>
          <w:trHeight w:val="186"/>
        </w:trPr>
        <w:tc>
          <w:tcPr>
            <w:tcW w:w="5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Organization</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r>
      <w:tr>
        <w:trPr>
          <w:trHeight w:val="26"/>
        </w:trPr>
        <w:tc>
          <w:tcPr>
            <w:tcW w:w="5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Celldex Therapeutics Switzerland GmbH</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-170815</wp:posOffset>
            </wp:positionV>
            <wp:extent cx="137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-170815</wp:posOffset>
            </wp:positionV>
            <wp:extent cx="137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wp:posOffset>
            </wp:positionH>
            <wp:positionV relativeFrom="paragraph">
              <wp:posOffset>7213600</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07" w:name="page108"/>
    <w:bookmarkEnd w:id="107"/>
    <w:p>
      <w:pPr>
        <w:jc w:val="right"/>
        <w:ind w:right="39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left="400" w:right="539" w:firstLine="360"/>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333-239463, 333-232253, 333-232255, 333-219867, 333-219869, 333-205694, 333-189336, 333-182142, 333-151728, 333-117602 and 333-151728) and on Form S-3 (Nos. 333-249917, 333-239199, 333-235399 and 333-215747) of Celldex Therapeutics, Inc. of our report dated March 29, 2021 relating to the financial statements, which appears in this Form 10-K.</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6353810</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08" w:name="page109"/>
    <w:bookmarkEnd w:id="108"/>
    <w:p>
      <w:pPr>
        <w:jc w:val="right"/>
        <w:ind w:right="39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 Anthony S. Marucci, certify that:</w:t>
      </w:r>
    </w:p>
    <w:p>
      <w:pPr>
        <w:spacing w:after="0" w:line="158" w:lineRule="exact"/>
        <w:rPr>
          <w:sz w:val="20"/>
          <w:szCs w:val="20"/>
          <w:color w:val="auto"/>
        </w:rPr>
      </w:pPr>
    </w:p>
    <w:p>
      <w:pPr>
        <w:ind w:left="1040" w:hanging="280"/>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157" w:lineRule="exact"/>
        <w:rPr>
          <w:rFonts w:ascii="Arial" w:cs="Arial" w:eastAsia="Arial" w:hAnsi="Arial"/>
          <w:sz w:val="18"/>
          <w:szCs w:val="18"/>
          <w:color w:val="auto"/>
        </w:rPr>
      </w:pPr>
    </w:p>
    <w:p>
      <w:pPr>
        <w:jc w:val="both"/>
        <w:ind w:left="400" w:right="799" w:firstLine="360"/>
        <w:spacing w:after="0" w:line="311" w:lineRule="auto"/>
        <w:tabs>
          <w:tab w:leader="none" w:pos="104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6"/>
          <w:szCs w:val="16"/>
          <w:color w:val="auto"/>
        </w:rPr>
      </w:pPr>
    </w:p>
    <w:p>
      <w:pPr>
        <w:jc w:val="both"/>
        <w:ind w:left="400" w:right="559" w:firstLine="360"/>
        <w:spacing w:after="0" w:line="263" w:lineRule="auto"/>
        <w:tabs>
          <w:tab w:leader="none" w:pos="10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400" w:right="439" w:firstLine="360"/>
        <w:spacing w:after="0" w:line="259" w:lineRule="auto"/>
        <w:tabs>
          <w:tab w:leader="none" w:pos="10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19" w:lineRule="exact"/>
        <w:rPr>
          <w:rFonts w:ascii="Arial" w:cs="Arial" w:eastAsia="Arial" w:hAnsi="Arial"/>
          <w:sz w:val="18"/>
          <w:szCs w:val="18"/>
          <w:color w:val="auto"/>
        </w:rPr>
      </w:pPr>
    </w:p>
    <w:p>
      <w:pPr>
        <w:jc w:val="both"/>
        <w:ind w:left="760" w:right="559" w:firstLine="360"/>
        <w:spacing w:after="0" w:line="259" w:lineRule="auto"/>
        <w:tabs>
          <w:tab w:leader="none" w:pos="147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5" w:lineRule="exact"/>
        <w:rPr>
          <w:rFonts w:ascii="Arial" w:cs="Arial" w:eastAsia="Arial" w:hAnsi="Arial"/>
          <w:sz w:val="18"/>
          <w:szCs w:val="18"/>
          <w:color w:val="auto"/>
        </w:rPr>
      </w:pPr>
    </w:p>
    <w:p>
      <w:pPr>
        <w:ind w:left="760" w:right="479" w:firstLine="360"/>
        <w:spacing w:after="0" w:line="259" w:lineRule="auto"/>
        <w:tabs>
          <w:tab w:leader="none" w:pos="14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ind w:left="760" w:right="1119" w:firstLine="360"/>
        <w:spacing w:after="0" w:line="311" w:lineRule="auto"/>
        <w:tabs>
          <w:tab w:leader="none" w:pos="1476"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6"/>
          <w:szCs w:val="16"/>
          <w:color w:val="auto"/>
        </w:rPr>
      </w:pPr>
    </w:p>
    <w:p>
      <w:pPr>
        <w:ind w:left="760" w:right="419" w:firstLine="360"/>
        <w:spacing w:after="0" w:line="259" w:lineRule="auto"/>
        <w:tabs>
          <w:tab w:leader="none" w:pos="14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5" w:lineRule="exact"/>
        <w:rPr>
          <w:rFonts w:ascii="Arial" w:cs="Arial" w:eastAsia="Arial" w:hAnsi="Arial"/>
          <w:sz w:val="18"/>
          <w:szCs w:val="18"/>
          <w:color w:val="auto"/>
        </w:rPr>
      </w:pPr>
    </w:p>
    <w:p>
      <w:pPr>
        <w:ind w:left="400" w:right="419" w:firstLine="360"/>
        <w:spacing w:after="0" w:line="263" w:lineRule="auto"/>
        <w:tabs>
          <w:tab w:leader="none" w:pos="10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760" w:right="419" w:firstLine="360"/>
        <w:spacing w:after="0" w:line="263" w:lineRule="auto"/>
        <w:tabs>
          <w:tab w:leader="none" w:pos="146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60" w:right="439" w:firstLine="360"/>
        <w:spacing w:after="0" w:line="277" w:lineRule="auto"/>
        <w:tabs>
          <w:tab w:leader="none" w:pos="147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0"/>
        <w:spacing w:after="0"/>
        <w:tabs>
          <w:tab w:leader="none" w:pos="4600" w:val="left"/>
          <w:tab w:leader="none" w:pos="496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tab/>
        <w:t>/s/ A</w:t>
      </w:r>
      <w:r>
        <w:rPr>
          <w:rFonts w:ascii="Arial" w:cs="Arial" w:eastAsia="Arial" w:hAnsi="Arial"/>
          <w:sz w:val="12"/>
          <w:szCs w:val="12"/>
          <w:color w:val="auto"/>
        </w:rPr>
        <w:t>NTHONY</w:t>
      </w:r>
      <w:r>
        <w:rPr>
          <w:rFonts w:ascii="Arial" w:cs="Arial" w:eastAsia="Arial" w:hAnsi="Arial"/>
          <w:sz w:val="18"/>
          <w:szCs w:val="18"/>
          <w:color w:val="auto"/>
        </w:rPr>
        <w:t xml:space="preserve"> S. M</w:t>
      </w:r>
      <w:r>
        <w:rPr>
          <w:rFonts w:ascii="Arial" w:cs="Arial" w:eastAsia="Arial" w:hAnsi="Arial"/>
          <w:sz w:val="12"/>
          <w:szCs w:val="12"/>
          <w:color w:val="auto"/>
        </w:rPr>
        <w:t>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48895</wp:posOffset>
            </wp:positionV>
            <wp:extent cx="23056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8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Anthony S. Marucci</w:t>
      </w:r>
    </w:p>
    <w:p>
      <w:pPr>
        <w:spacing w:after="0" w:line="23" w:lineRule="exact"/>
        <w:rPr>
          <w:sz w:val="20"/>
          <w:szCs w:val="20"/>
          <w:color w:val="auto"/>
        </w:rPr>
      </w:pPr>
    </w:p>
    <w:p>
      <w:pPr>
        <w:ind w:left="498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1253490</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09" w:name="page110"/>
    <w:bookmarkEnd w:id="109"/>
    <w:p>
      <w:pPr>
        <w:jc w:val="right"/>
        <w:ind w:right="39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 Sam Martin, certify that:</w:t>
      </w:r>
    </w:p>
    <w:p>
      <w:pPr>
        <w:spacing w:after="0" w:line="158" w:lineRule="exact"/>
        <w:rPr>
          <w:sz w:val="20"/>
          <w:szCs w:val="20"/>
          <w:color w:val="auto"/>
        </w:rPr>
      </w:pPr>
    </w:p>
    <w:p>
      <w:pPr>
        <w:ind w:left="1040" w:hanging="280"/>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157" w:lineRule="exact"/>
        <w:rPr>
          <w:rFonts w:ascii="Arial" w:cs="Arial" w:eastAsia="Arial" w:hAnsi="Arial"/>
          <w:sz w:val="18"/>
          <w:szCs w:val="18"/>
          <w:color w:val="auto"/>
        </w:rPr>
      </w:pPr>
    </w:p>
    <w:p>
      <w:pPr>
        <w:jc w:val="both"/>
        <w:ind w:left="400" w:right="799" w:firstLine="360"/>
        <w:spacing w:after="0" w:line="311" w:lineRule="auto"/>
        <w:tabs>
          <w:tab w:leader="none" w:pos="1048"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6"/>
          <w:szCs w:val="16"/>
          <w:color w:val="auto"/>
        </w:rPr>
      </w:pPr>
    </w:p>
    <w:p>
      <w:pPr>
        <w:jc w:val="both"/>
        <w:ind w:left="400" w:right="559" w:firstLine="360"/>
        <w:spacing w:after="0" w:line="263" w:lineRule="auto"/>
        <w:tabs>
          <w:tab w:leader="none" w:pos="10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400" w:right="439" w:firstLine="360"/>
        <w:spacing w:after="0" w:line="259" w:lineRule="auto"/>
        <w:tabs>
          <w:tab w:leader="none" w:pos="10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19" w:lineRule="exact"/>
        <w:rPr>
          <w:rFonts w:ascii="Arial" w:cs="Arial" w:eastAsia="Arial" w:hAnsi="Arial"/>
          <w:sz w:val="18"/>
          <w:szCs w:val="18"/>
          <w:color w:val="auto"/>
        </w:rPr>
      </w:pPr>
    </w:p>
    <w:p>
      <w:pPr>
        <w:jc w:val="both"/>
        <w:ind w:left="760" w:right="559" w:firstLine="360"/>
        <w:spacing w:after="0" w:line="259" w:lineRule="auto"/>
        <w:tabs>
          <w:tab w:leader="none" w:pos="147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5" w:lineRule="exact"/>
        <w:rPr>
          <w:rFonts w:ascii="Arial" w:cs="Arial" w:eastAsia="Arial" w:hAnsi="Arial"/>
          <w:sz w:val="18"/>
          <w:szCs w:val="18"/>
          <w:color w:val="auto"/>
        </w:rPr>
      </w:pPr>
    </w:p>
    <w:p>
      <w:pPr>
        <w:ind w:left="760" w:right="479" w:firstLine="360"/>
        <w:spacing w:after="0" w:line="259" w:lineRule="auto"/>
        <w:tabs>
          <w:tab w:leader="none" w:pos="148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ind w:left="760" w:right="1119" w:firstLine="360"/>
        <w:spacing w:after="0" w:line="311" w:lineRule="auto"/>
        <w:tabs>
          <w:tab w:leader="none" w:pos="1476"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6"/>
          <w:szCs w:val="16"/>
          <w:color w:val="auto"/>
        </w:rPr>
      </w:pPr>
    </w:p>
    <w:p>
      <w:pPr>
        <w:ind w:left="760" w:right="419" w:firstLine="360"/>
        <w:spacing w:after="0" w:line="259" w:lineRule="auto"/>
        <w:tabs>
          <w:tab w:leader="none" w:pos="148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5" w:lineRule="exact"/>
        <w:rPr>
          <w:rFonts w:ascii="Arial" w:cs="Arial" w:eastAsia="Arial" w:hAnsi="Arial"/>
          <w:sz w:val="18"/>
          <w:szCs w:val="18"/>
          <w:color w:val="auto"/>
        </w:rPr>
      </w:pPr>
    </w:p>
    <w:p>
      <w:pPr>
        <w:ind w:left="400" w:right="419" w:firstLine="360"/>
        <w:spacing w:after="0" w:line="263" w:lineRule="auto"/>
        <w:tabs>
          <w:tab w:leader="none" w:pos="10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760" w:right="419" w:firstLine="360"/>
        <w:spacing w:after="0" w:line="263" w:lineRule="auto"/>
        <w:tabs>
          <w:tab w:leader="none" w:pos="146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60" w:right="439" w:firstLine="360"/>
        <w:spacing w:after="0" w:line="277" w:lineRule="auto"/>
        <w:tabs>
          <w:tab w:leader="none" w:pos="147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0"/>
        <w:spacing w:after="0"/>
        <w:tabs>
          <w:tab w:leader="none" w:pos="4600" w:val="left"/>
          <w:tab w:leader="none" w:pos="496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tab/>
        <w:t>/s/ S</w:t>
      </w:r>
      <w:r>
        <w:rPr>
          <w:rFonts w:ascii="Arial" w:cs="Arial" w:eastAsia="Arial" w:hAnsi="Arial"/>
          <w:sz w:val="12"/>
          <w:szCs w:val="12"/>
          <w:color w:val="auto"/>
        </w:rPr>
        <w:t>AM</w:t>
      </w:r>
      <w:r>
        <w:rPr>
          <w:rFonts w:ascii="Arial" w:cs="Arial" w:eastAsia="Arial" w:hAnsi="Arial"/>
          <w:sz w:val="18"/>
          <w:szCs w:val="18"/>
          <w:color w:val="auto"/>
        </w:rPr>
        <w:t xml:space="preserve"> M</w:t>
      </w:r>
      <w:r>
        <w:rPr>
          <w:rFonts w:ascii="Arial" w:cs="Arial" w:eastAsia="Arial" w:hAnsi="Arial"/>
          <w:sz w:val="12"/>
          <w:szCs w:val="12"/>
          <w:color w:val="auto"/>
        </w:rPr>
        <w:t>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48895</wp:posOffset>
            </wp:positionV>
            <wp:extent cx="23056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2">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8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Sam Martin</w:t>
      </w:r>
    </w:p>
    <w:p>
      <w:pPr>
        <w:spacing w:after="0" w:line="23" w:lineRule="exact"/>
        <w:rPr>
          <w:sz w:val="20"/>
          <w:szCs w:val="20"/>
          <w:color w:val="auto"/>
        </w:rPr>
      </w:pPr>
    </w:p>
    <w:p>
      <w:pPr>
        <w:ind w:left="498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Senior Vice President and Chief</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1116330</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10" w:name="page111"/>
    <w:bookmarkEnd w:id="110"/>
    <w:p>
      <w:pPr>
        <w:jc w:val="right"/>
        <w:ind w:right="39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2240" w:right="2259" w:firstLine="43"/>
        <w:spacing w:after="0" w:line="290"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80" w:lineRule="exact"/>
        <w:rPr>
          <w:sz w:val="20"/>
          <w:szCs w:val="20"/>
          <w:color w:val="auto"/>
        </w:rPr>
      </w:pPr>
    </w:p>
    <w:p>
      <w:pPr>
        <w:ind w:left="400" w:right="619" w:firstLine="360"/>
        <w:spacing w:after="0" w:line="253"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2020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154" w:lineRule="exact"/>
        <w:rPr>
          <w:sz w:val="20"/>
          <w:szCs w:val="20"/>
          <w:color w:val="auto"/>
        </w:rPr>
      </w:pPr>
    </w:p>
    <w:p>
      <w:pPr>
        <w:ind w:left="400"/>
        <w:spacing w:after="0"/>
        <w:tabs>
          <w:tab w:leader="none" w:pos="384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 /s/ A</w:t>
      </w:r>
      <w:r>
        <w:rPr>
          <w:rFonts w:ascii="Arial" w:cs="Arial" w:eastAsia="Arial" w:hAnsi="Arial"/>
          <w:sz w:val="12"/>
          <w:szCs w:val="12"/>
          <w:color w:val="auto"/>
        </w:rPr>
        <w:t>NTHONY</w:t>
      </w:r>
      <w:r>
        <w:rPr>
          <w:rFonts w:ascii="Arial" w:cs="Arial" w:eastAsia="Arial" w:hAnsi="Arial"/>
          <w:sz w:val="18"/>
          <w:szCs w:val="18"/>
          <w:color w:val="auto"/>
        </w:rPr>
        <w:t xml:space="preserve"> S. M</w:t>
      </w:r>
      <w:r>
        <w:rPr>
          <w:rFonts w:ascii="Arial" w:cs="Arial" w:eastAsia="Arial" w:hAnsi="Arial"/>
          <w:sz w:val="12"/>
          <w:szCs w:val="12"/>
          <w:color w:val="auto"/>
        </w:rPr>
        <w:t>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40640</wp:posOffset>
            </wp:positionV>
            <wp:extent cx="278574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Anthony S. Marucci</w:t>
      </w:r>
    </w:p>
    <w:p>
      <w:pPr>
        <w:spacing w:after="0" w:line="23" w:lineRule="exact"/>
        <w:rPr>
          <w:sz w:val="20"/>
          <w:szCs w:val="20"/>
          <w:color w:val="auto"/>
        </w:rPr>
      </w:pP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i w:val="1"/>
          <w:iCs w:val="1"/>
          <w:color w:val="auto"/>
        </w:rPr>
        <w:t>President and Chief Executive Officer</w:t>
      </w:r>
    </w:p>
    <w:p>
      <w:pPr>
        <w:spacing w:after="0" w:line="278" w:lineRule="exact"/>
        <w:rPr>
          <w:sz w:val="20"/>
          <w:szCs w:val="20"/>
          <w:color w:val="auto"/>
        </w:rPr>
      </w:pPr>
    </w:p>
    <w:p>
      <w:pPr>
        <w:ind w:left="400"/>
        <w:spacing w:after="0"/>
        <w:tabs>
          <w:tab w:leader="none" w:pos="384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 /s/ S</w:t>
      </w:r>
      <w:r>
        <w:rPr>
          <w:rFonts w:ascii="Arial" w:cs="Arial" w:eastAsia="Arial" w:hAnsi="Arial"/>
          <w:sz w:val="12"/>
          <w:szCs w:val="12"/>
          <w:color w:val="auto"/>
        </w:rPr>
        <w:t>AM</w:t>
      </w:r>
      <w:r>
        <w:rPr>
          <w:rFonts w:ascii="Arial" w:cs="Arial" w:eastAsia="Arial" w:hAnsi="Arial"/>
          <w:sz w:val="18"/>
          <w:szCs w:val="18"/>
          <w:color w:val="auto"/>
        </w:rPr>
        <w:t xml:space="preserve"> M</w:t>
      </w:r>
      <w:r>
        <w:rPr>
          <w:rFonts w:ascii="Arial" w:cs="Arial" w:eastAsia="Arial" w:hAnsi="Arial"/>
          <w:sz w:val="12"/>
          <w:szCs w:val="12"/>
          <w:color w:val="auto"/>
        </w:rPr>
        <w:t>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40640</wp:posOffset>
            </wp:positionV>
            <wp:extent cx="27857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5">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Sam Martin</w:t>
      </w:r>
    </w:p>
    <w:p>
      <w:pPr>
        <w:spacing w:after="0" w:line="23" w:lineRule="exact"/>
        <w:rPr>
          <w:sz w:val="20"/>
          <w:szCs w:val="20"/>
          <w:color w:val="auto"/>
        </w:rPr>
      </w:pP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i w:val="1"/>
          <w:iCs w:val="1"/>
          <w:color w:val="auto"/>
        </w:rPr>
        <w:t>Senior Vice President and Chief Financial Officer</w:t>
      </w:r>
    </w:p>
    <w:p>
      <w:pPr>
        <w:spacing w:after="0" w:line="130" w:lineRule="exact"/>
        <w:rPr>
          <w:sz w:val="20"/>
          <w:szCs w:val="20"/>
          <w:color w:val="auto"/>
        </w:rPr>
      </w:pPr>
    </w:p>
    <w:p>
      <w:pPr>
        <w:ind w:left="400" w:right="439" w:firstLine="36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4236720</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019"/>
      </w:cols>
      <w:pgMar w:left="1440" w:top="1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lowerRoman"/>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2"/>
    </w:lvl>
  </w:abstractNum>
  <w:abstractNum w:abstractNumId="50">
    <w:nsid w:val="39386575"/>
    <w:multiLevelType w:val="hybridMultilevel"/>
    <w:lvl w:ilvl="0">
      <w:lvlJc w:val="left"/>
      <w:lvlText w:val="(%1)"/>
      <w:numFmt w:val="lowerRoman"/>
      <w:start w:val="3"/>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lowerRoman"/>
      <w:start w:val="2"/>
    </w:lvl>
  </w:abstractNum>
  <w:abstractNum w:abstractNumId="53">
    <w:nsid w:val="235BA861"/>
    <w:multiLevelType w:val="hybridMultilevel"/>
    <w:lvl w:ilvl="0">
      <w:lvlJc w:val="left"/>
      <w:lvlText w:val="(%1)"/>
      <w:numFmt w:val="lowerRoman"/>
      <w:start w:val="1"/>
    </w:lvl>
  </w:abstractNum>
  <w:abstractNum w:abstractNumId="54">
    <w:nsid w:val="47398C89"/>
    <w:multiLevelType w:val="hybridMultilevel"/>
    <w:lvl w:ilvl="0">
      <w:lvlJc w:val="left"/>
      <w:lvlText w:val="(%1)"/>
      <w:numFmt w:val="lowerRoman"/>
      <w:start w:val="3"/>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35" Type="http://schemas.openxmlformats.org/officeDocument/2006/relationships/image" Target="media/image286.png"/><Relationship Id="rId336" Type="http://schemas.openxmlformats.org/officeDocument/2006/relationships/image" Target="media/image287.png"/><Relationship Id="rId345" Type="http://schemas.openxmlformats.org/officeDocument/2006/relationships/image" Target="media/image288.png"/><Relationship Id="rId346" Type="http://schemas.openxmlformats.org/officeDocument/2006/relationships/image" Target="media/image289.png"/><Relationship Id="rId347" Type="http://schemas.openxmlformats.org/officeDocument/2006/relationships/image" Target="media/image290.png"/><Relationship Id="rId348" Type="http://schemas.openxmlformats.org/officeDocument/2006/relationships/image" Target="media/image291.png"/><Relationship Id="rId349" Type="http://schemas.openxmlformats.org/officeDocument/2006/relationships/image" Target="media/image292.png"/><Relationship Id="rId350" Type="http://schemas.openxmlformats.org/officeDocument/2006/relationships/image" Target="media/image293.png"/><Relationship Id="rId351" Type="http://schemas.openxmlformats.org/officeDocument/2006/relationships/image" Target="media/image294.png"/><Relationship Id="rId352" Type="http://schemas.openxmlformats.org/officeDocument/2006/relationships/image" Target="media/image295.png"/><Relationship Id="rId353" Type="http://schemas.openxmlformats.org/officeDocument/2006/relationships/image" Target="media/image296.png"/><Relationship Id="rId354" Type="http://schemas.openxmlformats.org/officeDocument/2006/relationships/image" Target="media/image297.png"/><Relationship Id="rId355" Type="http://schemas.openxmlformats.org/officeDocument/2006/relationships/image" Target="media/image298.png"/><Relationship Id="rId356" Type="http://schemas.openxmlformats.org/officeDocument/2006/relationships/image" Target="media/image299.png"/><Relationship Id="rId357" Type="http://schemas.openxmlformats.org/officeDocument/2006/relationships/image" Target="media/image300.png"/><Relationship Id="rId358" Type="http://schemas.openxmlformats.org/officeDocument/2006/relationships/image" Target="media/image301.png"/><Relationship Id="rId359" Type="http://schemas.openxmlformats.org/officeDocument/2006/relationships/image" Target="media/image302.png"/><Relationship Id="rId360" Type="http://schemas.openxmlformats.org/officeDocument/2006/relationships/image" Target="media/image303.png"/><Relationship Id="rId361" Type="http://schemas.openxmlformats.org/officeDocument/2006/relationships/image" Target="media/image304.png"/><Relationship Id="rId362" Type="http://schemas.openxmlformats.org/officeDocument/2006/relationships/image" Target="media/image305.png"/><Relationship Id="rId363" Type="http://schemas.openxmlformats.org/officeDocument/2006/relationships/image" Target="media/image306.png"/><Relationship Id="rId364" Type="http://schemas.openxmlformats.org/officeDocument/2006/relationships/image" Target="media/image307.png"/><Relationship Id="rId365" Type="http://schemas.openxmlformats.org/officeDocument/2006/relationships/image" Target="media/image308.png"/><Relationship Id="rId366" Type="http://schemas.openxmlformats.org/officeDocument/2006/relationships/image" Target="media/image309.png"/><Relationship Id="rId282" Type="http://schemas.openxmlformats.org/officeDocument/2006/relationships/hyperlink" Target="https://www.sec.gov/Archives/edgar/data/744218/000110465916153723/a16-20866_1ex2d1.htm" TargetMode="External"/><Relationship Id="rId283" Type="http://schemas.openxmlformats.org/officeDocument/2006/relationships/hyperlink" Target="https://www.sec.gov/Archives/edgar/data/744218/0001029869-98-000936-index.html" TargetMode="External"/><Relationship Id="rId284" Type="http://schemas.openxmlformats.org/officeDocument/2006/relationships/hyperlink" Target="https://www.sec.gov/Archives/edgar/data/744218/000110465902001892/j3484_ex3d1.htm" TargetMode="External"/><Relationship Id="rId285" Type="http://schemas.openxmlformats.org/officeDocument/2006/relationships/hyperlink" Target="https://www.sec.gov/Archives/edgar/data/744218/000110465908016816/a08-7923_1ex3d1.htm" TargetMode="External"/><Relationship Id="rId286" Type="http://schemas.openxmlformats.org/officeDocument/2006/relationships/hyperlink" Target="https://www.sec.gov/Archives/edgar/data/744218/000110465908016816/a08-7923_1ex3d2.htm" TargetMode="External"/><Relationship Id="rId287" Type="http://schemas.openxmlformats.org/officeDocument/2006/relationships/hyperlink" Target="https://www.sec.gov/Archives/edgar/data/744218/000110465908069812/a08-25757_1ex3d7.htm" TargetMode="External"/><Relationship Id="rId288" Type="http://schemas.openxmlformats.org/officeDocument/2006/relationships/hyperlink" Target="https://www.sec.gov/Archives/edgar/data/744218/000110465914026295/a14-10147_1ex3d1.htm" TargetMode="External"/><Relationship Id="rId289" Type="http://schemas.openxmlformats.org/officeDocument/2006/relationships/hyperlink" Target="https://www.sec.gov/Archives/edgar/data/744218/000110465919006667/a19-4170_1ex3d1.htm" TargetMode="External"/><Relationship Id="rId290" Type="http://schemas.openxmlformats.org/officeDocument/2006/relationships/hyperlink" Target="https://www.sec.gov/Archives/edgar/data/744218/000110465919006667/a19-4170_1ex4d1.htm" TargetMode="External"/><Relationship Id="rId291" Type="http://schemas.openxmlformats.org/officeDocument/2006/relationships/hyperlink" Target="https://www.sec.gov/Archives/edgar/data/744218/000104746904033436/a2146122zex-3_1.htm" TargetMode="External"/><Relationship Id="rId292" Type="http://schemas.openxmlformats.org/officeDocument/2006/relationships/hyperlink" Target="https://www.sec.gov/Archives/edgar/data/744218/000104746920001809/a2241053zex-4_3.htm" TargetMode="External"/><Relationship Id="rId299" Type="http://schemas.openxmlformats.org/officeDocument/2006/relationships/hyperlink" Target="https://www.sec.gov/Archives/edgar/data/744218/0000950135-96-003793-index.html" TargetMode="External"/><Relationship Id="rId300" Type="http://schemas.openxmlformats.org/officeDocument/2006/relationships/hyperlink" Target="https://www.sec.gov/Archives/edgar/data/744218/000091205702011869/a2073956zex-10_9.txt" TargetMode="External"/><Relationship Id="rId301" Type="http://schemas.openxmlformats.org/officeDocument/2006/relationships/hyperlink" Target="https://www.sec.gov/Archives/edgar/data/744218/000110465906017401/a06-2616_1ex10d40.htm" TargetMode="External"/><Relationship Id="rId302" Type="http://schemas.openxmlformats.org/officeDocument/2006/relationships/hyperlink" Target="https://www.sec.gov/Archives/edgar/data/744218/000104746916010396/a2226904zex-10_4.htm" TargetMode="External"/><Relationship Id="rId303" Type="http://schemas.openxmlformats.org/officeDocument/2006/relationships/hyperlink" Target="https://www.sec.gov/Archives/edgar/data/744218/000110465904012065/a04-5109_1ex10d1.htm" TargetMode="External"/><Relationship Id="rId304" Type="http://schemas.openxmlformats.org/officeDocument/2006/relationships/hyperlink" Target="https://www.sec.gov/Archives/edgar/data/744218/000110465910064201/a10-22053_1ex10d6.htm" TargetMode="External"/><Relationship Id="rId305" Type="http://schemas.openxmlformats.org/officeDocument/2006/relationships/hyperlink" Target="https://www.sec.gov/Archives/edgar/data/744218/000110465906017401/a06-2616_1ex10d41.htm" TargetMode="External"/><Relationship Id="rId306" Type="http://schemas.openxmlformats.org/officeDocument/2006/relationships/hyperlink" Target="https://www.sec.gov/Archives/edgar/data/744218/000110465910064201/a10-22053_1ex10d7.htm" TargetMode="External"/><Relationship Id="rId307" Type="http://schemas.openxmlformats.org/officeDocument/2006/relationships/hyperlink" Target="https://www.sec.gov/Archives/edgar/data/744218/000110465910064201/a10-22053_1ex10d8.htm" TargetMode="External"/><Relationship Id="rId308" Type="http://schemas.openxmlformats.org/officeDocument/2006/relationships/hyperlink" Target="https://www.sec.gov/Archives/edgar/data/744218/000110465910064201/a10-22053_1ex10d9.htm" TargetMode="External"/><Relationship Id="rId309" Type="http://schemas.openxmlformats.org/officeDocument/2006/relationships/hyperlink" Target="https://www.sec.gov/Archives/edgar/data/744218/000110465910042274/a10-12851_1ex10d1.htm" TargetMode="External"/><Relationship Id="rId310" Type="http://schemas.openxmlformats.org/officeDocument/2006/relationships/hyperlink" Target="https://www.sec.gov/Archives/edgar/data/744218/000104746916010396/a2226904zex-10_12.htm" TargetMode="External"/><Relationship Id="rId311" Type="http://schemas.openxmlformats.org/officeDocument/2006/relationships/hyperlink" Target="https://www.sec.gov/Archives/edgar/data/744218/000104746920001809/a2241053zex-10_13.htm" TargetMode="External"/><Relationship Id="rId312" Type="http://schemas.openxmlformats.org/officeDocument/2006/relationships/hyperlink" Target="https://www.sec.gov/Archives/edgar/data/744218/000110465913036833/a13-8304_1ex10d1.htm" TargetMode="External"/><Relationship Id="rId313" Type="http://schemas.openxmlformats.org/officeDocument/2006/relationships/hyperlink" Target="https://www.sec.gov/Archives/edgar/data/744218/000110465915058233/a15-12408_1ex10d2.htm" TargetMode="External"/><Relationship Id="rId314" Type="http://schemas.openxmlformats.org/officeDocument/2006/relationships/hyperlink" Target="https://www.sec.gov/Archives/edgar/data/744218/000110465919027513/a19-7174_1ex10d1.htm" TargetMode="External"/><Relationship Id="rId320" Type="http://schemas.openxmlformats.org/officeDocument/2006/relationships/hyperlink" Target="https://www.sec.gov/Archives/edgar/data/744218/000110465920091459/tm2020550d3_ex10-1.htm" TargetMode="External"/><Relationship Id="rId321" Type="http://schemas.openxmlformats.org/officeDocument/2006/relationships/hyperlink" Target="https://www.sec.gov/Archives/edgar/data/744218/000104746909002264/a2190889zex-10_47.htm" TargetMode="External"/><Relationship Id="rId322" Type="http://schemas.openxmlformats.org/officeDocument/2006/relationships/hyperlink" Target="https://www.sec.gov/Archives/edgar/data/744218/000110465910064201/a10-22053_1ex10d1.htm" TargetMode="External"/><Relationship Id="rId323" Type="http://schemas.openxmlformats.org/officeDocument/2006/relationships/hyperlink" Target="https://www.sec.gov/Archives/edgar/data/744218/000104746918001363/a2234429zex-10_24.htm" TargetMode="External"/><Relationship Id="rId324" Type="http://schemas.openxmlformats.org/officeDocument/2006/relationships/hyperlink" Target="https://www.sec.gov/Archives/edgar/data/744218/000104746918001363/a2234429zex-10_25.htm" TargetMode="External"/><Relationship Id="rId325" Type="http://schemas.openxmlformats.org/officeDocument/2006/relationships/hyperlink" Target="https://www.sec.gov/Archives/edgar/data/744218/000110465916122085/a16-11792_1ex1d1.htm" TargetMode="External"/><Relationship Id="rId326" Type="http://schemas.openxmlformats.org/officeDocument/2006/relationships/hyperlink" Target="https://www.sec.gov/Archives/edgar/data/744218/000110465920074646/tm2022847d1_ex10-1.htm" TargetMode="External"/><Relationship Id="rId327" Type="http://schemas.openxmlformats.org/officeDocument/2006/relationships/hyperlink" Target="https://www.sec.gov/Archives/edgar/data/744218/000110465919036671/a19-11620_3ex10d1.htm" TargetMode="External"/><Relationship Id="rId328" Type="http://schemas.openxmlformats.org/officeDocument/2006/relationships/hyperlink" Target="https://www.sec.gov/Archives/edgar/data/744218/000110465919036671/a19-11620_3ex10d2.htm" TargetMode="External"/><Relationship Id="rId329" Type="http://schemas.openxmlformats.org/officeDocument/2006/relationships/hyperlink" Target="https://www.sec.gov/Archives/edgar/data/744218/000104746918001363/a2234429zex-10_27.htm" TargetMode="External"/><Relationship Id="rId330" Type="http://schemas.openxmlformats.org/officeDocument/2006/relationships/hyperlink" Target="https://www.sec.gov/Archives/edgar/data/744218/000104746918001363/a2234429zex-10_28.htm" TargetMode="External"/><Relationship Id="rId331" Type="http://schemas.openxmlformats.org/officeDocument/2006/relationships/hyperlink" Target="https://www.sec.gov/Archives/edgar/data/744218/000110465917075519/a17-28883_1ex10d1.htm" TargetMode="External"/><Relationship Id="rId332" Type="http://schemas.openxmlformats.org/officeDocument/2006/relationships/hyperlink" Target="https://www.sec.gov/Archives/edgar/data/744218/000110465917075519/a17-28883_1ex10d2.htm" TargetMode="External"/><Relationship Id="rId333" Type="http://schemas.openxmlformats.org/officeDocument/2006/relationships/hyperlink" Target="https://www.sec.gov/Archives/edgar/data/744218/000110465917075519/a17-28883_1ex10d3.htm" TargetMode="External"/><Relationship Id="rId334" Type="http://schemas.openxmlformats.org/officeDocument/2006/relationships/hyperlink" Target="https://www.sec.gov/Archives/edgar/data/744218/000110465917075519/a17-28883_1ex10d4.htm" TargetMode="External"/><Relationship Id="rId337" Type="http://schemas.openxmlformats.org/officeDocument/2006/relationships/hyperlink" Target="https://www.sec.gov/Archives/edgar/data/744218/000110465917075519/a17-28883_1ex10d5.htm" TargetMode="External"/><Relationship Id="rId338" Type="http://schemas.openxmlformats.org/officeDocument/2006/relationships/hyperlink" Target="https://www.sec.gov/Archives/edgar/data/744218/000110465917075519/a17-28883_1ex10d6.htm" TargetMode="External"/><Relationship Id="rId339" Type="http://schemas.openxmlformats.org/officeDocument/2006/relationships/hyperlink" Target="https://www.sec.gov/Archives/edgar/data/744218/000110465917075519/a17-28883_1ex10d7.htm" TargetMode="External"/><Relationship Id="rId340" Type="http://schemas.openxmlformats.org/officeDocument/2006/relationships/hyperlink" Target="https://www.sec.gov/Archives/edgar/data/744218/000110465917075519/a17-28883_1ex10d8.htm" TargetMode="External"/><Relationship Id="rId341" Type="http://schemas.openxmlformats.org/officeDocument/2006/relationships/hyperlink" Target="https://www.sec.gov/Archives/edgar/data/744218/000110465919037195/a19-12058_1ex10d1.htm" TargetMode="External"/><Relationship Id="rId342" Type="http://schemas.openxmlformats.org/officeDocument/2006/relationships/hyperlink" Target="https://www.sec.gov/Archives/edgar/data/744218/000110465921000104/tm2039684d1_ex10-1.htm" TargetMode="External"/><Relationship Id="rId343" Type="http://schemas.openxmlformats.org/officeDocument/2006/relationships/hyperlink" Target="https://www.sec.gov/Archives/edgar/data/744218/000110465918050496/a18-14097_1ex10d1.htm" TargetMode="External"/><Relationship Id="rId344" Type="http://schemas.openxmlformats.org/officeDocument/2006/relationships/hyperlink" Target="https://www.sec.gov/Archives/edgar/data/744218/000104746910002142/a2196680zex-10_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2021-03-29T15:14:40Z</dcterms:created>
  <dcterms:modified xsi:type="dcterms:W3CDTF">2021-03-29T15:14:40Z</dcterms:modified>
</cp:coreProperties>
</file>