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29, 2013, 81,108,234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September 30, 2013</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880"/>
        <w:spacing w:after="0"/>
        <w:rPr>
          <w:sz w:val="20"/>
          <w:szCs w:val="20"/>
          <w:color w:val="auto"/>
        </w:rPr>
      </w:pPr>
      <w:r>
        <w:rPr>
          <w:rFonts w:ascii="Arial" w:cs="Arial" w:eastAsia="Arial" w:hAnsi="Arial"/>
          <w:sz w:val="11"/>
          <w:szCs w:val="11"/>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6745605</wp:posOffset>
            </wp:positionH>
            <wp:positionV relativeFrom="paragraph">
              <wp:posOffset>28575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September 30, 2013 and December 31, 2012</w:t>
              </w:r>
            </w:hyperlink>
          </w:p>
        </w:tc>
        <w:tc>
          <w:tcPr>
            <w:tcW w:w="14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60" w:type="dxa"/>
            <w:vAlign w:val="bottom"/>
            <w:gridSpan w:val="26"/>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Operations and Comprehensive Loss for the Three and Nine Months Ended September 30, 2013 and</w:t>
              </w:r>
            </w:hyperlink>
          </w:p>
        </w:tc>
        <w:tc>
          <w:tcPr>
            <w:tcW w:w="0" w:type="dxa"/>
            <w:vAlign w:val="bottom"/>
          </w:tcPr>
          <w:p>
            <w:pPr>
              <w:spacing w:after="0"/>
              <w:rPr>
                <w:sz w:val="1"/>
                <w:szCs w:val="1"/>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2012</w:t>
              </w:r>
            </w:hyperlink>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for the Nine Months Ended September 30, 2013 and 2012</w:t>
              </w:r>
            </w:hyperlink>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980" w:type="dxa"/>
            <w:vAlign w:val="bottom"/>
            <w:tcBorders>
              <w:top w:val="single" w:sz="8" w:color="0000EE"/>
            </w:tcBorders>
            <w:gridSpan w:val="4"/>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2. Management’s Discussion and Analysis of Financial Condition and Results of Oper</w:t>
              </w:r>
            </w:hyperlink>
            <w:r>
              <w:rPr>
                <w:rFonts w:ascii="Arial" w:cs="Arial" w:eastAsia="Arial" w:hAnsi="Arial"/>
                <w:sz w:val="18"/>
                <w:szCs w:val="18"/>
                <w:color w:val="000000"/>
              </w:rPr>
              <w:t>ations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80" w:type="dxa"/>
            <w:vAlign w:val="bottom"/>
            <w:tcBorders>
              <w:top w:val="single" w:sz="8" w:color="0000EE"/>
            </w:tcBorders>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 Quantitative and Qualitative Disclosures About Market Risk</w:t>
              </w:r>
            </w:hyperlink>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28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7960" w:type="dxa"/>
            <w:vAlign w:val="bottom"/>
            <w:gridSpan w:val="18"/>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1A. Risk Factors</w:t>
              </w:r>
            </w:hyperlink>
          </w:p>
        </w:tc>
        <w:tc>
          <w:tcPr>
            <w:tcW w:w="460" w:type="dxa"/>
            <w:vAlign w:val="bottom"/>
            <w:tcBorders>
              <w:top w:val="single" w:sz="8" w:color="0000EE"/>
            </w:tcBorders>
          </w:tcPr>
          <w:p>
            <w:pPr>
              <w:spacing w:after="0"/>
              <w:rPr>
                <w:sz w:val="24"/>
                <w:szCs w:val="24"/>
                <w:color w:val="auto"/>
              </w:rPr>
            </w:pPr>
          </w:p>
        </w:tc>
        <w:tc>
          <w:tcPr>
            <w:tcW w:w="572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6. Exhibits</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0000EE"/>
            </w:tcBorders>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662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8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 Index</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4"/>
          </w:tcPr>
          <w:p>
            <w:pPr>
              <w:spacing w:after="0"/>
              <w:rPr>
                <w:sz w:val="24"/>
                <w:szCs w:val="24"/>
                <w:color w:val="auto"/>
              </w:rPr>
            </w:pPr>
          </w:p>
        </w:tc>
        <w:tc>
          <w:tcPr>
            <w:tcW w:w="5380" w:type="dxa"/>
            <w:vAlign w:val="bottom"/>
            <w:gridSpan w:val="10"/>
          </w:tcPr>
          <w:p>
            <w:pPr>
              <w:jc w:val="center"/>
              <w:ind w:left="359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6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7"/>
            <w:shd w:val="clear" w:color="auto" w:fill="0000EE"/>
          </w:tcPr>
          <w:p>
            <w:pPr>
              <w:spacing w:after="0" w:line="20" w:lineRule="exact"/>
              <w:rPr>
                <w:sz w:val="1"/>
                <w:szCs w:val="1"/>
                <w:color w:val="auto"/>
              </w:rPr>
            </w:pPr>
          </w:p>
        </w:tc>
        <w:tc>
          <w:tcPr>
            <w:tcW w:w="668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960" w:type="dxa"/>
            <w:vAlign w:val="bottom"/>
            <w:gridSpan w:val="18"/>
          </w:tcPr>
          <w:p>
            <w:pPr>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60" w:type="dxa"/>
            <w:vAlign w:val="bottom"/>
            <w:gridSpan w:val="18"/>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2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rPr>
              <w:t>CELLDEX THERAPEUTICS, INC.</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920" w:type="dxa"/>
            <w:vAlign w:val="bottom"/>
            <w:gridSpan w:val="5"/>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2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Pr>
          <w:p>
            <w:pPr>
              <w:spacing w:after="0"/>
              <w:rPr>
                <w:sz w:val="24"/>
                <w:szCs w:val="24"/>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top w:val="single" w:sz="8" w:color="CCEEFF"/>
            </w:tcBorders>
            <w:gridSpan w:val="17"/>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6"/>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121,962</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59,065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6"/>
          </w:tcPr>
          <w:p>
            <w:pPr>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139,946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85,114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23,073</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8,965</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600" w:type="dxa"/>
            <w:vAlign w:val="bottom"/>
            <w:tcBorders>
              <w:bottom w:val="single" w:sz="8" w:color="CCEEFF"/>
            </w:tcBorders>
            <w:gridSpan w:val="15"/>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180,955</w:t>
            </w: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125,541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6"/>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1,982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13,807</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6"/>
          </w:tcPr>
          <w:p>
            <w:pPr>
              <w:spacing w:after="0"/>
              <w:rPr>
                <w:sz w:val="20"/>
                <w:szCs w:val="20"/>
                <w:color w:val="auto"/>
              </w:rPr>
            </w:pPr>
            <w:r>
              <w:rPr>
                <w:rFonts w:ascii="Arial" w:cs="Arial" w:eastAsia="Arial" w:hAnsi="Arial"/>
                <w:sz w:val="18"/>
                <w:szCs w:val="18"/>
                <w:color w:val="auto"/>
              </w:rPr>
              <w:t>Current Portion of Long-Term 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Current Portion of Term Loan</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15"/>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16,795</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17,685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Term Loan, less Current Portion</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7,415</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60" w:type="dxa"/>
            <w:vAlign w:val="bottom"/>
            <w:gridSpan w:val="16"/>
          </w:tcPr>
          <w:p>
            <w:pPr>
              <w:spacing w:after="0" w:line="201" w:lineRule="exact"/>
              <w:rPr>
                <w:sz w:val="20"/>
                <w:szCs w:val="20"/>
                <w:color w:val="auto"/>
              </w:rPr>
            </w:pPr>
            <w:r>
              <w:rPr>
                <w:rFonts w:ascii="Arial" w:cs="Arial" w:eastAsia="Arial" w:hAnsi="Arial"/>
                <w:sz w:val="18"/>
                <w:szCs w:val="18"/>
                <w:color w:val="auto"/>
                <w:w w:val="99"/>
              </w:rPr>
              <w:t>Convertible Preferred Stock, $.01 Par Value; 3,000,000 Shares Authorized; No Shares Issued and</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0" w:type="dxa"/>
            <w:vAlign w:val="bottom"/>
            <w:gridSpan w:val="15"/>
          </w:tcPr>
          <w:p>
            <w:pPr>
              <w:spacing w:after="0"/>
              <w:rPr>
                <w:sz w:val="20"/>
                <w:szCs w:val="20"/>
                <w:color w:val="auto"/>
              </w:rPr>
            </w:pPr>
            <w:r>
              <w:rPr>
                <w:rFonts w:ascii="Arial" w:cs="Arial" w:eastAsia="Arial" w:hAnsi="Arial"/>
                <w:sz w:val="18"/>
                <w:szCs w:val="18"/>
                <w:color w:val="auto"/>
              </w:rPr>
              <w:t>Outstanding at September 30, 2013 and December 31, 2012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760" w:type="dxa"/>
            <w:vAlign w:val="bottom"/>
            <w:gridSpan w:val="16"/>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297,000,000 Shares Authorized; 81,108,109 and 64,359,513 Shares</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Issued and Outstanding at September 30, 2013 and December 31, 2012, respectively</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16"/>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477,595</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357,094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-6332220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-6332220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2,686</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2,745</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(323,617)</w:t>
            </w:r>
          </w:p>
        </w:tc>
        <w:tc>
          <w:tcPr>
            <w:tcW w:w="4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(264,129)</w:t>
            </w:r>
          </w:p>
        </w:tc>
      </w:tr>
      <w:tr>
        <w:trPr>
          <w:trHeight w:val="210"/>
        </w:trPr>
        <w:tc>
          <w:tcPr>
            <w:tcW w:w="5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156,745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72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360" w:type="dxa"/>
            <w:vAlign w:val="bottom"/>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180,955</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COMPRENHENSIVE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Product Royalties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7,224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20,417</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49,597</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10,128</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24,249</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62,819</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(23,269)</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(14,751)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(59,328)</w:t>
            </w: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(42,316)</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(Note 3)</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81,015</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59,467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78,676</w:t>
            </w:r>
          </w:p>
        </w:tc>
        <w:tc>
          <w:tcPr>
            <w:tcW w:w="16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56,090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(Note 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(23,140)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(15,027)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(59,488)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Marketable Securities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(59,547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September 30, 2013</w:t>
            </w: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1"/>
              </w:rPr>
              <w:t>September 30, 2012</w:t>
            </w:r>
          </w:p>
        </w:tc>
        <w:tc>
          <w:tcPr>
            <w:tcW w:w="100" w:type="dxa"/>
            <w:vAlign w:val="bottom"/>
          </w:tcPr>
          <w:p>
            <w:pPr>
              <w:spacing w:after="0"/>
              <w:rPr>
                <w:sz w:val="12"/>
                <w:szCs w:val="12"/>
                <w:color w:val="auto"/>
              </w:rPr>
            </w:pPr>
          </w:p>
        </w:tc>
      </w:tr>
      <w:tr>
        <w:trPr>
          <w:trHeight w:val="196"/>
        </w:trPr>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(59,488)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(42,316)</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Gain on Sales and Maturities of Marketable Securities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Gain on Sale or Disposal of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r>
    </w:tbl>
    <w:p>
      <w:pPr>
        <w:sectPr>
          <w:pgSz w:w="11900" w:h="16897" w:orient="portrait"/>
          <w:cols w:equalWidth="0" w:num="1">
            <w:col w:w="11420"/>
          </w:cols>
          <w:pgMar w:left="240" w:top="140" w:right="239" w:bottom="0" w:gutter="0" w:footer="0" w:header="0"/>
        </w:sectPr>
      </w:pPr>
    </w:p>
    <w:bookmarkStart w:id="3" w:name="page4"/>
    <w:bookmarkEnd w:id="3"/>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520"/>
              <w:spacing w:after="0"/>
              <w:rPr>
                <w:sz w:val="20"/>
                <w:szCs w:val="20"/>
                <w:color w:val="auto"/>
              </w:rPr>
            </w:pPr>
            <w:r>
              <w:rPr>
                <w:rFonts w:ascii="Arial" w:cs="Arial" w:eastAsia="Arial" w:hAnsi="Arial"/>
                <w:sz w:val="18"/>
                <w:szCs w:val="18"/>
                <w:color w:val="auto"/>
              </w:rPr>
              <w:t>Accounts and Other Receivables</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(846)</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and Other Current Assets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(1,457)</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2,954</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1,432</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(52,712)</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30,679</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(92,400)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(1,901)</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(63,601)</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Stock Issuances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114,187</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Issuance of Stock from Employee Benefit Plans</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2,931</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Term Loan</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(11,029)</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Payments of Other Liabilities</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106,045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(10,271)</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24,897</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2012, which are included in the Company’s Annual Report on Form 10-K filed with the Securities and Exchange Commission (“SEC”) on March 8, 2013.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2013.</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At September 30, 2013, the Company had cash, cash equivalents and marketable securities of $136.6 million and working capital of $123.2 million. The Company incurred a loss of $59.5 million for the nine months ended September 30, 2013. Net cash used in operations for the nine months ended September 30, 2013 was $52.7 million. The Company believes that the cash, cash equivalents and marketable securities at September 30, 2013 will be sufficient to meet estimated working capital requirements and fund planned operations for at least the next twelve months.</w:t>
      </w:r>
    </w:p>
    <w:p>
      <w:pPr>
        <w:spacing w:after="0" w:line="17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80" w:firstLine="630"/>
        <w:spacing w:after="0" w:line="342"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for the nine months ended September 30, 2013 are consistent with those discussed in Note 2 to the consolidated financial statements in our Annual Report on Form 10-K for the year</w:t>
      </w:r>
    </w:p>
    <w:p>
      <w:pPr>
        <w:sectPr>
          <w:pgSz w:w="11900" w:h="16840"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ended December 31, 2012, except for the adoption of new accounting standards during the first nine months of 2013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January 2013, the Company adopted a new U.S. GAAP accounting standard which amended guidance applicable to annual impairment tests of indefinite-lived intangible assets. The amended guidance added an optional qualitative assessment for determining whether an indefinite-lived intangible asset is impaired. Prior to this guidance, companies were required to perform an annual impairment test that included a calculation of the fair value of the asset and a comparison of that fair value with its carrying value. If the carrying value exceeded the fair value, an impairment was recorded. The amended guidance allows a company the option to perform a qualitative assessment, considering both negative and positive evidence, regarding the potential impairment of the indefinite-lived intangible asset. If, based on the qualitative analysis, the company determines that it is more likely than not that the fair value of such an asset exceeds its carrying value, the company would be permitted to conclude that the indefinite-lived intangible asset was not impaired without a quantitative calculation of the fair value of the asset. Otherwise, the company would perform the quantitative calculation of the fair value and the comparison with the carrying value. The Company’s adoption of this new standard did not have a material effect on its operating results or financial position.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2"/>
        <w:spacing w:after="0" w:line="259" w:lineRule="auto"/>
        <w:rPr>
          <w:sz w:val="20"/>
          <w:szCs w:val="20"/>
          <w:color w:val="auto"/>
        </w:rPr>
      </w:pPr>
      <w:r>
        <w:rPr>
          <w:rFonts w:ascii="Arial" w:cs="Arial" w:eastAsia="Arial" w:hAnsi="Arial"/>
          <w:sz w:val="18"/>
          <w:szCs w:val="18"/>
          <w:color w:val="auto"/>
        </w:rPr>
        <w:t>In January 2013, the Company adopted a new U.S. GAAP accounting standard which requires the Company to separately disclose, on a prospective basis, the change in each component of other comprehensive income (loss) relating to reclassification adjustments and current period other comprehensive income (loss). As the new guidance relates to presentation only, the adoption did not have a material impact on the Company’s results of operations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and Nine</w:t>
      </w:r>
    </w:p>
    <w:p>
      <w:pPr>
        <w:jc w:val="center"/>
        <w:ind w:left="8200"/>
        <w:spacing w:after="0" w:line="236" w:lineRule="auto"/>
        <w:rPr>
          <w:sz w:val="20"/>
          <w:szCs w:val="20"/>
          <w:color w:val="auto"/>
        </w:rPr>
      </w:pPr>
      <w:r>
        <w:rPr>
          <w:rFonts w:ascii="Arial" w:cs="Arial" w:eastAsia="Arial" w:hAnsi="Arial"/>
          <w:sz w:val="14"/>
          <w:szCs w:val="14"/>
          <w:b w:val="1"/>
          <w:bCs w:val="1"/>
          <w:color w:val="auto"/>
        </w:rPr>
        <w:t>Months 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6,077,377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6,086,377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January 2013, the Company adopted a new U.S. GAAP accounting standard which requires the Company to separately disclose, on a prospective basis, the change in each component of other comprehensive income (loss) relating to reclassification adjustments and current period other comprehensive income (loss). As the new guidance relates to presentation only, the adoption did not have a material impact on the Company’s results of operations, financial position or cash flows. No amounts were reclassified out of accumulated other comprehensive income during the three or nine months ended September 30, 2013. The changes in accumulated other comprehensive income (loss) by component for the three and nine months ended September 30, 2013 are summarized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Unrealized Gain</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(Loss) on</w:t>
            </w:r>
          </w:p>
        </w:tc>
        <w:tc>
          <w:tcPr>
            <w:tcW w:w="240" w:type="dxa"/>
            <w:vAlign w:val="bottom"/>
          </w:tcPr>
          <w:p>
            <w:pPr>
              <w:spacing w:after="0"/>
              <w:rPr>
                <w:sz w:val="12"/>
                <w:szCs w:val="12"/>
                <w:color w:val="auto"/>
              </w:rPr>
            </w:pPr>
          </w:p>
        </w:tc>
        <w:tc>
          <w:tcPr>
            <w:tcW w:w="17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Foreign</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Securities, net of tax</w:t>
            </w:r>
          </w:p>
        </w:tc>
        <w:tc>
          <w:tcPr>
            <w:tcW w:w="240" w:type="dxa"/>
            <w:vAlign w:val="bottom"/>
          </w:tcPr>
          <w:p>
            <w:pPr>
              <w:spacing w:after="0"/>
              <w:rPr>
                <w:sz w:val="14"/>
                <w:szCs w:val="14"/>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Currency Items</w:t>
            </w:r>
          </w:p>
        </w:tc>
        <w:tc>
          <w:tcPr>
            <w:tcW w:w="4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4940" w:type="dxa"/>
        <w:tblCellMar>
          <w:top w:w="0" w:type="dxa"/>
          <w:left w:w="0" w:type="dxa"/>
          <w:bottom w:w="0" w:type="dxa"/>
          <w:right w:w="0" w:type="dxa"/>
        </w:tblCellMar>
      </w:tblPr>
      <w:tr>
        <w:trPr>
          <w:trHeight w:val="161"/>
        </w:trPr>
        <w:tc>
          <w:tcPr>
            <w:tcW w:w="1740" w:type="dxa"/>
            <w:vAlign w:val="bottom"/>
          </w:tcPr>
          <w:p>
            <w:pPr>
              <w:jc w:val="center"/>
              <w:ind w:right="228"/>
              <w:spacing w:after="0"/>
              <w:rPr>
                <w:sz w:val="20"/>
                <w:szCs w:val="20"/>
                <w:color w:val="auto"/>
              </w:rPr>
            </w:pPr>
            <w:r>
              <w:rPr>
                <w:rFonts w:ascii="Arial" w:cs="Arial" w:eastAsia="Arial" w:hAnsi="Arial"/>
                <w:sz w:val="14"/>
                <w:szCs w:val="14"/>
                <w:b w:val="1"/>
                <w:bCs w:val="1"/>
                <w:color w:val="auto"/>
                <w:w w:val="91"/>
              </w:rPr>
              <w:t>As of</w:t>
            </w:r>
          </w:p>
        </w:tc>
        <w:tc>
          <w:tcPr>
            <w:tcW w:w="9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Level 1</w:t>
            </w:r>
          </w:p>
        </w:tc>
        <w:tc>
          <w:tcPr>
            <w:tcW w:w="218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Level 2</w:t>
            </w:r>
          </w:p>
        </w:tc>
        <w:tc>
          <w:tcPr>
            <w:tcW w:w="15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17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4"/>
              </w:rPr>
              <w:t>September 30, 2013</w:t>
            </w:r>
          </w:p>
        </w:tc>
        <w:tc>
          <w:tcPr>
            <w:tcW w:w="940" w:type="dxa"/>
            <w:vAlign w:val="bottom"/>
            <w:tcBorders>
              <w:bottom w:val="single" w:sz="8" w:color="auto"/>
            </w:tcBorders>
            <w:vMerge w:val="continue"/>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tabs>
          <w:tab w:leader="none" w:pos="4920" w:val="left"/>
          <w:tab w:leader="none" w:pos="5860" w:val="left"/>
          <w:tab w:leader="none" w:pos="6600" w:val="left"/>
          <w:tab w:leader="none" w:pos="7540" w:val="left"/>
          <w:tab w:leader="none" w:pos="9500" w:val="left"/>
          <w:tab w:leader="none" w:pos="11140" w:val="left"/>
        </w:tabs>
        <w:rPr>
          <w:sz w:val="20"/>
          <w:szCs w:val="20"/>
          <w:color w:val="auto"/>
        </w:rPr>
      </w:pPr>
      <w:r>
        <w:rPr>
          <w:rFonts w:ascii="Arial" w:cs="Arial" w:eastAsia="Arial" w:hAnsi="Arial"/>
          <w:sz w:val="18"/>
          <w:szCs w:val="18"/>
          <w:color w:val="auto"/>
        </w:rPr>
        <w:t>Money market funds and cash equivalents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11,580</w:t>
        <w:tab/>
        <w:t>$</w:t>
      </w:r>
      <w:r>
        <w:rPr>
          <w:sz w:val="20"/>
          <w:szCs w:val="20"/>
          <w:color w:val="auto"/>
        </w:rPr>
        <w:tab/>
      </w:r>
      <w:r>
        <w:rPr>
          <w:rFonts w:ascii="Arial" w:cs="Arial" w:eastAsia="Arial" w:hAnsi="Arial"/>
          <w:sz w:val="18"/>
          <w:szCs w:val="18"/>
          <w:color w:val="auto"/>
        </w:rPr>
        <w:t>11,580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1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121,962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121,962</w:t>
            </w:r>
          </w:p>
        </w:tc>
        <w:tc>
          <w:tcPr>
            <w:tcW w:w="20" w:type="dxa"/>
            <w:vAlign w:val="bottom"/>
          </w:tcPr>
          <w:p>
            <w:pPr>
              <w:spacing w:after="0"/>
              <w:rPr>
                <w:sz w:val="20"/>
                <w:szCs w:val="20"/>
                <w:color w:val="auto"/>
              </w:rPr>
            </w:pPr>
          </w:p>
        </w:tc>
        <w:tc>
          <w:tcPr>
            <w:tcW w:w="148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121,962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2"/>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514"/>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9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24"/>
                <w:szCs w:val="24"/>
                <w:color w:val="auto"/>
              </w:rPr>
            </w:pPr>
          </w:p>
        </w:tc>
        <w:tc>
          <w:tcPr>
            <w:tcW w:w="14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 2012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18,688</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18,688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59,065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5"/>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59,065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-1262380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-1262380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6"/>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6"/>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50,900</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14,104</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660"/>
              <w:spacing w:after="0"/>
              <w:rPr>
                <w:sz w:val="20"/>
                <w:szCs w:val="20"/>
                <w:color w:val="auto"/>
              </w:rPr>
            </w:pPr>
            <w:r>
              <w:rPr>
                <w:rFonts w:ascii="Arial" w:cs="Arial" w:eastAsia="Arial" w:hAnsi="Arial"/>
                <w:sz w:val="18"/>
                <w:szCs w:val="18"/>
                <w:color w:val="auto"/>
                <w:w w:val="83"/>
              </w:rPr>
              <w:t>65,004</w:t>
            </w:r>
          </w:p>
        </w:tc>
        <w:tc>
          <w:tcPr>
            <w:tcW w:w="300" w:type="dxa"/>
            <w:vAlign w:val="bottom"/>
            <w:vMerge w:val="continue"/>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65,094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36,001</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20,857</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56,858</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121,862</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15,566</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19,797</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660"/>
              <w:spacing w:after="0"/>
              <w:rPr>
                <w:sz w:val="20"/>
                <w:szCs w:val="20"/>
                <w:color w:val="auto"/>
              </w:rPr>
            </w:pPr>
            <w:r>
              <w:rPr>
                <w:rFonts w:ascii="Arial" w:cs="Arial" w:eastAsia="Arial" w:hAnsi="Arial"/>
                <w:sz w:val="18"/>
                <w:szCs w:val="18"/>
                <w:color w:val="auto"/>
                <w:w w:val="83"/>
              </w:rPr>
              <w:t>35,363</w:t>
            </w:r>
          </w:p>
        </w:tc>
        <w:tc>
          <w:tcPr>
            <w:tcW w:w="300" w:type="dxa"/>
            <w:vAlign w:val="bottom"/>
            <w:vMerge w:val="continue"/>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35,489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17,353</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660"/>
              <w:spacing w:after="0"/>
              <w:rPr>
                <w:sz w:val="20"/>
                <w:szCs w:val="20"/>
                <w:color w:val="auto"/>
              </w:rPr>
            </w:pPr>
            <w:r>
              <w:rPr>
                <w:rFonts w:ascii="Arial" w:cs="Arial" w:eastAsia="Arial" w:hAnsi="Arial"/>
                <w:sz w:val="18"/>
                <w:szCs w:val="18"/>
                <w:color w:val="auto"/>
                <w:w w:val="83"/>
              </w:rPr>
              <w:t>23,546</w:t>
            </w:r>
          </w:p>
        </w:tc>
        <w:tc>
          <w:tcPr>
            <w:tcW w:w="300" w:type="dxa"/>
            <w:vAlign w:val="bottom"/>
            <w:vMerge w:val="continue"/>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23,576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58,909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September 30, 2013.</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3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Estimated</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7"/>
              </w:rPr>
              <w:t>September 30, 2013</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December 31, 2012</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9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380" w:type="dxa"/>
            <w:vAlign w:val="bottom"/>
          </w:tcPr>
          <w:p>
            <w:pPr>
              <w:jc w:val="right"/>
              <w:ind w:right="596"/>
              <w:spacing w:after="0"/>
              <w:rPr>
                <w:sz w:val="20"/>
                <w:szCs w:val="20"/>
                <w:color w:val="auto"/>
              </w:rPr>
            </w:pPr>
            <w:r>
              <w:rPr>
                <w:rFonts w:ascii="Arial" w:cs="Arial" w:eastAsia="Arial" w:hAnsi="Arial"/>
                <w:sz w:val="14"/>
                <w:szCs w:val="14"/>
                <w:b w:val="1"/>
                <w:bCs w:val="1"/>
                <w:color w:val="auto"/>
              </w:rPr>
              <w:t>Life</w:t>
            </w: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IPR&amp;D</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Indefinite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16 years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Core Technology</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11 years</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(848)</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380" w:type="dxa"/>
            <w:vAlign w:val="bottom"/>
            <w:vMerge w:val="restart"/>
          </w:tcPr>
          <w:p>
            <w:pPr>
              <w:jc w:val="right"/>
              <w:ind w:right="156"/>
              <w:spacing w:after="0"/>
              <w:rPr>
                <w:sz w:val="20"/>
                <w:szCs w:val="20"/>
                <w:color w:val="auto"/>
              </w:rPr>
            </w:pPr>
            <w:r>
              <w:rPr>
                <w:rFonts w:ascii="Arial" w:cs="Arial" w:eastAsia="Arial" w:hAnsi="Arial"/>
                <w:sz w:val="18"/>
                <w:szCs w:val="18"/>
                <w:color w:val="auto"/>
              </w:rPr>
              <w:t>Indefinite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6" w:name="page7"/>
    <w:bookmarkEnd w:id="6"/>
    <w:p>
      <w:pPr>
        <w:ind w:right="40" w:firstLine="648"/>
        <w:spacing w:after="0" w:line="312" w:lineRule="auto"/>
        <w:rPr>
          <w:sz w:val="20"/>
          <w:szCs w:val="20"/>
          <w:color w:val="auto"/>
        </w:rPr>
      </w:pPr>
      <w:r>
        <w:rPr>
          <w:rFonts w:ascii="Arial" w:cs="Arial" w:eastAsia="Arial" w:hAnsi="Arial"/>
          <w:sz w:val="16"/>
          <w:szCs w:val="16"/>
          <w:color w:val="auto"/>
        </w:rPr>
        <w:t>The IPR&amp;D intangible asset was recorded in connection with the acquisition of CuraGen and relates to the development of glembatumumab vedotin, referred to as glemba or CDX-011. At the date of acquisition and at September 30, 2013, glemba had not yet reached technological feasibility nor did it have any alternative future use. The Company recently completed a randomized Phase 2b study of glemba for the treatment of advanced breast cancer.</w:t>
      </w:r>
    </w:p>
    <w:p>
      <w:pPr>
        <w:spacing w:after="0" w:line="14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performed an annual impairment test of the IPR&amp;D and goodwill assets as of July 1, 2013 and concluded that the IPR&amp;D and goodwill assets were not impaired.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2013, the Company elected to prepay its Term Loan with MidCap Financial, LLC and General Electric Capital Corporation in full, pursuant to the terms of its loan agreement, as amended, and paid $8.8 million in principal and $0.7 million in interest, prepayment and final payment fees. The Company’s obligations under the loan agreement had been collateralized by a first priority security interest in substantially all of its assets, other than its intellectual property. In connection with the repayment of the Term Loan and the termination of the loan agreement, those security interests were released. Interest expense on the Term Loan was $0 and $0.8 million for the three and nine months ended September 30, 2013 and $0.4 million and $1.2 million for the three and nine months ended September 30, 2012,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September 30, 2013</w:t>
            </w: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2012</w:t>
            </w:r>
          </w:p>
        </w:tc>
      </w:tr>
      <w:tr>
        <w:trPr>
          <w:trHeight w:val="142"/>
        </w:trPr>
        <w:tc>
          <w:tcPr>
            <w:tcW w:w="5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4"/>
          </w:tcPr>
          <w:p>
            <w:pPr>
              <w:jc w:val="right"/>
              <w:ind w:right="1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4,661</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Deferred Revenue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1,237</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Loan Payable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0"/>
        </w:trPr>
        <w:tc>
          <w:tcPr>
            <w:tcW w:w="5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January 2013, 2012 and 2011, the Company received approval from the New Jersey Economic Development Authority and agreed to sell New Jersey tax benefits worth $0.8 million, $0.8 million and $0.6 million to an independent third party for $0.8 million, $0.7 million and $0.5 million, respectively. Under the agreement, the Company must maintain a base of operations in New Jersey for five years or the tax benefits must be paid back on a pro-rata basis based on the number of years completed. During the nine months ended September 30, 2013 and 2012, the Company recorded $0.2 million and $0.1 million to other income related to the sale of these tax benefits, respectively.</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September 2013, the Company entered into an agreement with Rockefeller University pursuant to which the Company will perform research and development services for Rockefeller. The agreement includes an approved project plan for the development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services of $4.8 million and a term of three years. The agreement included an upfront payment of $1.3 million which is being recognized as revenue over the term of the agreement. The Company will bill Rockefeller quarterly for actual time and direct costs incurred and record those amounts to revenue in the quarter the services are performed. The Company recorded $0.9 million in revenue related to the Rockefeller agreement during the three months ended September 30,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January 2011, the Company entered into a controlled equity offering sales agreement with Cantor Fitzgerald &amp; Co. (the “Cantor Agreement”) pursuant to which the Company could issue and sell up to 5,000,000 shares of its common stock from time to time through Cantor, acting as agent. During the nine months ended September 30, 2012, the Company issued 4,425,000 shares of common stock under the Cantor Agreement and raised $19.0 million in net proceeds.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September 2012, the Company and Cantor amended the Cantor Agreement (the “Cantor Amendment”) to allow the Company to issue and sell additional shares of its common stock having an aggregate offering price of up to $44.0 million. Under the Cantor Amendment, the Company will pay Cantor a fixed commission rate of 3.0% of the gross sales price per share of any common stock sold through Cantor. The Cantor Amendment terminates upon ten day notice by either Cantor or the Company. During the nine months ended September 30, 2013, the Company issued 2,433,608 shares under the Cantor Amendment and raised $17.1 million in net proceeds. At September 30, 2013, the Company had $4.4 million remaining in aggregate offering price available under the Cantor Amendment.</w:t>
      </w:r>
    </w:p>
    <w:p>
      <w:pPr>
        <w:spacing w:after="0" w:line="19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During the nine months ended September 30, 2012, the Company issued 12,075,000 shares of its common stock in an underwritten public offering, including the underwriter’s exercise of their full over-allotment option to purchase an additional 1,575,000 shares of common stock. The net proceeds to the Company were $43.4 million, after deducting underwriting fees and offering expenses.</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During the nine months ended September 30, 2013, the Company issued 13,800,000 shares of its common stock in an underwritten public offering, including the underwriter’s exercise of their full over-allotment option to purchase an additional 1,800,000 shares of common stock. The net proceeds to the Company were $97.0 million, after deducting underwriting fees and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2013 is as follows:</w:t>
      </w:r>
    </w:p>
    <w:p>
      <w:pPr>
        <w:sectPr>
          <w:pgSz w:w="11900" w:h="16838" w:orient="portrait"/>
          <w:cols w:equalWidth="0" w:num="1">
            <w:col w:w="11420"/>
          </w:cols>
          <w:pgMar w:left="240" w:top="125"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45"/>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8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45"/>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16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5,349,810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5.98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1,233,500</w:t>
            </w:r>
          </w:p>
        </w:tc>
        <w:tc>
          <w:tcPr>
            <w:tcW w:w="3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16.31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(491,165)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5.83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Canceled</w:t>
            </w:r>
          </w:p>
        </w:tc>
        <w:tc>
          <w:tcPr>
            <w:tcW w:w="3340" w:type="dxa"/>
            <w:vAlign w:val="bottom"/>
            <w:gridSpan w:val="3"/>
          </w:tcPr>
          <w:p>
            <w:pPr>
              <w:jc w:val="right"/>
              <w:ind w:right="240"/>
              <w:spacing w:after="0"/>
              <w:rPr>
                <w:sz w:val="20"/>
                <w:szCs w:val="20"/>
                <w:color w:val="auto"/>
              </w:rPr>
            </w:pPr>
            <w:r>
              <w:rPr>
                <w:rFonts w:ascii="Arial" w:cs="Arial" w:eastAsia="Arial" w:hAnsi="Arial"/>
                <w:sz w:val="18"/>
                <w:szCs w:val="18"/>
                <w:color w:val="auto"/>
              </w:rPr>
              <w:t>(14,768)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7.00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2013</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6,077,377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8.09</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2013</w:t>
            </w:r>
          </w:p>
        </w:tc>
        <w:tc>
          <w:tcPr>
            <w:tcW w:w="166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line="20" w:lineRule="exact"/>
              <w:rPr>
                <w:sz w:val="1"/>
                <w:szCs w:val="1"/>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1"/>
              </w:rPr>
              <w:t>8.04</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6,008,723</w:t>
            </w:r>
          </w:p>
        </w:tc>
        <w:tc>
          <w:tcPr>
            <w:tcW w:w="3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2013</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3,435,954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6.50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2,121,349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980" w:type="dxa"/>
            <w:vAlign w:val="bottom"/>
          </w:tcPr>
          <w:p>
            <w:pPr>
              <w:spacing w:after="0"/>
              <w:rPr>
                <w:sz w:val="24"/>
                <w:szCs w:val="24"/>
                <w:color w:val="auto"/>
              </w:rPr>
            </w:pPr>
          </w:p>
        </w:tc>
        <w:tc>
          <w:tcPr>
            <w:tcW w:w="1660" w:type="dxa"/>
            <w:vAlign w:val="bottom"/>
          </w:tcPr>
          <w:p>
            <w:pPr>
              <w:jc w:val="right"/>
              <w:ind w:right="750"/>
              <w:spacing w:after="0"/>
              <w:rPr>
                <w:sz w:val="20"/>
                <w:szCs w:val="20"/>
                <w:color w:val="auto"/>
              </w:rPr>
            </w:pPr>
            <w:r>
              <w:rPr>
                <w:rFonts w:ascii="Arial" w:cs="Arial" w:eastAsia="Arial" w:hAnsi="Arial"/>
                <w:sz w:val="18"/>
                <w:szCs w:val="18"/>
                <w:color w:val="auto"/>
              </w:rPr>
              <w:t>10</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8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nine months ended September 30, 2013 was $10.47. Stock-based compensation expense for the three and nine months ended September 30, 2013 and 2012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690</w:t>
            </w:r>
          </w:p>
        </w:tc>
        <w:tc>
          <w:tcPr>
            <w:tcW w:w="10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1,210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nine months ended September 30, 2013 and 2012 were valued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3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70 - 71%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1.9 - 2.0%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1.2 - 1.3%</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1.2 - 2.0%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0.9 - 1.4%</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September 30, 2013 and December 31, 2012 against the Company’s net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Contingent Liabilities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Except as set forth below, the significant commitments and contingencies at September 30, 2013 are consistent with those disclosed in Notes 13 and 15 to the consolidated financial statements in our Annual Report on Form 10-K for the year ended December 31, 2012.</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May 1, 2013, the Company entered into a lease agreement (the “Lease”) with Crown Perryville, LLC., as Landlord, pursuant to which the Company will lease approximately 33,000 square feet of office space in Hampton, New Jersey for use as an office and laboratory. The Lease has a five-year, five-month term which will commence on the later of November 15, 2013 or the date on which the alterations are substantially complete and a Certificate of Occupancy is issued. The Company’s obligation to pay rent commences five months after the lease commencement date. The annual rent obligations increase from $0.4 million in the first year to $0.5 million in the fifth year. The Lease includes two renewal options of five years each.</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ectPr>
          <w:pgSz w:w="11900" w:h="16838" w:orient="portrait"/>
          <w:cols w:equalWidth="0" w:num="1">
            <w:col w:w="11460"/>
          </w:cols>
          <w:pgMar w:left="240" w:top="320" w:right="199" w:bottom="0" w:gutter="0" w:footer="0" w:header="0"/>
        </w:sectPr>
      </w:pPr>
    </w:p>
    <w:bookmarkStart w:id="8" w:name="page9"/>
    <w:bookmarkEnd w:id="8"/>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32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rindopepimut (referred to as CDX-110), glembatumumab vedotin (referred to as glemba or CDX-011), and other drug candidates and the growth of the markets for those drug candidates;</w:t>
      </w:r>
    </w:p>
    <w:p>
      <w:pPr>
        <w:spacing w:after="0" w:line="181" w:lineRule="exact"/>
        <w:rPr>
          <w:rFonts w:ascii="Arial" w:cs="Arial" w:eastAsia="Arial" w:hAnsi="Arial"/>
          <w:sz w:val="18"/>
          <w:szCs w:val="18"/>
          <w:color w:val="auto"/>
        </w:rPr>
      </w:pPr>
    </w:p>
    <w:p>
      <w:pPr>
        <w:ind w:left="980" w:right="2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ACT IV and ReACT for rindopepimut and METRIC for glemba;</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 timing, scope and results of ongoing safety and efficacy trials of rindopepimut, glemba, and other preclinical and clinical testing;</w:t>
      </w:r>
    </w:p>
    <w:p>
      <w:pPr>
        <w:spacing w:after="0" w:line="236" w:lineRule="exact"/>
        <w:rPr>
          <w:rFonts w:ascii="Arial" w:cs="Arial" w:eastAsia="Arial" w:hAnsi="Arial"/>
          <w:sz w:val="17"/>
          <w:szCs w:val="17"/>
          <w:color w:val="auto"/>
        </w:rPr>
      </w:pPr>
    </w:p>
    <w:p>
      <w:pPr>
        <w:ind w:left="980" w:right="4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if we obtain regulatory approval, commercialization of rindopepimut and glemba for North America internally;</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negotiate strategic partnerships, where appropriate, for our programs which may include rindopepimut and glemba outside North America;</w:t>
      </w:r>
    </w:p>
    <w:p>
      <w:pPr>
        <w:spacing w:after="0" w:line="170" w:lineRule="exact"/>
        <w:rPr>
          <w:rFonts w:ascii="Arial" w:cs="Arial" w:eastAsia="Arial" w:hAnsi="Arial"/>
          <w:sz w:val="18"/>
          <w:szCs w:val="18"/>
          <w:color w:val="auto"/>
        </w:rPr>
      </w:pPr>
    </w:p>
    <w:p>
      <w:pPr>
        <w:ind w:left="980" w:right="8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targeted immunotherapeutics;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sourse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right="10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2012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lead drug candidates include rindopepimut (referred to as CDX-110) and glembatumumab vedotin (referred to as glemba or CDX-011). Rindopepimut is a targeted immunotherapeutic in a pivotal Phase 3 study for the treatment of front-line glioblastoma and a Phase 2 study for the treatment of recurrent glioblastoma. Glemba is an antibody-drug conjugate for which we plan to initiate a randomized, accelerated approval study in patients with triple negative breast cancer that over-express GPNMB by year-end 2013. We also have a number of earlier stage candidates in clinical development, including CDX-1135, a molecule that inhibits a part of the immune system called the complement system, CDX-1127, a therapeutic fully human monoclonal antibody for cancer indications, CDX-301, an immune cell mobilizing agent and dendritic cell growth factor and CDX-1401, an APC Targeting Technology™ program for cancer indications. Our drug candidates address market opportunities for which we believe current therapies are inadequate or non-existent.</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ectPr>
          <w:pgSz w:w="11900" w:h="16838" w:orient="portrait"/>
          <w:cols w:equalWidth="0" w:num="1">
            <w:col w:w="11420"/>
          </w:cols>
          <w:pgMar w:left="240" w:top="125" w:right="239" w:bottom="0" w:gutter="0" w:footer="0" w:header="0"/>
        </w:sectPr>
      </w:pPr>
    </w:p>
    <w:bookmarkStart w:id="9" w:name="page10"/>
    <w:bookmarkEnd w:id="9"/>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Product (generic)</w:t>
            </w:r>
          </w:p>
        </w:tc>
        <w:tc>
          <w:tcPr>
            <w:tcW w:w="4800" w:type="dxa"/>
            <w:vAlign w:val="bottom"/>
          </w:tcPr>
          <w:p>
            <w:pPr>
              <w:ind w:left="1900"/>
              <w:spacing w:after="0"/>
              <w:rPr>
                <w:sz w:val="20"/>
                <w:szCs w:val="20"/>
                <w:color w:val="auto"/>
              </w:rPr>
            </w:pPr>
            <w:r>
              <w:rPr>
                <w:rFonts w:ascii="Arial" w:cs="Arial" w:eastAsia="Arial" w:hAnsi="Arial"/>
                <w:sz w:val="14"/>
                <w:szCs w:val="14"/>
                <w:b w:val="1"/>
                <w:bCs w:val="1"/>
                <w:color w:val="auto"/>
              </w:rPr>
              <w:t>Indication/Field</w:t>
            </w:r>
          </w:p>
        </w:tc>
        <w:tc>
          <w:tcPr>
            <w:tcW w:w="30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Partner</w:t>
            </w:r>
          </w:p>
        </w:tc>
        <w:tc>
          <w:tcPr>
            <w:tcW w:w="280" w:type="dxa"/>
            <w:vAlign w:val="bottom"/>
          </w:tcPr>
          <w:p>
            <w:pPr>
              <w:spacing w:after="0"/>
              <w:rPr>
                <w:sz w:val="14"/>
                <w:szCs w:val="14"/>
                <w:color w:val="auto"/>
              </w:rPr>
            </w:pP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300" w:type="dxa"/>
            <w:vAlign w:val="bottom"/>
            <w:tcBorders>
              <w:top w:val="single" w:sz="8" w:color="CCEEFF"/>
            </w:tcBorders>
            <w:shd w:val="clear" w:color="auto" w:fill="CCEEFF"/>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Rindopepimut</w:t>
            </w:r>
          </w:p>
        </w:tc>
        <w:tc>
          <w:tcPr>
            <w:tcW w:w="4800" w:type="dxa"/>
            <w:vAlign w:val="bottom"/>
          </w:tcPr>
          <w:p>
            <w:pPr>
              <w:spacing w:after="0"/>
              <w:rPr>
                <w:sz w:val="20"/>
                <w:szCs w:val="20"/>
                <w:color w:val="auto"/>
              </w:rPr>
            </w:pPr>
            <w:r>
              <w:rPr>
                <w:rFonts w:ascii="Arial" w:cs="Arial" w:eastAsia="Arial" w:hAnsi="Arial"/>
                <w:sz w:val="18"/>
                <w:szCs w:val="18"/>
                <w:color w:val="auto"/>
              </w:rPr>
              <w:t>Front-line glioblastoma</w:t>
            </w:r>
          </w:p>
        </w:tc>
        <w:tc>
          <w:tcPr>
            <w:tcW w:w="1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280"/>
              <w:spacing w:after="0"/>
              <w:rPr>
                <w:sz w:val="20"/>
                <w:szCs w:val="20"/>
                <w:color w:val="auto"/>
              </w:rPr>
            </w:pPr>
            <w:r>
              <w:rPr>
                <w:rFonts w:ascii="Arial" w:cs="Arial" w:eastAsia="Arial" w:hAnsi="Arial"/>
                <w:sz w:val="18"/>
                <w:szCs w:val="18"/>
                <w:color w:val="auto"/>
              </w:rPr>
              <w:t>Phase 3</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Metastatic breast cancer and melanoma</w:t>
            </w:r>
          </w:p>
        </w:tc>
        <w:tc>
          <w:tcPr>
            <w:tcW w:w="1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2b</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Rindopepimut</w:t>
            </w:r>
          </w:p>
        </w:tc>
        <w:tc>
          <w:tcPr>
            <w:tcW w:w="4800" w:type="dxa"/>
            <w:vAlign w:val="bottom"/>
          </w:tcPr>
          <w:p>
            <w:pPr>
              <w:spacing w:after="0"/>
              <w:rPr>
                <w:sz w:val="20"/>
                <w:szCs w:val="20"/>
                <w:color w:val="auto"/>
              </w:rPr>
            </w:pPr>
            <w:r>
              <w:rPr>
                <w:rFonts w:ascii="Arial" w:cs="Arial" w:eastAsia="Arial" w:hAnsi="Arial"/>
                <w:sz w:val="18"/>
                <w:szCs w:val="18"/>
                <w:color w:val="auto"/>
              </w:rPr>
              <w:t>Recurrent glioblastoma</w:t>
            </w:r>
          </w:p>
        </w:tc>
        <w:tc>
          <w:tcPr>
            <w:tcW w:w="1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CDX-1135</w:t>
            </w: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Renal disease</w:t>
            </w:r>
          </w:p>
        </w:tc>
        <w:tc>
          <w:tcPr>
            <w:tcW w:w="1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Pilot</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CDX-1127</w:t>
            </w:r>
          </w:p>
        </w:tc>
        <w:tc>
          <w:tcPr>
            <w:tcW w:w="4800" w:type="dxa"/>
            <w:vAlign w:val="bottom"/>
          </w:tcPr>
          <w:p>
            <w:pPr>
              <w:spacing w:after="0"/>
              <w:rPr>
                <w:sz w:val="20"/>
                <w:szCs w:val="20"/>
                <w:color w:val="auto"/>
              </w:rPr>
            </w:pPr>
            <w:r>
              <w:rPr>
                <w:rFonts w:ascii="Arial" w:cs="Arial" w:eastAsia="Arial" w:hAnsi="Arial"/>
                <w:sz w:val="18"/>
                <w:szCs w:val="18"/>
                <w:color w:val="auto"/>
              </w:rPr>
              <w:t>Lymphoma/leukemia and solid tumors</w:t>
            </w:r>
          </w:p>
        </w:tc>
        <w:tc>
          <w:tcPr>
            <w:tcW w:w="1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Cancer, autoimmune disease and transplant</w:t>
            </w:r>
          </w:p>
        </w:tc>
        <w:tc>
          <w:tcPr>
            <w:tcW w:w="1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CDX-1401</w:t>
            </w:r>
          </w:p>
        </w:tc>
        <w:tc>
          <w:tcPr>
            <w:tcW w:w="4800" w:type="dxa"/>
            <w:vAlign w:val="bottom"/>
          </w:tcPr>
          <w:p>
            <w:pPr>
              <w:spacing w:after="0"/>
              <w:rPr>
                <w:sz w:val="20"/>
                <w:szCs w:val="20"/>
                <w:color w:val="auto"/>
              </w:rPr>
            </w:pPr>
            <w:r>
              <w:rPr>
                <w:rFonts w:ascii="Arial" w:cs="Arial" w:eastAsia="Arial" w:hAnsi="Arial"/>
                <w:sz w:val="18"/>
                <w:szCs w:val="18"/>
                <w:color w:val="auto"/>
              </w:rPr>
              <w:t>Multiple solid tumors</w:t>
            </w:r>
          </w:p>
        </w:tc>
        <w:tc>
          <w:tcPr>
            <w:tcW w:w="1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4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CDX-014</w:t>
            </w:r>
          </w:p>
        </w:tc>
        <w:tc>
          <w:tcPr>
            <w:tcW w:w="4800" w:type="dxa"/>
            <w:vAlign w:val="bottom"/>
          </w:tcPr>
          <w:p>
            <w:pPr>
              <w:spacing w:after="0"/>
              <w:rPr>
                <w:sz w:val="20"/>
                <w:szCs w:val="20"/>
                <w:color w:val="auto"/>
              </w:rPr>
            </w:pPr>
            <w:r>
              <w:rPr>
                <w:rFonts w:ascii="Arial" w:cs="Arial" w:eastAsia="Arial" w:hAnsi="Arial"/>
                <w:sz w:val="18"/>
                <w:szCs w:val="18"/>
                <w:color w:val="auto"/>
              </w:rPr>
              <w:t>Ovarian and renal cancer</w:t>
            </w:r>
          </w:p>
        </w:tc>
        <w:tc>
          <w:tcPr>
            <w:tcW w:w="1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280"/>
              <w:spacing w:after="0"/>
              <w:rPr>
                <w:sz w:val="20"/>
                <w:szCs w:val="20"/>
                <w:color w:val="auto"/>
              </w:rPr>
            </w:pPr>
            <w:r>
              <w:rPr>
                <w:rFonts w:ascii="Arial" w:cs="Arial" w:eastAsia="Arial" w:hAnsi="Arial"/>
                <w:sz w:val="18"/>
                <w:szCs w:val="18"/>
                <w:color w:val="auto"/>
              </w:rPr>
              <w:t>Preclinical</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product candidate.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not unusual for the clinical development of these types of product candidates to each take five years or more, and for total development costs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product candidate. We estimate that clinical trials of the type we generally conduct are typically completed over the following timelines: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0" w:type="dxa"/>
            <w:vAlign w:val="bottom"/>
          </w:tcPr>
          <w:p>
            <w:pPr>
              <w:jc w:val="right"/>
              <w:ind w:right="377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6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Completion</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Phase 1</w:t>
            </w:r>
          </w:p>
        </w:tc>
        <w:tc>
          <w:tcPr>
            <w:tcW w:w="6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6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-1227455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-1227455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During the past five years through December 31, 2012, we incurred an aggregate of $156.3 million in research and development expenses. The following table indicates the amount incurred for each of our significant research programs and for other identified research and development activities during the nine months ended September 30, 2013 and 2012. The amounts disclosed in the following table reflect direct research and development costs, license fees associated with the underlying technology and an allocation of indirect research and development costs to each program.</w:t>
      </w:r>
    </w:p>
    <w:p>
      <w:pPr>
        <w:sectPr>
          <w:pgSz w:w="11900" w:h="16850" w:orient="portrait"/>
          <w:cols w:equalWidth="0" w:num="1">
            <w:col w:w="11460"/>
          </w:cols>
          <w:pgMar w:left="240" w:top="125" w:right="199" w:bottom="0" w:gutter="0" w:footer="0" w:header="0"/>
        </w:sectPr>
      </w:pPr>
    </w:p>
    <w:bookmarkStart w:id="10" w:name="page11"/>
    <w:bookmarkEnd w:id="10"/>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31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79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7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gridSpan w:val="4"/>
          </w:tcPr>
          <w:p>
            <w:pPr>
              <w:jc w:val="right"/>
              <w:ind w:right="45"/>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28,144</w:t>
            </w:r>
          </w:p>
        </w:tc>
        <w:tc>
          <w:tcPr>
            <w:tcW w:w="5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17,396</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Glembatumumab vedotin</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7,695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3,437</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CDX-1135</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6,321</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CDX-1127</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6,944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3,043</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CDX-1401</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827</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4,164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871</w:t>
            </w:r>
          </w:p>
        </w:tc>
      </w:tr>
      <w:tr>
        <w:trPr>
          <w:trHeight w:val="210"/>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49,597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lead clinical development program, rindopepimut, is a targeted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or GB, tumors, also referred to as glioblastoma multiforme, or GBM,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 The FDA has also granted Fast Track designation.</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 patients. An extension of the Phase 2a study referred to as ACT II evaluated 22 additional GB patients treated in combination with the current standard of care, maintenance temozolomide, or TMZ, at the same two institutions.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initiated ACT III, a Phase 2b/3 randomized study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TMZ.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189"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In November 2012, we announced three-year survival data for each of our three Phase 2 studies in rindopepimut, ACT III, ACT II and ACTIVATE. The median overall survival, or OS, in ACT III was 24.6 months from diagnosis (21.8 months from study entry) and OS was 26% at three years. The median OS in ACT II was 24.4 months from diagnosis (20.5 months from study entry) and OS was 23% at three years. The median OS in ACTIVATE was</w:t>
      </w:r>
    </w:p>
    <w:p>
      <w:pPr>
        <w:spacing w:after="0" w:line="292" w:lineRule="auto"/>
        <w:rPr>
          <w:sz w:val="20"/>
          <w:szCs w:val="20"/>
          <w:color w:val="auto"/>
        </w:rPr>
      </w:pPr>
      <w:r>
        <w:rPr>
          <w:rFonts w:ascii="Arial" w:cs="Arial" w:eastAsia="Arial" w:hAnsi="Arial"/>
          <w:sz w:val="16"/>
          <w:szCs w:val="16"/>
          <w:color w:val="auto"/>
        </w:rPr>
        <w:t>24.6 months from diagnosis (20.4 months from study entry) and OS was 33% at three years. In addition we also announced data from a retrospective analysis of EGFRvIII expression status and associated clinical outcome in the Phase 3 Radiation Therapy Oncology Group’s, or RTOG, 0525 study. This analysis was conducted by The University of Texas MD Anderson Cancer Center in cooperation with RTOG to provide an assessment of the prognosis for patients with EGFRvIII-positive disease contemporary with the ACT III data. Across three Phase 2 studies of rindopepimut, survival data remains consistent and suggests a continuing survival benefit in comparison to independent control datasets (see chart below) at the median and at three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Rindopepimut Overall Survival (OS) in EGFRvIII-Positive Glioblastoma vs Independent Control Datasets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Rindopepimut Phase 2 Studies (all data from study entry)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ind w:left="420"/>
              <w:spacing w:after="0"/>
              <w:rPr>
                <w:sz w:val="20"/>
                <w:szCs w:val="20"/>
                <w:color w:val="auto"/>
              </w:rPr>
            </w:pPr>
            <w:r>
              <w:rPr>
                <w:rFonts w:ascii="Arial" w:cs="Arial" w:eastAsia="Arial" w:hAnsi="Arial"/>
                <w:sz w:val="14"/>
                <w:szCs w:val="14"/>
                <w:b w:val="1"/>
                <w:bCs w:val="1"/>
                <w:color w:val="auto"/>
              </w:rPr>
              <w:t>Medium</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OS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0"/>
              </w:rPr>
              <w:t>(months)</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 years</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 III (n=65)</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21.8</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spacing w:after="0"/>
              <w:rPr>
                <w:sz w:val="20"/>
                <w:szCs w:val="20"/>
                <w:color w:val="auto"/>
              </w:rPr>
            </w:pPr>
            <w:r>
              <w:rPr>
                <w:rFonts w:ascii="Arial" w:cs="Arial" w:eastAsia="Arial" w:hAnsi="Arial"/>
                <w:sz w:val="18"/>
                <w:szCs w:val="18"/>
                <w:color w:val="auto"/>
              </w:rPr>
              <w:t>ACT II (n=22)</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20.5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ACTIVATE (n=18)</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0" w:type="dxa"/>
            <w:vAlign w:val="bottom"/>
            <w:gridSpan w:val="4"/>
          </w:tcPr>
          <w:p>
            <w:pPr>
              <w:ind w:left="3500"/>
              <w:spacing w:after="0"/>
              <w:rPr>
                <w:sz w:val="20"/>
                <w:szCs w:val="20"/>
                <w:color w:val="auto"/>
              </w:rPr>
            </w:pPr>
            <w:r>
              <w:rPr>
                <w:rFonts w:ascii="Arial" w:cs="Arial" w:eastAsia="Arial" w:hAnsi="Arial"/>
                <w:sz w:val="18"/>
                <w:szCs w:val="18"/>
                <w:b w:val="1"/>
                <w:bCs w:val="1"/>
                <w:color w:val="auto"/>
              </w:rPr>
              <w:t>Independent Control Datasets (all data from study entry)</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00" w:type="dxa"/>
            <w:vAlign w:val="bottom"/>
          </w:tcPr>
          <w:p>
            <w:pPr>
              <w:spacing w:after="0"/>
              <w:rPr>
                <w:sz w:val="20"/>
                <w:szCs w:val="20"/>
                <w:color w:val="auto"/>
              </w:rPr>
            </w:pPr>
          </w:p>
        </w:tc>
        <w:tc>
          <w:tcPr>
            <w:tcW w:w="43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MD Anderson EGFRvIII-positive patients matched(1) to ACTIVATE patient population (n=17)</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(contemporary with ACTIVATE)</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12.2(2)</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gridSpan w:val="4"/>
          </w:tcPr>
          <w:p>
            <w:pPr>
              <w:spacing w:after="0" w:line="201" w:lineRule="exact"/>
              <w:rPr>
                <w:sz w:val="20"/>
                <w:szCs w:val="20"/>
                <w:color w:val="auto"/>
              </w:rPr>
            </w:pPr>
            <w:r>
              <w:rPr>
                <w:rFonts w:ascii="Arial" w:cs="Arial" w:eastAsia="Arial" w:hAnsi="Arial"/>
                <w:sz w:val="18"/>
                <w:szCs w:val="18"/>
                <w:color w:val="auto"/>
              </w:rPr>
              <w:t>Radiation Therapy Oncology Group (RTOG) 0525 study—all EGFRvIII- positive patients (n=142)</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gridSpan w:val="4"/>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400" w:type="dxa"/>
            <w:vAlign w:val="bottom"/>
          </w:tcPr>
          <w:p>
            <w:pPr>
              <w:ind w:left="2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RTOG 0525 study—all EGFRvIII-positive patients treated with standard dose temozolomide (n=62)</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gridSpan w:val="4"/>
          </w:tcPr>
          <w:p>
            <w:pPr>
              <w:spacing w:after="0"/>
              <w:rPr>
                <w:sz w:val="20"/>
                <w:szCs w:val="20"/>
                <w:color w:val="auto"/>
              </w:rPr>
            </w:pPr>
            <w:r>
              <w:rPr>
                <w:rFonts w:ascii="Arial" w:cs="Arial" w:eastAsia="Arial" w:hAnsi="Arial"/>
                <w:sz w:val="18"/>
                <w:szCs w:val="18"/>
                <w:color w:val="auto"/>
              </w:rPr>
              <w:t>RTOG 0525 study—EGFRvIII-positive patients matched(1) to ACT III/IV patient population (n=29)</w:t>
            </w:r>
          </w:p>
        </w:tc>
        <w:tc>
          <w:tcPr>
            <w:tcW w:w="400" w:type="dxa"/>
            <w:vAlign w:val="bottom"/>
          </w:tcPr>
          <w:p>
            <w:pPr>
              <w:ind w:left="20"/>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85" w:orient="portrait"/>
          <w:cols w:equalWidth="0" w:num="1">
            <w:col w:w="11420"/>
          </w:cols>
          <w:pgMar w:left="240" w:top="341" w:right="239" w:bottom="0" w:gutter="0" w:footer="0" w:header="0"/>
        </w:sectPr>
      </w:pPr>
    </w:p>
    <w:bookmarkStart w:id="11" w:name="page12"/>
    <w:bookmarkEnd w:id="11"/>
    <w:p>
      <w:pPr>
        <w:spacing w:after="0" w:line="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(contemporary with ACT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660" w:hanging="652"/>
        <w:spacing w:after="0" w:line="277"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Controls are closely matched to rindopepimut patient criteria including gross total resection of patient tumor and ~3 months without disease progression at time of study entry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order to provide comparable timeframes across datasets, data have been estimated assuming study entry at three months from diagnosis.</w:t>
      </w:r>
    </w:p>
    <w:p>
      <w:pPr>
        <w:spacing w:after="0" w:line="2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December 2011, we initiated ACT IV, a pivotal, randomized, double-blind, controlled Phase 3 study of rindopepimut in patients with surgically resected, EGFRvIII-positive GB. Patients are randomized after the completion of surgery and standard chemoradiation treatment. The treatment regimen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 after Gross Total Resection, or GTR, when compared to treatment with TMZ and a control injection of KLH. KLH is a component of rindopepimut and was selected due to its ability to generate a similar injection site reaction to that observed with rindopepimut. We continue to actively enroll newly diagnosed patients with GB in ACT IV.</w:t>
      </w:r>
    </w:p>
    <w:p>
      <w:pPr>
        <w:spacing w:after="0" w:line="124" w:lineRule="exact"/>
        <w:rPr>
          <w:sz w:val="20"/>
          <w:szCs w:val="20"/>
          <w:color w:val="auto"/>
        </w:rPr>
      </w:pPr>
    </w:p>
    <w:p>
      <w:pPr>
        <w:ind w:right="100" w:firstLine="648"/>
        <w:spacing w:after="0" w:line="266" w:lineRule="auto"/>
        <w:rPr>
          <w:sz w:val="20"/>
          <w:szCs w:val="20"/>
          <w:color w:val="auto"/>
        </w:rPr>
      </w:pPr>
      <w:r>
        <w:rPr>
          <w:rFonts w:ascii="Arial" w:cs="Arial" w:eastAsia="Arial" w:hAnsi="Arial"/>
          <w:sz w:val="16"/>
          <w:szCs w:val="16"/>
          <w:color w:val="auto"/>
        </w:rPr>
        <w:t>In December 2011, we also initiated ReACT, a Phase 2 study of rindopepimut in combination with Avastin</w:t>
      </w:r>
      <w:r>
        <w:rPr>
          <w:rFonts w:ascii="Arial" w:cs="Arial" w:eastAsia="Arial" w:hAnsi="Arial"/>
          <w:sz w:val="31"/>
          <w:szCs w:val="31"/>
          <w:color w:val="auto"/>
          <w:vertAlign w:val="superscript"/>
        </w:rPr>
        <w:t>®</w:t>
      </w:r>
      <w:r>
        <w:rPr>
          <w:rFonts w:ascii="Arial" w:cs="Arial" w:eastAsia="Arial" w:hAnsi="Arial"/>
          <w:sz w:val="16"/>
          <w:szCs w:val="16"/>
          <w:color w:val="auto"/>
        </w:rPr>
        <w:t xml:space="preserve"> in patients with recurrent EGFRvIII-positive GB. ReACT was initially planned to enroll approximately 95 patients in a first or second relapse of GB following receipt of standard therapy at approximately 25 sites across the United States. In August 2013, we announced that we decided to add an expansion cohort of approximately 75 patients to better characterize the potential activity of rindopepimut in this refractory patient population. This decision was based on early evidence of anti-tumor activity, including stable disease, tumor shrinkage and investigator-reported response. As amended, the ReACT study will now enroll approximately 170 patients across three groups. Approximately 70 patients who have yet to receive Avastin will be randomized to receive either rindopepimut and Avastin or a control injection of KLH and Avastin in a blinded fashion. Another 100 patients, including the expansion cohort of 75 patients, who are refractory to Avastin having received Avastin in either the frontline or recurrent setting with subsequent progression will receive rindopepimut plus Avastin in a single treatment arm. Study endpoints include 6 month progression free survival rate, objective response rate, overall survival and safety and tolerability.</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expect to report data from the ReACT study at the Society for Neuro-Oncology Annual Meeting and provide a rindopepimut program update in November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(glemba or CDX-011)</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Glemba is an antibody-drug conjugate, or ADC, that consists of a fully-human monoclonal antibody, CR011, linked to a potent cell-killing drug, monomethyl-auristatin E, or MMAE. The CR011 antibody specifically targets glycoprotein NMB, referred to as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glemba targets and binds to GPNMB and upon internalization into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the targeted cell, glemba is designed to release MMAE from CR011 to produce a cell-killing effect. The FDA has granted Fast Track designation to glemba for the treatment of advanced, refractory/resistant GPNMB-expressing breast cancer.</w:t>
      </w:r>
    </w:p>
    <w:p>
      <w:pPr>
        <w:spacing w:after="0" w:line="166" w:lineRule="exact"/>
        <w:rPr>
          <w:sz w:val="20"/>
          <w:szCs w:val="20"/>
          <w:color w:val="auto"/>
        </w:rPr>
      </w:pPr>
    </w:p>
    <w:p>
      <w:pPr>
        <w:jc w:val="both"/>
        <w:ind w:right="18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glemba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had received prior therapy (median of seven prior regimens). The study began with a bridging phase to confirm the maximum tolerated dose, or MTD, and then expanded into a Phase 2 open-label, multi-center study.</w:t>
      </w:r>
    </w:p>
    <w:p>
      <w:pPr>
        <w:spacing w:after="0" w:line="1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study confirmed the safety of glemba at the pre-defined maximum dose level (1.88 mg/kg) in 6 patients. An additional 28 patients were enrolled in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December 2011, we completed enrollment of EMERGE, a randomized, multi-center Phase 2b study of glemba in 122 patients with heavily pre-treated, advanced, GPNMB positive breast cancer. Patients were randomized (2:1) to receive either glemba or single-agent Investigator’s Choice, or IC, chemotherapy. Patients randomized to receive IC were allowed to cross over to receive glemba following disease progression. Activity endpoints included response rate, PFS and OS.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December 2012, we announced final results, as shown below, from the EMERGE study which suggested that glemba induces significant response rates compared to currently available therapies in patient subsets with advanced, refractory breast cancers with GPNMB over-expression (expression in greater than 25% of tumor cells) and in patients with triple negative breast cancer. The overall survival, or OS, and progression free survival, or PFS, of patients treated with glemba was also observed to be greatest in patients with triple negative breast cancer who also over-express GPNMB and all patients with GPNMB over-expression.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21"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On target effect clearly demonstrated</w:t>
      </w:r>
    </w:p>
    <w:p>
      <w:pPr>
        <w:jc w:val="center"/>
        <w:ind w:left="6820"/>
        <w:spacing w:after="0" w:line="226" w:lineRule="auto"/>
        <w:rPr>
          <w:sz w:val="20"/>
          <w:szCs w:val="20"/>
          <w:color w:val="auto"/>
        </w:rPr>
      </w:pPr>
      <w:r>
        <w:rPr>
          <w:rFonts w:ascii="Arial" w:cs="Arial" w:eastAsia="Arial" w:hAnsi="Arial"/>
          <w:sz w:val="14"/>
          <w:szCs w:val="14"/>
          <w:b w:val="1"/>
          <w:bCs w:val="1"/>
          <w:color w:val="auto"/>
        </w:rPr>
        <w:t>in targeted patient populations</w:t>
      </w:r>
    </w:p>
    <w:p>
      <w:pPr>
        <w:spacing w:after="0" w:line="1" w:lineRule="exact"/>
        <w:rPr>
          <w:sz w:val="20"/>
          <w:szCs w:val="20"/>
          <w:color w:val="auto"/>
        </w:rPr>
      </w:pPr>
    </w:p>
    <w:p>
      <w:pPr>
        <w:ind w:left="3080"/>
        <w:spacing w:after="0"/>
        <w:tabs>
          <w:tab w:leader="none" w:pos="5240" w:val="left"/>
          <w:tab w:leader="none" w:pos="7720" w:val="left"/>
          <w:tab w:leader="none" w:pos="9760" w:val="left"/>
        </w:tabs>
        <w:rPr>
          <w:sz w:val="20"/>
          <w:szCs w:val="20"/>
          <w:color w:val="auto"/>
        </w:rPr>
      </w:pPr>
      <w:r>
        <w:rPr>
          <w:rFonts w:ascii="Arial" w:cs="Arial" w:eastAsia="Arial" w:hAnsi="Arial"/>
          <w:sz w:val="14"/>
          <w:szCs w:val="14"/>
          <w:b w:val="1"/>
          <w:bCs w:val="1"/>
          <w:color w:val="auto"/>
        </w:rPr>
        <w:t>All Patients</w:t>
      </w:r>
      <w:r>
        <w:rPr>
          <w:sz w:val="20"/>
          <w:szCs w:val="20"/>
          <w:color w:val="auto"/>
        </w:rPr>
        <w:tab/>
      </w:r>
      <w:r>
        <w:rPr>
          <w:rFonts w:ascii="Arial" w:cs="Arial" w:eastAsia="Arial" w:hAnsi="Arial"/>
          <w:sz w:val="14"/>
          <w:szCs w:val="14"/>
          <w:b w:val="1"/>
          <w:bCs w:val="1"/>
          <w:color w:val="auto"/>
        </w:rPr>
        <w:t>Triple Negative</w:t>
      </w:r>
      <w:r>
        <w:rPr>
          <w:sz w:val="20"/>
          <w:szCs w:val="20"/>
          <w:color w:val="auto"/>
        </w:rPr>
        <w:tab/>
      </w:r>
      <w:r>
        <w:rPr>
          <w:rFonts w:ascii="Arial" w:cs="Arial" w:eastAsia="Arial" w:hAnsi="Arial"/>
          <w:sz w:val="14"/>
          <w:szCs w:val="14"/>
          <w:b w:val="1"/>
          <w:bCs w:val="1"/>
          <w:color w:val="auto"/>
        </w:rPr>
        <w:t>GPNMB</w:t>
      </w:r>
      <w:r>
        <w:rPr>
          <w:sz w:val="20"/>
          <w:szCs w:val="20"/>
          <w:color w:val="auto"/>
        </w:rPr>
        <w:tab/>
      </w:r>
      <w:r>
        <w:rPr>
          <w:rFonts w:ascii="Arial" w:cs="Arial" w:eastAsia="Arial" w:hAnsi="Arial"/>
          <w:sz w:val="13"/>
          <w:szCs w:val="13"/>
          <w:b w:val="1"/>
          <w:bCs w:val="1"/>
          <w:color w:val="auto"/>
        </w:rPr>
        <w:t>Triple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-97155</wp:posOffset>
            </wp:positionV>
            <wp:extent cx="2710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ectPr>
          <w:pgSz w:w="11900" w:h="16863" w:orient="portrait"/>
          <w:cols w:equalWidth="0" w:num="1">
            <w:col w:w="11400"/>
          </w:cols>
          <w:pgMar w:left="240" w:top="125" w:right="25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Over-Expression</w:t>
            </w:r>
          </w:p>
        </w:tc>
        <w:tc>
          <w:tcPr>
            <w:tcW w:w="21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and GPNMB</w:t>
            </w:r>
          </w:p>
        </w:tc>
      </w:tr>
      <w:tr>
        <w:trPr>
          <w:trHeight w:val="171"/>
        </w:trPr>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Over-Expression</w:t>
            </w:r>
          </w:p>
        </w:tc>
      </w:tr>
      <w:tr>
        <w:trPr>
          <w:trHeight w:val="142"/>
        </w:trPr>
        <w:tc>
          <w:tcPr>
            <w:tcW w:w="242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CDX-011</w:t>
            </w: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IC</w:t>
            </w:r>
          </w:p>
        </w:tc>
        <w:tc>
          <w:tcPr>
            <w:tcW w:w="22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CDX-011</w:t>
            </w: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IC</w:t>
            </w: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7"/>
              </w:rPr>
              <w:t>CDX-011</w:t>
            </w:r>
          </w:p>
        </w:tc>
        <w:tc>
          <w:tcPr>
            <w:tcW w:w="90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IC</w:t>
            </w: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7"/>
              </w:rPr>
              <w:t>CDX-011</w:t>
            </w:r>
          </w:p>
        </w:tc>
        <w:tc>
          <w:tcPr>
            <w:tcW w:w="90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IC</w:t>
            </w:r>
          </w:p>
        </w:tc>
        <w:tc>
          <w:tcPr>
            <w:tcW w:w="160" w:type="dxa"/>
            <w:vAlign w:val="bottom"/>
          </w:tcPr>
          <w:p>
            <w:pPr>
              <w:spacing w:after="0"/>
              <w:rPr>
                <w:sz w:val="12"/>
                <w:szCs w:val="12"/>
                <w:color w:val="auto"/>
              </w:rPr>
            </w:pPr>
          </w:p>
        </w:tc>
      </w:tr>
      <w:tr>
        <w:trPr>
          <w:trHeight w:val="142"/>
        </w:trPr>
        <w:tc>
          <w:tcPr>
            <w:tcW w:w="24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(n=81)</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(n=36)</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(n=27)</w:t>
            </w:r>
          </w:p>
        </w:tc>
        <w:tc>
          <w:tcPr>
            <w:tcW w:w="2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(n=9)</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(n=25)</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(n=8)</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(n=12)</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(n=4)</w:t>
            </w:r>
          </w:p>
        </w:tc>
        <w:tc>
          <w:tcPr>
            <w:tcW w:w="160" w:type="dxa"/>
            <w:vAlign w:val="bottom"/>
            <w:tcBorders>
              <w:bottom w:val="single" w:sz="8" w:color="CCEEFF"/>
            </w:tcBorders>
          </w:tcPr>
          <w:p>
            <w:pPr>
              <w:spacing w:after="0"/>
              <w:rPr>
                <w:sz w:val="12"/>
                <w:szCs w:val="12"/>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Response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Disease Control Rate</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Responses per RECIST 1.1; IC = Investigator’s Choice; glemba arm includes 15 patients who crossed over to receive glemba treatment after progression on IC. Analysis of best response excludes patients who discontinued from study without evaluable post-baseline radiographic imaging (n=15 for glemba arm; n=5 for IC arm).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Survival (OS) and Progression Free Survival (PFS)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2"/>
              </w:rPr>
              <w:t>On target effect clearly demonstrated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1"/>
              </w:rPr>
              <w:t>in targeted patient populations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rPr>
              <w:t>GPNMB</w:t>
            </w:r>
          </w:p>
        </w:tc>
        <w:tc>
          <w:tcPr>
            <w:tcW w:w="1500" w:type="dxa"/>
            <w:vAlign w:val="bottom"/>
            <w:gridSpan w:val="3"/>
          </w:tcPr>
          <w:p>
            <w:pPr>
              <w:jc w:val="center"/>
              <w:ind w:left="460"/>
              <w:spacing w:after="0" w:line="119" w:lineRule="exact"/>
              <w:rPr>
                <w:sz w:val="20"/>
                <w:szCs w:val="20"/>
                <w:color w:val="auto"/>
              </w:rPr>
            </w:pPr>
            <w:r>
              <w:rPr>
                <w:rFonts w:ascii="Arial" w:cs="Arial" w:eastAsia="Arial" w:hAnsi="Arial"/>
                <w:sz w:val="13"/>
                <w:szCs w:val="13"/>
                <w:b w:val="1"/>
                <w:bCs w:val="1"/>
                <w:color w:val="auto"/>
              </w:rPr>
              <w:t>Triple Negative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All Patients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3"/>
              </w:rPr>
              <w:t>Triple Negative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5"/>
            <w:vMerge w:val="continue"/>
          </w:tcPr>
          <w:p>
            <w:pPr>
              <w:spacing w:after="0"/>
              <w:rPr>
                <w:sz w:val="12"/>
                <w:szCs w:val="12"/>
                <w:color w:val="auto"/>
              </w:rPr>
            </w:pPr>
          </w:p>
        </w:tc>
        <w:tc>
          <w:tcPr>
            <w:tcW w:w="1500" w:type="dxa"/>
            <w:vAlign w:val="bottom"/>
            <w:gridSpan w:val="3"/>
          </w:tcPr>
          <w:p>
            <w:pPr>
              <w:jc w:val="center"/>
              <w:ind w:left="460"/>
              <w:spacing w:after="0" w:line="149" w:lineRule="exact"/>
              <w:rPr>
                <w:sz w:val="20"/>
                <w:szCs w:val="20"/>
                <w:color w:val="auto"/>
              </w:rPr>
            </w:pPr>
            <w:r>
              <w:rPr>
                <w:rFonts w:ascii="Arial" w:cs="Arial" w:eastAsia="Arial" w:hAnsi="Arial"/>
                <w:sz w:val="14"/>
                <w:szCs w:val="14"/>
                <w:b w:val="1"/>
                <w:bCs w:val="1"/>
                <w:color w:val="auto"/>
                <w:w w:val="98"/>
              </w:rPr>
              <w:t>and GPNMB</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Over-Expression</w:t>
            </w: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Over-Expression</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6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CDX-011</w:t>
            </w:r>
          </w:p>
        </w:tc>
        <w:tc>
          <w:tcPr>
            <w:tcW w:w="6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IC</w:t>
            </w:r>
          </w:p>
        </w:tc>
        <w:tc>
          <w:tcPr>
            <w:tcW w:w="220" w:type="dxa"/>
            <w:vAlign w:val="bottom"/>
          </w:tcPr>
          <w:p>
            <w:pPr>
              <w:spacing w:after="0"/>
              <w:rPr>
                <w:sz w:val="12"/>
                <w:szCs w:val="12"/>
                <w:color w:val="auto"/>
              </w:rPr>
            </w:pPr>
          </w:p>
        </w:tc>
        <w:tc>
          <w:tcPr>
            <w:tcW w:w="152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CDX-011</w:t>
            </w:r>
          </w:p>
        </w:tc>
        <w:tc>
          <w:tcPr>
            <w:tcW w:w="56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IC</w:t>
            </w:r>
          </w:p>
        </w:tc>
        <w:tc>
          <w:tcPr>
            <w:tcW w:w="2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CDX-011</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IC</w:t>
            </w:r>
          </w:p>
        </w:tc>
        <w:tc>
          <w:tcPr>
            <w:tcW w:w="200" w:type="dxa"/>
            <w:vAlign w:val="bottom"/>
          </w:tcPr>
          <w:p>
            <w:pPr>
              <w:spacing w:after="0"/>
              <w:rPr>
                <w:sz w:val="12"/>
                <w:szCs w:val="12"/>
                <w:color w:val="auto"/>
              </w:rPr>
            </w:pPr>
          </w:p>
        </w:tc>
        <w:tc>
          <w:tcPr>
            <w:tcW w:w="15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CDX-011</w:t>
            </w:r>
          </w:p>
        </w:tc>
        <w:tc>
          <w:tcPr>
            <w:tcW w:w="5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w w:val="99"/>
              </w:rPr>
              <w:t>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Median OS (months)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p=0.24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8"/>
                <w:szCs w:val="18"/>
                <w:color w:val="auto"/>
              </w:rPr>
              <w:t>p=0.30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p=0.18</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8"/>
                <w:szCs w:val="18"/>
                <w:color w:val="auto"/>
              </w:rPr>
              <w:t>p=0.003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p=0.38</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8"/>
                <w:szCs w:val="18"/>
                <w:color w:val="auto"/>
              </w:rPr>
              <w:t>p=0.43</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p=0.14</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8"/>
                <w:szCs w:val="18"/>
                <w:color w:val="auto"/>
              </w:rPr>
              <w:t>p=0.008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Analyses include all treated patients. Patients who initially received Investigator’s Choice (IC) and subsequently crossed over to receive glemba (n=15) are included in the PFS analysis for each treatment. These patients, with a median OS of 12.5 months, are assigned to the IC arm only for OS analysis. Median OS for the remaining IC patients who did not cross over is 5.4 months. When cross over patients are removed, median OS in patients with GPNMB over-expression is 10.0 months for glemba vs 5.2 months for IC (p=0.05) and median OS in triple negative patients with GPNMB over-expression is 10.0 months for glemba vs 5.2 months for IC (p=0.009).</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December 2012, we had our end of Phase 2b meeting with the FDA for our glemba program. Based on this meeting, we intend to initiate METRIC, a randomized, accelerated approval study of glemba in patients with triple negative breast cancer that over-express GPNMB in the fourth quarter of 2013. METRIC will be conducted in approximately 100 sites, primarily across the United States with additional sites in Canada and Australia.</w:t>
      </w:r>
    </w:p>
    <w:p>
      <w:pPr>
        <w:spacing w:after="0" w:line="16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In 2009, we completed enrollment of 117 patients in a Phase 1/2 open-label, multi-center, dose escalation</w:t>
      </w:r>
      <w:r>
        <w:rPr>
          <w:rFonts w:ascii="Arial" w:cs="Arial" w:eastAsia="Arial" w:hAnsi="Arial"/>
          <w:sz w:val="16"/>
          <w:szCs w:val="16"/>
          <w:b w:val="1"/>
          <w:bCs w:val="1"/>
          <w:color w:val="auto"/>
        </w:rPr>
        <w:t xml:space="preserve"> </w:t>
      </w:r>
      <w:r>
        <w:rPr>
          <w:rFonts w:ascii="Arial" w:cs="Arial" w:eastAsia="Arial" w:hAnsi="Arial"/>
          <w:sz w:val="16"/>
          <w:szCs w:val="16"/>
          <w:color w:val="auto"/>
        </w:rPr>
        <w:t>study to evaluate the safety, tolerability and pharmacokinetics of glemba for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6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intend to initially focus our resources on advancing glemba for the treatment of breast cancer while pursuing further development of glemba in melanoma and other indications that are known to express GPNMB.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Dense Deposit Disease, or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 10 years. Because DDD recurs in virtually all patients who receive a kidney transplant, transplantation is not a viable option for these patients. In animal models of DDD, CDX-1135 treatment showed evidence of reversal of kidney damage.</w:t>
      </w:r>
    </w:p>
    <w:p>
      <w:pPr>
        <w:spacing w:after="0" w:line="171"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Initial experience under an investigator sponsored IND indicated that CDX-1135 limits complement abnormalities in DDD. In 2011, we completed process development activities and in 2011 and 2012 we manufactured multiple runs of cGMP clinical drug product at our Fall River manufacturing facility in preparation for our pilot study. We initiated our pilot study of CDX-1135 to determine the appropriate dose and regimen for further clinical development based on safety, tolerability and biological activity. We anticipate presenting a program update in February 2014.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ectPr>
          <w:pgSz w:w="11900" w:h="16838" w:orient="portrait"/>
          <w:cols w:equalWidth="0" w:num="1">
            <w:col w:w="11420"/>
          </w:cols>
          <w:pgMar w:left="240" w:top="104" w:right="239" w:bottom="0" w:gutter="0" w:footer="0" w:header="0"/>
        </w:sectPr>
      </w:pPr>
    </w:p>
    <w:bookmarkStart w:id="13" w:name="page14"/>
    <w:bookmarkEnd w:id="13"/>
    <w:p>
      <w:pPr>
        <w:ind w:firstLine="648"/>
        <w:spacing w:after="0" w:line="288" w:lineRule="auto"/>
        <w:rPr>
          <w:sz w:val="20"/>
          <w:szCs w:val="20"/>
          <w:color w:val="auto"/>
        </w:rPr>
      </w:pPr>
      <w:r>
        <w:rPr>
          <w:rFonts w:ascii="Arial" w:cs="Arial" w:eastAsia="Arial" w:hAnsi="Arial"/>
          <w:sz w:val="16"/>
          <w:szCs w:val="16"/>
          <w:color w:val="auto"/>
        </w:rPr>
        <w:t>CDX-1127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for access to the UltiMab technology to develop and commercialize human antibodies to CD27. In</w:t>
      </w:r>
    </w:p>
    <w:p>
      <w:pPr>
        <w:ind w:right="20"/>
        <w:spacing w:after="0" w:line="277" w:lineRule="auto"/>
        <w:rPr>
          <w:sz w:val="20"/>
          <w:szCs w:val="20"/>
          <w:color w:val="auto"/>
        </w:rPr>
      </w:pPr>
      <w:r>
        <w:rPr>
          <w:rFonts w:ascii="Arial" w:cs="Arial" w:eastAsia="Arial" w:hAnsi="Arial"/>
          <w:sz w:val="17"/>
          <w:szCs w:val="17"/>
          <w:color w:val="auto"/>
        </w:rPr>
        <w:t>July 2013, the United States Patent and Trademark Office issued a patent to the University of Southampton, that we have exclusive license to under our license agreement, which broadly supports CDX-1127. The patent includes 18 claims covering various methods of treating cancer using agonistic anti-human CD27 antibodies and relates, among other things, directly to our CD27 antibody program and therapeutic uses of CDX-1127.</w:t>
      </w:r>
    </w:p>
    <w:p>
      <w:pPr>
        <w:spacing w:after="0" w:line="17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tumor-bearing mice and to directly kill or inhibit the growth of CD27 expressing lymphomas and leukemias in vitro and in vivo. Both mechanisms have been seen even at low doses in appropriate preclinical models.</w:t>
      </w:r>
    </w:p>
    <w:p>
      <w:pPr>
        <w:spacing w:after="0" w:line="154"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In November 2013 at the Society for Immunotherapy of Cancer (SITC) Annual Meeting, we reported data from our ongoing Phase 1 dose-escalation study. The results suggest a favorable safety profile with no evidence of immune related toxicities. Clear biologic activity and promising signs of clinical activity were demonstrated in an advanced, refractory patient population including a complete response in Hodgkin disease, two additional patients with significant tumor shrinkage and eight patients with stable disease or better (PFS range of 3.0 to 14+ months). No maximum tolerated dose was reached to date and immune monitoring data in patients confirmed CDX-1127’s mechanism of action. After we complete the dose-escalation study and corresponding expansion cohorts, we intend to initiate additional studies of CDX-1127, with an initial focus on combination studies.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CDX-301 is a FMS-like tyrosine kinase 3 ligand, or Flt3L, stem cell mobilizer and dendritic cell growth factor. We licensed CDX-301 from Amgen Inc.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Based on the safety profile and the increases observed for CD34+ stem cells and dendritic cells, we plan to initiate a pilot clinical study of CDX-301 in hematopoietic stem cell transplant in early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October 2012, we announced results from a dose-escalating, multi-center, Phase 1 study that evaluated three different doses of CDX-1401 in combination with toll-like receptor agonists poly-ICLC or Hiltonol™ and/or R848 or resiquimod. In total, the study enrolled 45 patients with advanced malignancies that had progressed after any available curative and/or salvage therapies. 60% of patients had confirmed NY-ESO expression in archived tumor sample. Thirteen patients maintained stable disease for up to 13.4 months with a median of 6.7 months. Treatment was well-tolerated and there were no dose limiting toxicities. Humoral responses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The study has identified a well-tolerated and immunogenic regimen to take forward into the future studies. We are planning a collaborative Phase 2 study of CDX-1401 in combination with CDX-301 in malignant melanoma. This study will be conducted under a cooperative research and development agreement with the Cancer Immunotherapy Trials Network and the Cancer Therapy Evaluation Program of the National Cancer Institute.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CDX-014 is a fully-human monoclonal ADC that targets TIM-1, a molecule that is highly expressed on renal and ovarian cancers with minimal expression in normal tissues. The antibody, CDX-014,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are conducting proof-of-concept studies in 2013 to optimize the drug candidate to move into future manufacturing and IND-enabling studies.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ectPr>
          <w:pgSz w:w="11900" w:h="16838" w:orient="portrait"/>
          <w:cols w:equalWidth="0" w:num="1">
            <w:col w:w="11420"/>
          </w:cols>
          <w:pgMar w:left="240" w:top="125" w:right="239" w:bottom="104" w:gutter="0" w:footer="0" w:header="0"/>
        </w:sectPr>
      </w:pPr>
    </w:p>
    <w:bookmarkStart w:id="14" w:name="page15"/>
    <w:bookmarkEnd w:id="14"/>
    <w:p>
      <w:pPr>
        <w:ind w:right="14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2012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2013 compared with Three Months Ended September 30,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Increase/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(Decrease)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6"/>
          </w:tcPr>
          <w:p>
            <w:pPr>
              <w:jc w:val="right"/>
              <w:ind w:right="1140"/>
              <w:spacing w:after="0" w:line="142"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2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(3,006)</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Royalty</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(3,006)</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24,249</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2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Operating Loss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8,518</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$8.1 million increase in net loss for the three months ended September 30, 2013 compared to the three months ended September 30, 2012 was primarily the result of an increase in research and development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80" w:firstLine="648"/>
        <w:spacing w:after="0" w:line="238" w:lineRule="auto"/>
        <w:rPr>
          <w:sz w:val="20"/>
          <w:szCs w:val="20"/>
          <w:color w:val="auto"/>
        </w:rPr>
      </w:pPr>
      <w:r>
        <w:rPr>
          <w:rFonts w:ascii="Arial" w:cs="Arial" w:eastAsia="Arial" w:hAnsi="Arial"/>
          <w:sz w:val="18"/>
          <w:szCs w:val="18"/>
          <w:color w:val="auto"/>
        </w:rPr>
        <w:t>The $3.0 million decrease in product royalty revenue for the three months ended September 30, 2013 compared to the three months ended September 30, 2012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Paul Royalty Fund II, L.P., or PRF, and which is equal to the amount payable to Cincinnati Children’s Hospital Medical Center, or CCH, and recognized in royalty expense by us. Our agreement with GlaxoSmithKline plc, or Glaxo, terminated automatically upon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expiration of the last relevant patent right covered by the Glaxo agreement. We do not expect additional Rotarix royalty revenue. The $0.9 million increase in contracts and grants revenue for the three months ended September 30, 2013 compared to the three months ended September 30, 2012 was primarily related to our Rockefeller University agreement pursuant to which we perform research and development services for Rockefeller. The agreement includes an approved project plan for the development services of $4.8 million and a term of three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center"/>
              <w:ind w:right="578"/>
              <w:spacing w:after="0"/>
              <w:rPr>
                <w:sz w:val="20"/>
                <w:szCs w:val="20"/>
                <w:color w:val="auto"/>
              </w:rPr>
            </w:pPr>
            <w:r>
              <w:rPr>
                <w:rFonts w:ascii="Arial" w:cs="Arial" w:eastAsia="Arial" w:hAnsi="Arial"/>
                <w:sz w:val="14"/>
                <w:szCs w:val="14"/>
                <w:b w:val="1"/>
                <w:bCs w:val="1"/>
                <w:color w:val="auto"/>
                <w:w w:val="92"/>
              </w:rPr>
              <w:t>Increase/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center"/>
              <w:ind w:right="578"/>
              <w:spacing w:after="0"/>
              <w:rPr>
                <w:sz w:val="20"/>
                <w:szCs w:val="20"/>
                <w:color w:val="auto"/>
              </w:rPr>
            </w:pPr>
            <w:r>
              <w:rPr>
                <w:rFonts w:ascii="Arial" w:cs="Arial" w:eastAsia="Arial" w:hAnsi="Arial"/>
                <w:sz w:val="14"/>
                <w:szCs w:val="14"/>
                <w:b w:val="1"/>
                <w:bCs w:val="1"/>
                <w:color w:val="auto"/>
                <w:w w:val="89"/>
              </w:rPr>
              <w:t>(Decrease)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578"/>
              <w:spacing w:after="0" w:line="142" w:lineRule="exact"/>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4,999</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3,285</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1,714</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Laboratory Supplies</w:t>
            </w: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968</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480" w:type="dxa"/>
            <w:vAlign w:val="bottom"/>
          </w:tcPr>
          <w:p>
            <w:pPr>
              <w:spacing w:after="0"/>
              <w:rPr>
                <w:sz w:val="18"/>
                <w:szCs w:val="18"/>
                <w:color w:val="auto"/>
              </w:rPr>
            </w:pPr>
          </w:p>
        </w:tc>
        <w:tc>
          <w:tcPr>
            <w:tcW w:w="1340" w:type="dxa"/>
            <w:vAlign w:val="bottom"/>
          </w:tcPr>
          <w:p>
            <w:pPr>
              <w:jc w:val="right"/>
              <w:ind w:right="238"/>
              <w:spacing w:after="0"/>
              <w:rPr>
                <w:sz w:val="20"/>
                <w:szCs w:val="20"/>
                <w:color w:val="auto"/>
              </w:rPr>
            </w:pPr>
            <w:r>
              <w:rPr>
                <w:rFonts w:ascii="Arial" w:cs="Arial" w:eastAsia="Arial" w:hAnsi="Arial"/>
                <w:sz w:val="18"/>
                <w:szCs w:val="18"/>
                <w:color w:val="auto"/>
              </w:rPr>
              <w:t>425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1,110</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1,104</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6</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Product Development</w:t>
            </w: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jc w:val="right"/>
              <w:ind w:right="76"/>
              <w:spacing w:after="0"/>
              <w:rPr>
                <w:sz w:val="20"/>
                <w:szCs w:val="20"/>
                <w:color w:val="auto"/>
              </w:rPr>
            </w:pPr>
            <w:r>
              <w:rPr>
                <w:rFonts w:ascii="Arial" w:cs="Arial" w:eastAsia="Arial" w:hAnsi="Arial"/>
                <w:sz w:val="18"/>
                <w:szCs w:val="18"/>
                <w:color w:val="auto"/>
                <w:w w:val="90"/>
              </w:rPr>
              <w:t>12,447</w:t>
            </w:r>
          </w:p>
        </w:tc>
        <w:tc>
          <w:tcPr>
            <w:tcW w:w="6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5,966</w:t>
            </w:r>
          </w:p>
        </w:tc>
        <w:tc>
          <w:tcPr>
            <w:tcW w:w="480" w:type="dxa"/>
            <w:vAlign w:val="bottom"/>
          </w:tcPr>
          <w:p>
            <w:pPr>
              <w:spacing w:after="0"/>
              <w:rPr>
                <w:sz w:val="20"/>
                <w:szCs w:val="20"/>
                <w:color w:val="auto"/>
              </w:rPr>
            </w:pPr>
          </w:p>
        </w:tc>
        <w:tc>
          <w:tcPr>
            <w:tcW w:w="1340" w:type="dxa"/>
            <w:vAlign w:val="bottom"/>
          </w:tcPr>
          <w:p>
            <w:pPr>
              <w:jc w:val="right"/>
              <w:ind w:right="238"/>
              <w:spacing w:after="0"/>
              <w:rPr>
                <w:sz w:val="20"/>
                <w:szCs w:val="20"/>
                <w:color w:val="auto"/>
              </w:rPr>
            </w:pPr>
            <w:r>
              <w:rPr>
                <w:rFonts w:ascii="Arial" w:cs="Arial" w:eastAsia="Arial" w:hAnsi="Arial"/>
                <w:sz w:val="18"/>
                <w:szCs w:val="18"/>
                <w:color w:val="auto"/>
              </w:rPr>
              <w:t>6,481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r>
    </w:tbl>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$1.7 million increase in personnel expenses for the three months ended September 30, 2013 compared to the three months ended September 30, 2012 was primarily due to higher stock-based compensation of $1.0 million and increased headcount. We expect personnel expenses to increase over the next twelve months as we plan to continue to increase our headcount, primarily to support our rindopepimut and glemba programs.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$0.4 million increase in laboratory supply expense for the three months ended September 30, 2013 compared to the three months ended September 30, 2012 was primarily due to higher manufacturing supply purchases. We expect supply expenses to remain relatively consistent over the next twelve months, although there may be fluctuations on a quarterly basis.</w:t>
      </w:r>
    </w:p>
    <w:p>
      <w:pPr>
        <w:spacing w:after="0" w:line="18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Facility expenses for the three months ended September 30, 2013 were relatively consistent as compared to the three months ended September 30, 2012. We expect</w:t>
      </w:r>
    </w:p>
    <w:p>
      <w:pPr>
        <w:sectPr>
          <w:pgSz w:w="11900" w:h="16838" w:orient="portrait"/>
          <w:cols w:equalWidth="0" w:num="1">
            <w:col w:w="11420"/>
          </w:cols>
          <w:pgMar w:left="240" w:top="125" w:right="239" w:bottom="0" w:gutter="0" w:footer="0" w:header="0"/>
        </w:sectPr>
      </w:pPr>
    </w:p>
    <w:bookmarkStart w:id="15" w:name="page16"/>
    <w:bookmarkEnd w:id="15"/>
    <w:p>
      <w:pPr>
        <w:ind w:right="840"/>
        <w:spacing w:after="0" w:line="277" w:lineRule="auto"/>
        <w:rPr>
          <w:sz w:val="20"/>
          <w:szCs w:val="20"/>
          <w:color w:val="auto"/>
        </w:rPr>
      </w:pPr>
      <w:r>
        <w:rPr>
          <w:rFonts w:ascii="Arial" w:cs="Arial" w:eastAsia="Arial" w:hAnsi="Arial"/>
          <w:sz w:val="18"/>
          <w:szCs w:val="18"/>
          <w:color w:val="auto"/>
        </w:rPr>
        <w:t>facility expenses to increase over the next twelve months primarily related to the amortization of leasehold improvements being made at our future headquarters facility in Hampton, New Jersey.</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$6.5 million increase in product development expenses for the three months ended September 30, 2013 compared to the three months ended September 30, 2012 was primarily the result of an increase in clinical trial costs and contract manufacturing of</w:t>
      </w:r>
    </w:p>
    <w:p>
      <w:pPr>
        <w:ind w:right="40"/>
        <w:spacing w:after="0" w:line="255" w:lineRule="auto"/>
        <w:rPr>
          <w:sz w:val="20"/>
          <w:szCs w:val="20"/>
          <w:color w:val="auto"/>
        </w:rPr>
      </w:pPr>
      <w:r>
        <w:rPr>
          <w:rFonts w:ascii="Arial" w:cs="Arial" w:eastAsia="Arial" w:hAnsi="Arial"/>
          <w:sz w:val="18"/>
          <w:szCs w:val="18"/>
          <w:color w:val="auto"/>
        </w:rPr>
        <w:t>$3.1 million and $3.3 million, respectively, primarily related to our rindopepimut and glemba programs. We expect product development expenses to increase over the next twelve months primarily due to the increase in clinical trial and contract manufacturing expenses related to our rindopepimut and glemba programs, although there may be fluctuations on a quarterly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20" w:firstLine="648"/>
        <w:spacing w:after="0" w:line="224" w:lineRule="auto"/>
        <w:rPr>
          <w:sz w:val="20"/>
          <w:szCs w:val="20"/>
          <w:color w:val="auto"/>
        </w:rPr>
      </w:pPr>
      <w:r>
        <w:rPr>
          <w:rFonts w:ascii="Arial" w:cs="Arial" w:eastAsia="Arial" w:hAnsi="Arial"/>
          <w:sz w:val="17"/>
          <w:szCs w:val="17"/>
          <w:color w:val="auto"/>
        </w:rPr>
        <w:t>Royalty expenses include product royalty and sublicense royalty fees on our out-licensed programs. The $3.0 million decrease in royalty expenses for the three months ended September 30, 2013 compared to the three months ended September 30, 2012 was due to a decrease in Rotarix</w:t>
      </w:r>
      <w:r>
        <w:rPr>
          <w:rFonts w:ascii="Arial" w:cs="Arial" w:eastAsia="Arial" w:hAnsi="Arial"/>
          <w:sz w:val="34"/>
          <w:szCs w:val="34"/>
          <w:color w:val="auto"/>
          <w:vertAlign w:val="superscript"/>
        </w:rPr>
        <w:t>®</w:t>
      </w:r>
      <w:r>
        <w:rPr>
          <w:rFonts w:ascii="Arial" w:cs="Arial" w:eastAsia="Arial" w:hAnsi="Arial"/>
          <w:sz w:val="17"/>
          <w:szCs w:val="17"/>
          <w:color w:val="auto"/>
        </w:rPr>
        <w:t xml:space="preserve"> related royalty fees. Our retained interests in Rotarix</w:t>
      </w:r>
      <w:r>
        <w:rPr>
          <w:rFonts w:ascii="Arial" w:cs="Arial" w:eastAsia="Arial" w:hAnsi="Arial"/>
          <w:sz w:val="34"/>
          <w:szCs w:val="34"/>
          <w:color w:val="auto"/>
          <w:vertAlign w:val="superscript"/>
        </w:rPr>
        <w:t>®</w:t>
      </w:r>
      <w:r>
        <w:rPr>
          <w:rFonts w:ascii="Arial" w:cs="Arial" w:eastAsia="Arial" w:hAnsi="Arial"/>
          <w:sz w:val="17"/>
          <w:szCs w:val="17"/>
          <w:color w:val="auto"/>
        </w:rPr>
        <w:t xml:space="preserve"> net royalties which were not sold to PRF are recorded as product royalty revenue and a corresponding amount that is payable to CCH is recorded as royalty expense. The Glaxo agreement terminated automatically upon the expiration of the last relevant patent right covered by the Glaxo agreement. We do not expect any more Rotarix royalty expense related to the Glaxo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$0.7 million increase in general and administrative expenses for the three months ended September 30, 2013 compared to the three months ended September 30, 2012 was primarily due to higher stock-based compensation of $0.5 million and increased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headcount. We expect general and administrative expense to increase over the next twelve months primarily due to increased commercial planning efforts for rindopepimut and glemba, although there may be fluctuations on a quarterly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Amortization expenses for the three months ended September 30, 2013 were relatively consistent compared to the three months ended September 30, 2012. We expect amortization expense of acquired intangible assets to remain relatively consistent over the next twelve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Investment and other income, net for the three months ended September 30, 2013 was relatively consistent as compared to the three months ended September 30, 2012. We anticipate investment income to remain relatively consistent over the next twelve months, although there may be fluctuations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$0.4 million decrease in interest expense for the three months ended September 30, 2013 compared to the three months ended September 30, 2012 was due to our election in May 2013 to prepay the Term Loan in full, pursuant to the terms of our Loan Agreement. We anticipate interest expense to to remain relatively consistent over the next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compared with Nine Months Ended September 30,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(Decrease)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53"/>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 )</w:t>
            </w: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7,224</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(4,890)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49,597</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33,650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15,947</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Royalty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7,224</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(4,890)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7,372</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2,756</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836</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(59,328)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(41,527)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17,801</w:t>
            </w:r>
          </w:p>
        </w:tc>
        <w:tc>
          <w:tcPr>
            <w:tcW w:w="3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(1,225)</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$17.2 million increase in net loss for the nine months ended September 30, 2013 compared to the nine months ended September 30, 2012 was primarily the result of an increase in research and development and general and administrative expenses.</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w:t>
      </w:r>
    </w:p>
    <w:p>
      <w:pPr>
        <w:sectPr>
          <w:pgSz w:w="11900" w:h="16838" w:orient="portrait"/>
          <w:cols w:equalWidth="0" w:num="1">
            <w:col w:w="11420"/>
          </w:cols>
          <w:pgMar w:left="240" w:top="125" w:right="239" w:bottom="0" w:gutter="0" w:footer="0" w:header="0"/>
          <w:type w:val="continuous"/>
        </w:sectPr>
      </w:pPr>
    </w:p>
    <w:bookmarkStart w:id="16" w:name="page17"/>
    <w:bookmarkEnd w:id="16"/>
    <w:p>
      <w:pPr>
        <w:spacing w:after="0" w:line="11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The $4.9 million decrease in product royalty revenue for the nine months ended September 30, 2013 compared to the nine months ended</w:t>
      </w:r>
    </w:p>
    <w:p>
      <w:pPr>
        <w:ind w:right="260"/>
        <w:spacing w:after="0" w:line="215" w:lineRule="auto"/>
        <w:rPr>
          <w:sz w:val="20"/>
          <w:szCs w:val="20"/>
          <w:color w:val="auto"/>
        </w:rPr>
      </w:pPr>
      <w:r>
        <w:rPr>
          <w:rFonts w:ascii="Arial" w:cs="Arial" w:eastAsia="Arial" w:hAnsi="Arial"/>
          <w:sz w:val="17"/>
          <w:szCs w:val="17"/>
          <w:color w:val="auto"/>
        </w:rPr>
        <w:t>September 30, 2012 was related to our retained interests in Rotarix</w:t>
      </w:r>
      <w:r>
        <w:rPr>
          <w:rFonts w:ascii="Arial" w:cs="Arial" w:eastAsia="Arial" w:hAnsi="Arial"/>
          <w:sz w:val="34"/>
          <w:szCs w:val="34"/>
          <w:color w:val="auto"/>
          <w:vertAlign w:val="superscript"/>
        </w:rPr>
        <w:t>®</w:t>
      </w:r>
      <w:r>
        <w:rPr>
          <w:rFonts w:ascii="Arial" w:cs="Arial" w:eastAsia="Arial" w:hAnsi="Arial"/>
          <w:sz w:val="17"/>
          <w:szCs w:val="17"/>
          <w:color w:val="auto"/>
        </w:rPr>
        <w:t xml:space="preserve"> net royalties which were not sold to PRF and which is equal to the amount payable to CCH and recognized in royalty expense by us. The $0.8 million increase in contracts and grants revenue for the nine months ended September 30, 2013 compared to the nine months ended Spetember 30, 2012 was related to our Rockefeller University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3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89"/>
              </w:rPr>
              <w:t>(Decrease)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3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r>
      <w:tr>
        <w:trPr>
          <w:trHeight w:val="142"/>
        </w:trPr>
        <w:tc>
          <w:tcPr>
            <w:tcW w:w="3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4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0"/>
              </w:rPr>
              <w:t>12,617</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9,923</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2,694</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Laboratory Supplies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2,609</w:t>
            </w:r>
          </w:p>
        </w:tc>
        <w:tc>
          <w:tcPr>
            <w:tcW w:w="6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1,504</w:t>
            </w:r>
          </w:p>
        </w:tc>
        <w:tc>
          <w:tcPr>
            <w:tcW w:w="460" w:type="dxa"/>
            <w:vAlign w:val="bottom"/>
          </w:tcPr>
          <w:p>
            <w:pPr>
              <w:spacing w:after="0"/>
              <w:rPr>
                <w:sz w:val="18"/>
                <w:szCs w:val="18"/>
                <w:color w:val="auto"/>
              </w:rPr>
            </w:pPr>
          </w:p>
        </w:tc>
        <w:tc>
          <w:tcPr>
            <w:tcW w:w="1380" w:type="dxa"/>
            <w:vAlign w:val="bottom"/>
          </w:tcPr>
          <w:p>
            <w:pPr>
              <w:jc w:val="right"/>
              <w:ind w:right="258"/>
              <w:spacing w:after="0"/>
              <w:rPr>
                <w:sz w:val="20"/>
                <w:szCs w:val="20"/>
                <w:color w:val="auto"/>
              </w:rPr>
            </w:pPr>
            <w:r>
              <w:rPr>
                <w:rFonts w:ascii="Arial" w:cs="Arial" w:eastAsia="Arial" w:hAnsi="Arial"/>
                <w:sz w:val="18"/>
                <w:szCs w:val="18"/>
                <w:color w:val="auto"/>
              </w:rPr>
              <w:t>1,105</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3,369</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3,405</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(36)</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Product Development</w:t>
            </w: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w w:val="90"/>
              </w:rPr>
              <w:t>28,831</w:t>
            </w:r>
          </w:p>
        </w:tc>
        <w:tc>
          <w:tcPr>
            <w:tcW w:w="6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16,642</w:t>
            </w:r>
          </w:p>
        </w:tc>
        <w:tc>
          <w:tcPr>
            <w:tcW w:w="460" w:type="dxa"/>
            <w:vAlign w:val="bottom"/>
          </w:tcPr>
          <w:p>
            <w:pPr>
              <w:spacing w:after="0"/>
              <w:rPr>
                <w:sz w:val="20"/>
                <w:szCs w:val="20"/>
                <w:color w:val="auto"/>
              </w:rPr>
            </w:pPr>
          </w:p>
        </w:tc>
        <w:tc>
          <w:tcPr>
            <w:tcW w:w="1380" w:type="dxa"/>
            <w:vAlign w:val="bottom"/>
          </w:tcPr>
          <w:p>
            <w:pPr>
              <w:jc w:val="right"/>
              <w:ind w:right="258"/>
              <w:spacing w:after="0"/>
              <w:rPr>
                <w:sz w:val="20"/>
                <w:szCs w:val="20"/>
                <w:color w:val="auto"/>
              </w:rPr>
            </w:pPr>
            <w:r>
              <w:rPr>
                <w:rFonts w:ascii="Arial" w:cs="Arial" w:eastAsia="Arial" w:hAnsi="Arial"/>
                <w:sz w:val="18"/>
                <w:szCs w:val="18"/>
                <w:color w:val="auto"/>
              </w:rPr>
              <w:t>12,189</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r>
    </w:tbl>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$2.7 million increase in personnel expenses for the nine months ended September 30, 2013 compared to the nine months ended September 30, 2012 was primarily due to higher stock-based compensation of $1.2 million and increased headcount.</w:t>
      </w:r>
    </w:p>
    <w:p>
      <w:pPr>
        <w:spacing w:after="0" w:line="170"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$1.1 million increase in laboratory supply expense for the nine months ended September 30, 2013 compared to the nine months ended September 30, 2012 was primarily due to higher manufacturing supply purchases.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Facility expenses for the nine months ended September 30, 2013 were relatively consistent as compared to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$12.2 million increase in product development expenses for the nine months ended September 30, 2013 compared to the nine months ended September 30, 2012 was primarily the result of an increase in clinical trial costs and contract manufacturing of $7.1 million and $5.0 million, respectively, primarily related to our rindopepimut and glemba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360" w:firstLine="648"/>
        <w:spacing w:after="0" w:line="247" w:lineRule="auto"/>
        <w:rPr>
          <w:sz w:val="20"/>
          <w:szCs w:val="20"/>
          <w:color w:val="auto"/>
        </w:rPr>
      </w:pPr>
      <w:r>
        <w:rPr>
          <w:rFonts w:ascii="Arial" w:cs="Arial" w:eastAsia="Arial" w:hAnsi="Arial"/>
          <w:sz w:val="18"/>
          <w:szCs w:val="18"/>
          <w:color w:val="auto"/>
        </w:rPr>
        <w:t>The $4.9 million decrease in royalty expenses for the nine months ended September 30, 2013 compared to the nine months ended September 30, 2012 was due to a decrease in Rotarix</w:t>
      </w:r>
      <w:r>
        <w:rPr>
          <w:rFonts w:ascii="Arial" w:cs="Arial" w:eastAsia="Arial" w:hAnsi="Arial"/>
          <w:sz w:val="36"/>
          <w:szCs w:val="36"/>
          <w:color w:val="auto"/>
          <w:vertAlign w:val="superscript"/>
        </w:rPr>
        <w:t>®</w:t>
      </w:r>
      <w:r>
        <w:rPr>
          <w:rFonts w:ascii="Arial" w:cs="Arial" w:eastAsia="Arial" w:hAnsi="Arial"/>
          <w:sz w:val="18"/>
          <w:szCs w:val="18"/>
          <w:color w:val="auto"/>
        </w:rPr>
        <w:t xml:space="preserve"> related royalty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$2.8 million increase in general and administrative expenses for the nine months ended September 30, 2013 compared to the nine months ended September 30, 2012 was primarily due to higher stock-based compensation of $0.6 million, increased headcount and rindopepimut-related commercial planning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The $0.1 million decrease in amortization expenses for the nine months ended September 30, 2013 compared to the nine months ended September 30, 2012 was due to certain intangible assets becoming fully amortized during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$0.2 million increase in investment and other income, net for the nine months ended September 30, 2013 was primarily due to higher levels of cash, cash equivalents and marketable securities compared to the nine months ended September 30, 2012 and us recognizing $0.2 million and $0.1 million in other income related to the sale of New Jersey tax benefits during the nine months ended September 30, 2013 and 2012,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$0.4 million decrease in interest expense for the nine months ended September 30, 2013 compared to the nine months ended September 30, 2012 was primarily due to our election in May 2013 to prepay the Term Loan in full, pursuant to the terms of our Loan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w:t>
      </w:r>
    </w:p>
    <w:p>
      <w:pPr>
        <w:sectPr>
          <w:pgSz w:w="11900" w:h="16948" w:orient="portrait"/>
          <w:cols w:equalWidth="0" w:num="1">
            <w:col w:w="11420"/>
          </w:cols>
          <w:pgMar w:left="240" w:top="312" w:right="239" w:bottom="0" w:gutter="0" w:footer="0" w:header="0"/>
        </w:sectPr>
      </w:pPr>
    </w:p>
    <w:bookmarkStart w:id="17" w:name="page18"/>
    <w:bookmarkEnd w:id="17"/>
    <w:p>
      <w:pPr>
        <w:spacing w:after="0" w:line="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At September 30, 2013, our principal sources of liquidity consisted of cash, cash equivalents and marketable securities of $136.6 million. Our working capital at September 30, 2013 was $123.2 million. We incurred a loss of $59.5 million for the nine months ended September 30, 2013. Net cash used in operations for the nine months ended September 30, 2013 was $52.7 million. We believe that the cash, cash equivalents and marketable securities at September 30, 2013 are sufficient to fund planned operations into late 2015. Expected cash burn has increased as a result of our recent expansion of the ReACT study, the planned initiation of the METRIC study and our substantial expansion of manufacturing activities with our commercial suppliers to support our pivotal studies in rindopepimut and glemba.</w:t>
      </w:r>
    </w:p>
    <w:p>
      <w:pPr>
        <w:spacing w:after="0" w:line="193"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operating activities was $52.7 million for the nine months ended September 30, 2013 compared to $36.5 million for the nine months ended September 30, 2012. The increase in net cash used in operating activities was primarily due to an increase in net loss of $17.2 million and changes in working capital. We expect that cash used in operations will continue to increase over the next twelve months primarily related to costs incurred on our rindopepimut and glemba programs, although there may be fluctuations on a quarterly basis.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Net cash used in investing activities was $63.6 million for the nine months ended September 30, 2013 compared to $12.4 million for the nine months ended September 30, 2012. The increase in net cash used in investing activities was primarily due to net purchases of marketable securities for the nine months ended September 30, 2013 of $61.7 million as compared to $12.5 million for the nine months ended September 30, 2012.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Net cash provided by financing activities was $106.0 million for the nine months ended September 30, 2013 compared to $60.2 million for the nine months ended September 30, 2012. Net proceeds from stock issuances, including stock issued pursuant to employee benefit plans, were $117.1 million during the nine months ended September 30, 2013 compared to $62.9 million for the nine months ended September 30, 2012. We paid $11.0 million in principal payments on our Term Loan during the nine months ended September 30, 2013 compared to $2.6 million for the nine months ended September 30, 2012.</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May 2013, pursuant to the terms of our Loan Agreement, we elected to prepay our Term Loan in full and paid $8.8 million in principal and $0.7 million in interest, prepayment and final payment fees. The Term Loan would have otherwise matured in December 2014. By prepaying the term loan in May 2013, we saved approximately $0.5 million in interest costs (net of prepayment fees) which would have been payable over the remaining term of the loan. Our obligations under the Loan Agreement had been secured by a first priority security interest in substantially all of its assets, other than its intellectual property. In connection with the repayment of the Term Loan and the termination of the Loan Agreement, those security interests were released.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April 2010, we filed a shelf registration statement with the Securities and Exchange Commission to register for sale any combination of the types of securities described in the shelf registration statement up to a dollar amount of $150 million. The shelf registration went effective on April 22, 2010. In December 2012, we filed a new shelf registration statement with the Securities and Exchange Commission to register for sale any combination of the types of securities described in the new shelf registration statement up to a dollar amount of $200 million. The new shelf registration went effective on January 16, 2013.</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2011, we entered into a controlled equity offering sales agreement with Cantor Fitzgerald &amp; Co. pursuant to which we could issue and sell up to 5,000,000 shares of our common stock from time to time through Cantor, acting as agent. During the nine months ended September 30, 2012, we issued 4,425,000 shares of common stock under the Cantor agreement and raised $19.0 million in net proceeds.</w:t>
      </w:r>
    </w:p>
    <w:p>
      <w:pPr>
        <w:spacing w:after="0" w:line="18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September 2012, we amended the Cantor agreement to allow us to issue and sell additional shares of our common stock having an aggregate offering price of up to $44.0 million. Under the Cantor amendment, we will pay Cantor a fixed commission rate of 3.0% of the gross sales price per share of any common stock sold through Cantor. The Cantor amendment terminates upon ten day notice by either Cantor or us. During the nine months ended September 30, 2013, we issued 2,433,608 shares under the Cantor amendment and raised $17.1 million in net proceeds. At September 30, 2013, we had $4.4 million remaining in aggregate offering price available under the Cantor amendment.</w:t>
      </w:r>
    </w:p>
    <w:p>
      <w:pPr>
        <w:sectPr>
          <w:pgSz w:w="11900" w:h="16859" w:orient="portrait"/>
          <w:cols w:equalWidth="0" w:num="1">
            <w:col w:w="11420"/>
          </w:cols>
          <w:pgMar w:left="240" w:top="125" w:right="239" w:bottom="0" w:gutter="0" w:footer="0" w:header="0"/>
        </w:sectPr>
      </w:pPr>
    </w:p>
    <w:bookmarkStart w:id="18" w:name="page19"/>
    <w:bookmarkEnd w:id="18"/>
    <w:p>
      <w:pPr>
        <w:ind w:right="120" w:firstLine="648"/>
        <w:spacing w:after="0" w:line="264" w:lineRule="auto"/>
        <w:rPr>
          <w:sz w:val="20"/>
          <w:szCs w:val="20"/>
          <w:color w:val="auto"/>
        </w:rPr>
      </w:pPr>
      <w:r>
        <w:rPr>
          <w:rFonts w:ascii="Arial" w:cs="Arial" w:eastAsia="Arial" w:hAnsi="Arial"/>
          <w:sz w:val="18"/>
          <w:szCs w:val="18"/>
          <w:color w:val="auto"/>
        </w:rPr>
        <w:t>During the nine months ended September 30, 2012, we issued 12,075,000 shares of our common stock in an underwritten public offering, including the underwriter’s exercise of their full over-allotment option to purchase an additional 1,575,000 shares of common stock. The net proceeds to us were $43.4 million, after deducting underwriting fees and offering expenses.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nine months ended September 30, 2013, we issued 13,800,000 shares of our common stock in an underwritten public offering, including the underwriter’s exercise of their full over-allotment option to purchase an additional 1,800,000 shares of common stock. The net proceeds to us were $97.0 million, after deducting underwriting fees and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2012 which was filed with the SEC on March 8, 2013 have not materially changed since we filed that report.</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May 2013, we entered into a lease agreement (the “Lease”) with Crown Perryville, LLC., as Landlord, pursuant to which we will lease approximately 33,000 square feet of office space in Hampton, New Jersey for use as an office and laboratory. The Lease has a five-year, five-month term which will commence on the later of November 15, 2013 or the date on which the alterations are substantially complete and a Certificate of Occupancy is issued. Our obligation to pay rent commences five months after the lease commencement date. The annual rent obligations increase from $0.4 million in the first year to $0.5 million in the fifth year. The Lease includes two renewal options of five years each.</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May 2013, we elected to prepay the Term Loan in full, pursuant to the terms of the Loan Agreement, and paid $8.8 million in principal and $0.7 million in interest, prepayment and final payment fees.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September 30, 2013 due to the short-term maturities of these instruments.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2013,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2013.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2013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2012,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ectPr>
          <w:pgSz w:w="11900" w:h="16838" w:orient="portrait"/>
          <w:cols w:equalWidth="0" w:num="1">
            <w:col w:w="11420"/>
          </w:cols>
          <w:pgMar w:left="240" w:top="341" w:right="239" w:bottom="63" w:gutter="0" w:footer="0" w:header="0"/>
        </w:sectPr>
      </w:pPr>
    </w:p>
    <w:bookmarkStart w:id="19" w:name="page20"/>
    <w:bookmarkEnd w:id="19"/>
    <w:p>
      <w:pPr>
        <w:spacing w:after="0" w:line="1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8,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424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Item 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4700"/>
              <w:spacing w:after="0"/>
              <w:rPr>
                <w:sz w:val="20"/>
                <w:szCs w:val="20"/>
                <w:color w:val="auto"/>
              </w:rPr>
            </w:pPr>
            <w:r>
              <w:rPr>
                <w:rFonts w:ascii="Arial" w:cs="Arial" w:eastAsia="Arial" w:hAnsi="Arial"/>
                <w:sz w:val="14"/>
                <w:szCs w:val="14"/>
                <w:b w:val="1"/>
                <w:bCs w:val="1"/>
                <w:color w:val="auto"/>
              </w:rPr>
              <w:t>Exhibits</w:t>
            </w: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S-4 (Reg. No. 333-59215), filed July 16, 1998 with the Securities and Exchange</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Commission.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9"/>
              </w:rPr>
              <w:t>Second Certificate of Amendment of Third Restated Certificate of Incorporation of the Company, incorporated by reference to</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Exhibit 3.2 of the Company’s Registration Statement on Form S-4 (Reg. No. 333-59215), filed July 16, 1998 with the Securities and</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Exchange Commission.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Quarterly Report on Form 10-Q, filed November 10, 2008 with the Securities and Exchange Commission.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7"/>
              </w:rPr>
              <w:t>Amendment No. 2 to Shareholder Rights Agreement dated November 5, 2004, between the Company and Computershare Trust</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Company, N.A. (formerly EquiServe Trust Company, N.A.), as Rights Agent, incorporated by reference to Exhibit 10.1 of the</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8-A1G/A, filed on March 7, 2008 with the Securities and Exchange Commission.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-4469130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-4469130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0" w:hanging="383"/>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38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780" w:right="140" w:hanging="383"/>
        <w:spacing w:after="0" w:line="261" w:lineRule="auto"/>
        <w:tabs>
          <w:tab w:leader="none" w:pos="79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November 8, 2013</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3542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November 8, 2013</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3542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ectPr>
          <w:pgSz w:w="11900" w:h="16851" w:orient="portrait"/>
          <w:cols w:equalWidth="0" w:num="1">
            <w:col w:w="11460"/>
          </w:cols>
          <w:pgMar w:left="240" w:top="125" w:right="199" w:bottom="0" w:gutter="0" w:footer="0" w:header="0"/>
        </w:sectPr>
      </w:pPr>
    </w:p>
    <w:p>
      <w:pPr>
        <w:spacing w:after="0" w:line="221" w:lineRule="exact"/>
        <w:rPr>
          <w:sz w:val="20"/>
          <w:szCs w:val="20"/>
          <w:color w:val="auto"/>
        </w:rPr>
      </w:pPr>
    </w:p>
    <w:p>
      <w:pPr>
        <w:spacing w:after="0"/>
        <w:tabs>
          <w:tab w:leader="none" w:pos="6060" w:val="left"/>
        </w:tabs>
        <w:rPr>
          <w:sz w:val="20"/>
          <w:szCs w:val="20"/>
          <w:color w:val="auto"/>
        </w:rPr>
      </w:pPr>
      <w:r>
        <w:rPr>
          <w:rFonts w:ascii="Arial" w:cs="Arial" w:eastAsia="Arial" w:hAnsi="Arial"/>
          <w:sz w:val="12"/>
          <w:szCs w:val="12"/>
          <w:b w:val="1"/>
          <w:bCs w:val="1"/>
          <w:color w:val="auto"/>
        </w:rPr>
        <w:t>Exhibit</w:t>
      </w:r>
      <w:r>
        <w:rPr>
          <w:sz w:val="20"/>
          <w:szCs w:val="20"/>
          <w:color w:val="auto"/>
        </w:rPr>
        <w:tab/>
      </w:r>
      <w:r>
        <w:rPr>
          <w:rFonts w:ascii="Arial" w:cs="Arial" w:eastAsia="Arial" w:hAnsi="Arial"/>
          <w:sz w:val="12"/>
          <w:szCs w:val="12"/>
          <w:b w:val="1"/>
          <w:bCs w:val="1"/>
          <w:color w:val="auto"/>
        </w:rPr>
        <w:t>Description</w:t>
      </w:r>
    </w:p>
    <w:p>
      <w:pPr>
        <w:sectPr>
          <w:pgSz w:w="11900" w:h="16851" w:orient="portrait"/>
          <w:cols w:equalWidth="0" w:num="1">
            <w:col w:w="11460"/>
          </w:cols>
          <w:pgMar w:left="240" w:top="125" w:right="19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7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998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9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Third Restated Certificate of Incorporation of the Company, incorporated by reference to Exhibit 3.1 of the Company’s Registration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Company’s Registration Statement on Form S-4 (Reg. No. 333-59215), filed July 16, 1998 with the Securities and Exchange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Commission.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Second Certificate of Amendment of Third Restated Certificate of Incorporation of the Company, incorporated by reference to Exhibit 3.2</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of the Company’s Registration Statement on Form S-4 (Reg. No. 333-59215), filed July 16, 1998 with the Securities and Exchange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Commission.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the Company’s Quarterly Report on Form 10-Q, filed November 10, 2008 with the Securities and Exchange Commission.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Amendment No. 2 to Shareholder Rights Agreement dated November 5, 2004, between the Company and Computershare Trust Company,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N.A. (formerly EquiServe Trust Company, N.A.) as Rights Agent, incorporated by reference to Exhibit 10.1 of the Company’s</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Registration Statement on Form 8-A1G/A, filed on March 7, 2008 with the Securities and Exchange Commission.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Section 1350 Certifications</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0" w:hanging="383"/>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383"/>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780" w:right="100" w:hanging="383"/>
        <w:spacing w:after="0" w:line="261" w:lineRule="auto"/>
        <w:tabs>
          <w:tab w:leader="none" w:pos="7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2013</w:t>
            </w:r>
          </w:p>
        </w:tc>
        <w:tc>
          <w:tcPr>
            <w:tcW w:w="2820" w:type="dxa"/>
            <w:vAlign w:val="bottom"/>
          </w:tcPr>
          <w:p>
            <w:pPr>
              <w:ind w:left="19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82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820" w:type="dxa"/>
            <w:vAlign w:val="bottom"/>
          </w:tcPr>
          <w:p>
            <w:pPr>
              <w:ind w:left="196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2013</w:t>
            </w:r>
          </w:p>
        </w:tc>
        <w:tc>
          <w:tcPr>
            <w:tcW w:w="284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8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840" w:type="dxa"/>
            <w:vAlign w:val="bottom"/>
          </w:tcPr>
          <w:p>
            <w:pPr>
              <w:ind w:left="196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48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2013</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60" w:type="dxa"/>
            <w:vAlign w:val="bottom"/>
          </w:tcPr>
          <w:p>
            <w:pPr>
              <w:spacing w:after="0"/>
              <w:rPr>
                <w:sz w:val="16"/>
                <w:szCs w:val="16"/>
                <w:color w:val="auto"/>
              </w:rPr>
            </w:pPr>
          </w:p>
        </w:tc>
        <w:tc>
          <w:tcPr>
            <w:tcW w:w="28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6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8, 2013</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760" w:type="dxa"/>
            <w:vAlign w:val="bottom"/>
          </w:tcPr>
          <w:p>
            <w:pPr>
              <w:spacing w:after="0"/>
              <w:rPr>
                <w:sz w:val="16"/>
                <w:szCs w:val="16"/>
                <w:color w:val="auto"/>
              </w:rPr>
            </w:pPr>
          </w:p>
        </w:tc>
        <w:tc>
          <w:tcPr>
            <w:tcW w:w="28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376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2019-12-05T21:23:34Z</dcterms:created>
  <dcterms:modified xsi:type="dcterms:W3CDTF">2019-12-05T21:23:34Z</dcterms:modified>
</cp:coreProperties>
</file>