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27, 2015, 98,645,692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September 30, 2015</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94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6840220</wp:posOffset>
            </wp:positionH>
            <wp:positionV relativeFrom="paragraph">
              <wp:posOffset>20955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8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980" w:type="dxa"/>
            <w:vAlign w:val="bottom"/>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3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Balance Sheets at September 30, 2015 and December 31, 2014</w:t>
              </w:r>
            </w:hyperlink>
          </w:p>
        </w:tc>
        <w:tc>
          <w:tcPr>
            <w:tcW w:w="492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180" w:type="dxa"/>
            <w:vAlign w:val="bottom"/>
          </w:tcPr>
          <w:p>
            <w:pPr>
              <w:spacing w:after="0"/>
              <w:rPr>
                <w:sz w:val="24"/>
                <w:szCs w:val="24"/>
                <w:color w:val="auto"/>
              </w:rPr>
            </w:pPr>
          </w:p>
        </w:tc>
        <w:tc>
          <w:tcPr>
            <w:tcW w:w="10300" w:type="dxa"/>
            <w:vAlign w:val="bottom"/>
            <w:gridSpan w:val="16"/>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Statements of Operations and Comprehensive Loss for the Three and Nine Months Ended September 30, 2015 and 2014</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180" w:type="dxa"/>
            <w:vAlign w:val="bottom"/>
          </w:tcPr>
          <w:p>
            <w:pPr>
              <w:spacing w:after="0"/>
              <w:rPr>
                <w:sz w:val="24"/>
                <w:szCs w:val="24"/>
                <w:color w:val="auto"/>
              </w:rPr>
            </w:pPr>
          </w:p>
        </w:tc>
        <w:tc>
          <w:tcPr>
            <w:tcW w:w="9520" w:type="dxa"/>
            <w:vAlign w:val="bottom"/>
            <w:tcBorders>
              <w:top w:val="single" w:sz="8" w:color="0000EE"/>
            </w:tcBorders>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Statements of Cash Flows for the Nine Months Ended September 30, 2015 and 2014</w:t>
              </w:r>
            </w:hyperlink>
          </w:p>
        </w:tc>
        <w:tc>
          <w:tcPr>
            <w:tcW w:w="7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180" w:type="dxa"/>
            <w:vAlign w:val="bottom"/>
          </w:tcPr>
          <w:p>
            <w:pPr>
              <w:spacing w:after="0"/>
              <w:rPr>
                <w:sz w:val="24"/>
                <w:szCs w:val="24"/>
                <w:color w:val="auto"/>
              </w:rPr>
            </w:pPr>
          </w:p>
        </w:tc>
        <w:tc>
          <w:tcPr>
            <w:tcW w:w="694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Unaudited Condensed Financial Statements</w:t>
              </w:r>
            </w:hyperlink>
          </w:p>
        </w:tc>
        <w:tc>
          <w:tcPr>
            <w:tcW w:w="336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Item 2.</w:t>
              </w:r>
            </w:hyperlink>
          </w:p>
        </w:tc>
        <w:tc>
          <w:tcPr>
            <w:tcW w:w="9760" w:type="dxa"/>
            <w:vAlign w:val="bottom"/>
            <w:gridSpan w:val="15"/>
          </w:tcPr>
          <w:p>
            <w:pPr>
              <w:ind w:left="20"/>
              <w:spacing w:after="0"/>
              <w:rPr>
                <w:rFonts w:ascii="Arial" w:cs="Arial" w:eastAsia="Arial" w:hAnsi="Arial"/>
                <w:sz w:val="18"/>
                <w:szCs w:val="18"/>
                <w:color w:val="0000EE"/>
              </w:rPr>
            </w:pPr>
            <w:hyperlink w:anchor="page8">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6480" w:type="dxa"/>
            <w:vAlign w:val="bottom"/>
            <w:tcBorders>
              <w:top w:val="single" w:sz="8" w:color="0000EE"/>
            </w:tcBorders>
            <w:gridSpan w:val="13"/>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328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24"/>
                <w:szCs w:val="24"/>
                <w:color w:val="auto"/>
              </w:rPr>
            </w:pPr>
          </w:p>
        </w:tc>
        <w:tc>
          <w:tcPr>
            <w:tcW w:w="538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0480" w:type="dxa"/>
            <w:vAlign w:val="bottom"/>
            <w:gridSpan w:val="17"/>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980" w:type="dxa"/>
            <w:vAlign w:val="bottom"/>
          </w:tcPr>
          <w:p>
            <w:pPr>
              <w:spacing w:after="0"/>
              <w:rPr>
                <w:sz w:val="24"/>
                <w:szCs w:val="24"/>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460" w:type="dxa"/>
            <w:vAlign w:val="bottom"/>
            <w:tcBorders>
              <w:top w:val="single" w:sz="8" w:color="0000EE"/>
            </w:tcBorders>
          </w:tcPr>
          <w:p>
            <w:pPr>
              <w:spacing w:after="0"/>
              <w:rPr>
                <w:sz w:val="24"/>
                <w:szCs w:val="24"/>
                <w:color w:val="auto"/>
              </w:rPr>
            </w:pPr>
          </w:p>
        </w:tc>
        <w:tc>
          <w:tcPr>
            <w:tcW w:w="824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8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6.</w:t>
              </w:r>
            </w:hyperlink>
          </w:p>
        </w:tc>
        <w:tc>
          <w:tcPr>
            <w:tcW w:w="9760" w:type="dxa"/>
            <w:vAlign w:val="bottom"/>
            <w:gridSpan w:val="15"/>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0" w:type="dxa"/>
            <w:vAlign w:val="bottom"/>
          </w:tcPr>
          <w:p>
            <w:pPr>
              <w:spacing w:after="0"/>
              <w:rPr>
                <w:sz w:val="24"/>
                <w:szCs w:val="24"/>
                <w:color w:val="auto"/>
              </w:rPr>
            </w:pPr>
          </w:p>
        </w:tc>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914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30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Exhibit Index</w:t>
              </w:r>
            </w:hyperlink>
          </w:p>
        </w:tc>
        <w:tc>
          <w:tcPr>
            <w:tcW w:w="930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3"/>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0" w:type="dxa"/>
            <w:vAlign w:val="bottom"/>
            <w:gridSpan w:val="12"/>
          </w:tcPr>
          <w:p>
            <w:pPr>
              <w:ind w:left="49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 2015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66,791</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237,819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173,023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352,632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248,014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Current Portion of Long-Term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180"/>
              <w:spacing w:after="0" w:line="201" w:lineRule="exact"/>
              <w:rPr>
                <w:sz w:val="20"/>
                <w:szCs w:val="20"/>
                <w:color w:val="auto"/>
              </w:rPr>
            </w:pPr>
            <w:r>
              <w:rPr>
                <w:rFonts w:ascii="Arial" w:cs="Arial" w:eastAsia="Arial" w:hAnsi="Arial"/>
                <w:sz w:val="18"/>
                <w:szCs w:val="18"/>
                <w:color w:val="auto"/>
                <w:w w:val="91"/>
              </w:rPr>
              <w:t>Convertible Preferred Stock, $.01 Par Value; 3,000,000 Shares Authorized; No Shares Issued and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360"/>
              <w:spacing w:after="0"/>
              <w:rPr>
                <w:sz w:val="20"/>
                <w:szCs w:val="20"/>
                <w:color w:val="auto"/>
              </w:rPr>
            </w:pPr>
            <w:r>
              <w:rPr>
                <w:rFonts w:ascii="Arial" w:cs="Arial" w:eastAsia="Arial" w:hAnsi="Arial"/>
                <w:sz w:val="18"/>
                <w:szCs w:val="18"/>
                <w:color w:val="auto"/>
              </w:rPr>
              <w:t>Outstanding at September 30, 2015 and December 31, 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$.001 Par Value; 297,000,000 Shares Authorized; 98,645,692 and 89,592,779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Shares Issued and Outstanding at September 30, 2015 and December 31, 2014, respectively</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874,240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672,739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(558,272)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(463,759)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ind w:left="360"/>
              <w:spacing w:after="0" w:line="199"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318,627</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211,660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p>
      <w:pPr>
        <w:ind w:left="380"/>
        <w:spacing w:after="0"/>
        <w:tabs>
          <w:tab w:leader="none" w:pos="7600" w:val="left"/>
          <w:tab w:leader="none" w:pos="8720" w:val="left"/>
          <w:tab w:leader="none" w:pos="9600" w:val="left"/>
          <w:tab w:leader="none" w:pos="10700" w:val="left"/>
        </w:tabs>
        <w:rPr>
          <w:sz w:val="20"/>
          <w:szCs w:val="20"/>
          <w:color w:val="auto"/>
        </w:rPr>
      </w:pPr>
      <w:r>
        <w:rPr>
          <w:rFonts w:ascii="Arial" w:cs="Arial" w:eastAsia="Arial" w:hAnsi="Arial"/>
          <w:sz w:val="18"/>
          <w:szCs w:val="18"/>
          <w:color w:val="auto"/>
        </w:rPr>
        <w:t>Total Liabilities and Stockholders’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352,632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248,014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23495</wp:posOffset>
            </wp:positionV>
            <wp:extent cx="234950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9500" cy="2603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-121920</wp:posOffset>
            </wp:positionV>
            <wp:extent cx="2349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COMPRENHENSIVE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7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26,185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8,487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5,004</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22,761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33,397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31,443</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99,792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(32,371)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(30,342)</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(96,103)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(31,980)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(28,082)</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(94,513)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(86,258)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Basic and Diluted Net Loss Per Common Share (Note 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60" w:type="dxa"/>
            <w:vAlign w:val="bottom"/>
          </w:tcPr>
          <w:p>
            <w:pPr>
              <w:spacing w:after="0" w:line="201" w:lineRule="exact"/>
              <w:rPr>
                <w:sz w:val="20"/>
                <w:szCs w:val="20"/>
                <w:color w:val="auto"/>
              </w:rPr>
            </w:pPr>
            <w:r>
              <w:rPr>
                <w:rFonts w:ascii="Arial" w:cs="Arial" w:eastAsia="Arial" w:hAnsi="Arial"/>
                <w:sz w:val="18"/>
                <w:szCs w:val="18"/>
                <w:color w:val="auto"/>
                <w:w w:val="96"/>
              </w:rPr>
              <w:t>Shares Used in Calculating Basic and Diluted Net Loss per Share</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98,568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89,404</w:t>
            </w:r>
          </w:p>
        </w:tc>
        <w:tc>
          <w:tcPr>
            <w:tcW w:w="140" w:type="dxa"/>
            <w:vAlign w:val="bottom"/>
          </w:tcPr>
          <w:p>
            <w:pPr>
              <w:spacing w:after="0"/>
              <w:rPr>
                <w:sz w:val="17"/>
                <w:szCs w:val="17"/>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96,518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89,346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(Note 3)</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(94,543</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6"/>
              </w:rPr>
              <w:t>September 30, 2015</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September 30, 2014</w:t>
            </w:r>
          </w:p>
        </w:tc>
        <w:tc>
          <w:tcPr>
            <w:tcW w:w="100" w:type="dxa"/>
            <w:vAlign w:val="bottom"/>
          </w:tcPr>
          <w:p>
            <w:pPr>
              <w:spacing w:after="0"/>
              <w:rPr>
                <w:sz w:val="12"/>
                <w:szCs w:val="12"/>
                <w:color w:val="auto"/>
              </w:rPr>
            </w:pP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(94,513)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(86,258)</w:t>
            </w:r>
          </w:p>
        </w:tc>
      </w:tr>
      <w:tr>
        <w:trPr>
          <w:trHeight w:val="216"/>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r>
      <w:tr>
        <w:trPr>
          <w:trHeight w:val="216"/>
        </w:trPr>
        <w:tc>
          <w:tcPr>
            <w:tcW w:w="6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r>
      <w:tr>
        <w:trPr>
          <w:trHeight w:val="216"/>
        </w:trPr>
        <w:tc>
          <w:tcPr>
            <w:tcW w:w="6700" w:type="dxa"/>
            <w:vAlign w:val="bottom"/>
          </w:tcPr>
          <w:p>
            <w:pPr>
              <w:ind w:left="380"/>
              <w:spacing w:after="0"/>
              <w:rPr>
                <w:sz w:val="20"/>
                <w:szCs w:val="20"/>
                <w:color w:val="auto"/>
              </w:rPr>
            </w:pPr>
            <w:r>
              <w:rPr>
                <w:rFonts w:ascii="Arial" w:cs="Arial" w:eastAsia="Arial" w:hAnsi="Arial"/>
                <w:sz w:val="18"/>
                <w:szCs w:val="18"/>
                <w:color w:val="auto"/>
              </w:rPr>
              <w:t>Amortization and Premium of Marketable Securities, Net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(754)</w:t>
            </w:r>
          </w:p>
        </w:tc>
      </w:tr>
      <w:tr>
        <w:trPr>
          <w:trHeight w:val="216"/>
        </w:trPr>
        <w:tc>
          <w:tcPr>
            <w:tcW w:w="6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Realized Gain on Sales and Maturities of Marketable Securities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8,677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4,719</w:t>
            </w:r>
          </w:p>
        </w:tc>
      </w:tr>
      <w:tr>
        <w:trPr>
          <w:trHeight w:val="216"/>
        </w:trPr>
        <w:tc>
          <w:tcPr>
            <w:tcW w:w="6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Expense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and Other Receivables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(2,416)</w:t>
            </w:r>
          </w:p>
        </w:tc>
      </w:tr>
      <w:tr>
        <w:trPr>
          <w:trHeight w:val="216"/>
        </w:trPr>
        <w:tc>
          <w:tcPr>
            <w:tcW w:w="6700" w:type="dxa"/>
            <w:vAlign w:val="bottom"/>
          </w:tcPr>
          <w:p>
            <w:pPr>
              <w:ind w:left="560"/>
              <w:spacing w:after="0"/>
              <w:rPr>
                <w:sz w:val="20"/>
                <w:szCs w:val="20"/>
                <w:color w:val="auto"/>
              </w:rPr>
            </w:pPr>
            <w:r>
              <w:rPr>
                <w:rFonts w:ascii="Arial" w:cs="Arial" w:eastAsia="Arial" w:hAnsi="Arial"/>
                <w:sz w:val="18"/>
                <w:szCs w:val="18"/>
                <w:color w:val="auto"/>
              </w:rPr>
              <w:t>Prepaid and Other Current Assets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(1,428)</w:t>
            </w:r>
          </w:p>
        </w:tc>
      </w:tr>
      <w:tr>
        <w:trPr>
          <w:trHeight w:val="216"/>
        </w:trPr>
        <w:tc>
          <w:tcPr>
            <w:tcW w:w="6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6700" w:type="dxa"/>
            <w:vAlign w:val="bottom"/>
          </w:tcPr>
          <w:p>
            <w:pPr>
              <w:ind w:left="56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r>
      <w:tr>
        <w:trPr>
          <w:trHeight w:val="216"/>
        </w:trPr>
        <w:tc>
          <w:tcPr>
            <w:tcW w:w="6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Liabilities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4,992</w:t>
            </w:r>
          </w:p>
        </w:tc>
      </w:tr>
      <w:tr>
        <w:trPr>
          <w:trHeight w:val="210"/>
        </w:trPr>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(79,323)</w:t>
            </w:r>
          </w:p>
        </w:tc>
        <w:tc>
          <w:tcPr>
            <w:tcW w:w="100" w:type="dxa"/>
            <w:vAlign w:val="bottom"/>
            <w:tcBorders>
              <w:bottom w:val="single" w:sz="8" w:color="CCEEFF"/>
            </w:tcBorders>
          </w:tcPr>
          <w:p>
            <w:pPr>
              <w:spacing w:after="0"/>
              <w:rPr>
                <w:sz w:val="18"/>
                <w:szCs w:val="18"/>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129,349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(193,815)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(146,159)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(68,935)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Stock Issuances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188,840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192,833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38,771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28,020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Investing Activities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5"/>
              </w:rPr>
              <w:t>Acquisition of Property and Equipment included in Accounts Payable and Accrued Expenses</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The accompanying unaudited condensed financial statements have been prepared by Celldex Therapeutics, Inc. (the “Company” or “Celldex”) in accordance with accounting principles generally accepted in the United States of America (“U.S. GAAP”). </w:t>
      </w:r>
      <w:r>
        <w:rPr>
          <w:rFonts w:ascii="Arial" w:cs="Arial" w:eastAsia="Arial" w:hAnsi="Arial"/>
          <w:sz w:val="17"/>
          <w:szCs w:val="17"/>
          <w:color w:val="auto"/>
        </w:rPr>
        <w:t>On December 31, 2014, the Company’s wholly-owned subsidiary, Celldex Research Corporation, merged into Celldex Therapeutics, Inc. The unaudited condensed statement of operations and comprehensive loss and the statement of cash flows for the three and nine months ended September 30, 2014 reflect the operations of the Company and its former wholly-owned subsidiary. All intercompany transactions have been eliminated in consolidation.</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2014, which are included in the Company’s Annual Report on Form 10-K filed with the Securities and Exchange Commission (“SEC”) on February 24, 2015.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September 30, 2015, the Company had cash, cash equivalents and marketable securities of $304.6 million. The Company incurred a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$94.5 million for the nine months ended September 30, 2015. Net cash used in operations for the nine months ended September 30, 2015 was $85.1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believes that the cash, cash equivalents and marketable securities at September 30, 2015 will be sufficient to meet estimated working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requirements and fund planned operations for at least the next twelve months.</w:t>
      </w:r>
    </w:p>
    <w:p>
      <w:pPr>
        <w:spacing w:after="0" w:line="21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firstLine="630"/>
        <w:spacing w:after="0" w:line="291" w:lineRule="auto"/>
        <w:rPr>
          <w:sz w:val="20"/>
          <w:szCs w:val="20"/>
          <w:color w:val="auto"/>
        </w:rPr>
      </w:pPr>
      <w:r>
        <w:rPr>
          <w:rFonts w:ascii="Arial" w:cs="Arial" w:eastAsia="Arial" w:hAnsi="Arial"/>
          <w:sz w:val="16"/>
          <w:szCs w:val="16"/>
          <w:color w:val="auto"/>
        </w:rPr>
        <w:t xml:space="preserve">The significant accounting policies used in preparation of these condensed financial statements for the nine months ended September 30, 2015 are consistent with those discussed in Note 2 to the financial statements in our Annual Report on Form 10-K for the year ended December 31, 2014, </w:t>
      </w:r>
      <w:r>
        <w:rPr>
          <w:rFonts w:ascii="Arial" w:cs="Arial" w:eastAsia="Arial" w:hAnsi="Arial"/>
          <w:sz w:val="15"/>
          <w:szCs w:val="15"/>
          <w:color w:val="auto"/>
        </w:rPr>
        <w:t>except for the</w:t>
      </w:r>
    </w:p>
    <w:p>
      <w:pPr>
        <w:spacing w:after="0"/>
        <w:rPr>
          <w:sz w:val="20"/>
          <w:szCs w:val="20"/>
          <w:color w:val="auto"/>
        </w:rPr>
      </w:pPr>
      <w:r>
        <w:rPr>
          <w:rFonts w:ascii="Arial" w:cs="Arial" w:eastAsia="Arial" w:hAnsi="Arial"/>
          <w:sz w:val="18"/>
          <w:szCs w:val="18"/>
          <w:color w:val="auto"/>
        </w:rPr>
        <w:t>adoption of new accounting standards during the first nine months of 2015 as discussed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w:t>
      </w:r>
    </w:p>
    <w:p>
      <w:pPr>
        <w:sectPr>
          <w:pgSz w:w="11900" w:h="16838" w:orient="portrait"/>
          <w:cols w:equalWidth="0" w:num="1">
            <w:col w:w="11420"/>
          </w:cols>
          <w:pgMar w:left="240" w:top="120" w:right="239" w:bottom="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issued standards that are not yet effective will not have a material impact on the Company’s financial position or results of operations upon adoption.</w:t>
      </w:r>
    </w:p>
    <w:p>
      <w:pPr>
        <w:spacing w:after="0" w:line="23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May 2014, the FASB issued a new U.S. GAAP accounting standard that creates modifications to various other revenue accounting standards for specialized transactions and industries. The new U.S. GAAP accounting standard is intended to conform revenue accounting principles with a concurrently issued new standard under International Financial Reporting Standards, as well as, to enhance disclosures related to disaggregated revenue information. In July 2015, the FASB voted to defer the amendments in this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update apply public business entities for the annual period ending after December 15, 2017. The amendment allows for two methods of adoption, a full retrospective method or a modified retrospective approach with the cumulative effect recognized at the date of initial application. The Company will further study the implications of this standard in order to evaluate the expected impact on the financial statements.</w:t>
      </w:r>
    </w:p>
    <w:p>
      <w:pPr>
        <w:spacing w:after="0" w:line="166"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April 2015, the FASB issued amendments that provide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new guidance does not change the accounting for a customer’s accounting for service contracts. The standard update is effective for fiscal years beginning after December 15, 2015 and interim periods within those years. Early adoption is permitted. The standard allows for adoption retrospectively or prospectively to all arrangements entered into or materially modified after the effective date. The amendment is not expected to have a material impact on our financial statements.</w:t>
      </w:r>
    </w:p>
    <w:p>
      <w:pPr>
        <w:spacing w:after="0" w:line="17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August 2014, the FASB issued a new U.S. GAAP accounting standard that provides guidance about management’s responsibility to evaluate whether there is substantial doubt about an entity’s ability to continue as a going concern and to provide related footnote disclosures. The new accounting standard requires management to assess an entity’s ability to continue as a going concern by incorporating and expanding upon certain principles that are currently in U.S. auditing standards. The new accounting standard is effective for the annual period ending after December 15, 2016, and for annual periods and interim periods thereafter. Early application is permitted. The Company does not expect the adoption of this standard to have a material impact on the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w:t>
      </w:r>
    </w:p>
    <w:p>
      <w:pPr>
        <w:jc w:val="center"/>
        <w:ind w:left="8200"/>
        <w:spacing w:after="0" w:line="236" w:lineRule="auto"/>
        <w:rPr>
          <w:sz w:val="20"/>
          <w:szCs w:val="20"/>
          <w:color w:val="auto"/>
        </w:rPr>
      </w:pPr>
      <w:r>
        <w:rPr>
          <w:rFonts w:ascii="Arial" w:cs="Arial" w:eastAsia="Arial" w:hAnsi="Arial"/>
          <w:sz w:val="14"/>
          <w:szCs w:val="14"/>
          <w:b w:val="1"/>
          <w:bCs w:val="1"/>
          <w:color w:val="auto"/>
        </w:rPr>
        <w:t>Months 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8,098,128</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6,999,421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29,750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8,127,878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7,008,421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changes in Accumulated Other Comprehensive Income by component for the three and nine months ended September 30, 2015 are summarized below. No amounts were reclassified out of accumulated other comprehensive income during the three or nine months ended September 30, 2015.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Unrealized Gain</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(Loss) on</w:t>
            </w:r>
          </w:p>
        </w:tc>
        <w:tc>
          <w:tcPr>
            <w:tcW w:w="240" w:type="dxa"/>
            <w:vAlign w:val="bottom"/>
          </w:tcPr>
          <w:p>
            <w:pPr>
              <w:spacing w:after="0"/>
              <w:rPr>
                <w:sz w:val="12"/>
                <w:szCs w:val="12"/>
                <w:color w:val="auto"/>
              </w:rPr>
            </w:pPr>
          </w:p>
        </w:tc>
        <w:tc>
          <w:tcPr>
            <w:tcW w:w="16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2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Securities, net of tax</w:t>
            </w:r>
          </w:p>
        </w:tc>
        <w:tc>
          <w:tcPr>
            <w:tcW w:w="24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Currency Items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center"/>
              <w:ind w:right="13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2,596</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2,581</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(loss) income before reclassifications</w:t>
            </w:r>
          </w:p>
        </w:tc>
        <w:tc>
          <w:tcPr>
            <w:tcW w:w="18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1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7</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6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ectPr>
          <w:pgSz w:w="11900" w:h="16838"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1140" w:type="dxa"/>
            <w:vAlign w:val="bottom"/>
            <w:vMerge w:val="restart"/>
          </w:tcPr>
          <w:p>
            <w:pPr>
              <w:jc w:val="right"/>
              <w:ind w:right="46"/>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 2015</w:t>
            </w:r>
          </w:p>
        </w:tc>
        <w:tc>
          <w:tcPr>
            <w:tcW w:w="11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54,692</w:t>
            </w:r>
          </w:p>
        </w:tc>
        <w:tc>
          <w:tcPr>
            <w:tcW w:w="114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7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54,692</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237,819</w:t>
            </w:r>
          </w:p>
        </w:tc>
        <w:tc>
          <w:tcPr>
            <w:tcW w:w="114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237,819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1140" w:type="dxa"/>
            <w:vAlign w:val="bottom"/>
            <w:vMerge w:val="restart"/>
          </w:tcPr>
          <w:p>
            <w:pPr>
              <w:jc w:val="right"/>
              <w:ind w:right="46"/>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2014</w:t>
            </w:r>
          </w:p>
        </w:tc>
        <w:tc>
          <w:tcPr>
            <w:tcW w:w="11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18,677</w:t>
            </w:r>
          </w:p>
        </w:tc>
        <w:tc>
          <w:tcPr>
            <w:tcW w:w="114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7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18,677</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173,023</w:t>
            </w:r>
          </w:p>
        </w:tc>
        <w:tc>
          <w:tcPr>
            <w:tcW w:w="114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173,023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financial statements at cost, which approximates fair value due to the short-term nature of these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256"/>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left="256"/>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1040" w:type="dxa"/>
            <w:vAlign w:val="bottom"/>
          </w:tcPr>
          <w:p>
            <w:pPr>
              <w:jc w:val="center"/>
              <w:ind w:left="27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256"/>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65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43,379</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22,921</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66,300</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66,328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ind w:left="560"/>
              <w:spacing w:after="0"/>
              <w:rPr>
                <w:sz w:val="20"/>
                <w:szCs w:val="20"/>
                <w:color w:val="auto"/>
              </w:rPr>
            </w:pPr>
            <w:r>
              <w:rPr>
                <w:rFonts w:ascii="Arial" w:cs="Arial" w:eastAsia="Arial" w:hAnsi="Arial"/>
                <w:sz w:val="18"/>
                <w:szCs w:val="18"/>
                <w:color w:val="auto"/>
                <w:w w:val="86"/>
              </w:rPr>
              <w:t>135,613</w:t>
            </w:r>
          </w:p>
        </w:tc>
        <w:tc>
          <w:tcPr>
            <w:tcW w:w="300" w:type="dxa"/>
            <w:vAlign w:val="bottom"/>
          </w:tcPr>
          <w:p>
            <w:pPr>
              <w:spacing w:after="0"/>
              <w:rPr>
                <w:sz w:val="18"/>
                <w:szCs w:val="18"/>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35,942</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6"/>
              </w:rPr>
              <w:t>171,555</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(109)</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171,491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237,855</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(156)</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237,819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44,580</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16,108</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660"/>
              <w:spacing w:after="0"/>
              <w:rPr>
                <w:sz w:val="20"/>
                <w:szCs w:val="20"/>
                <w:color w:val="auto"/>
              </w:rPr>
            </w:pPr>
            <w:r>
              <w:rPr>
                <w:rFonts w:ascii="Arial" w:cs="Arial" w:eastAsia="Arial" w:hAnsi="Arial"/>
                <w:sz w:val="18"/>
                <w:szCs w:val="18"/>
                <w:color w:val="auto"/>
                <w:w w:val="83"/>
              </w:rPr>
              <w:t>60,688</w:t>
            </w:r>
          </w:p>
        </w:tc>
        <w:tc>
          <w:tcPr>
            <w:tcW w:w="300" w:type="dxa"/>
            <w:vAlign w:val="bottom"/>
            <w:vMerge w:val="continue"/>
          </w:tcPr>
          <w:p>
            <w:pPr>
              <w:spacing w:after="0"/>
              <w:rPr>
                <w:sz w:val="18"/>
                <w:szCs w:val="18"/>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60,760</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89,636</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22,690</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2"/>
              </w:rPr>
              <w:t>112,326</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112,263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173,014</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173,023</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September 30, 2015. Marketable securities include $1.2 million and $1.4 million in accrued interest at September 30, 2015 and December 31,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1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9"/>
              </w:rPr>
              <w:t>September 30, 2015</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10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0"/>
              <w:spacing w:after="0"/>
              <w:rPr>
                <w:sz w:val="20"/>
                <w:szCs w:val="20"/>
                <w:color w:val="auto"/>
              </w:rPr>
            </w:pPr>
            <w:r>
              <w:rPr>
                <w:rFonts w:ascii="Arial" w:cs="Arial" w:eastAsia="Arial" w:hAnsi="Arial"/>
                <w:sz w:val="18"/>
                <w:szCs w:val="18"/>
                <w:color w:val="auto"/>
              </w:rPr>
              <w:t>IPR&amp;D</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Indefinite</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11,800</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Amgen Amendment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 years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0"/>
              <w:spacing w:after="0"/>
              <w:rPr>
                <w:sz w:val="20"/>
                <w:szCs w:val="20"/>
                <w:color w:val="auto"/>
              </w:rPr>
            </w:pPr>
            <w:r>
              <w:rPr>
                <w:rFonts w:ascii="Arial" w:cs="Arial" w:eastAsia="Arial" w:hAnsi="Arial"/>
                <w:sz w:val="18"/>
                <w:szCs w:val="18"/>
                <w:color w:val="auto"/>
              </w:rPr>
              <w:t>Core Technology</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11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(1,168)</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140" w:type="dxa"/>
            <w:vAlign w:val="bottom"/>
            <w:vMerge w:val="restart"/>
          </w:tcPr>
          <w:p>
            <w:pPr>
              <w:jc w:val="right"/>
              <w:ind w:right="16"/>
              <w:spacing w:after="0"/>
              <w:rPr>
                <w:sz w:val="20"/>
                <w:szCs w:val="20"/>
                <w:color w:val="auto"/>
              </w:rPr>
            </w:pPr>
            <w:r>
              <w:rPr>
                <w:rFonts w:ascii="Arial" w:cs="Arial" w:eastAsia="Arial" w:hAnsi="Arial"/>
                <w:sz w:val="18"/>
                <w:szCs w:val="18"/>
                <w:color w:val="auto"/>
              </w:rPr>
              <w:t>Indefinite</w:t>
            </w: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320" w:right="199" w:bottom="0" w:gutter="0" w:footer="0" w:header="0"/>
        </w:sectPr>
      </w:pPr>
    </w:p>
    <w:bookmarkStart w:id="6" w:name="page7"/>
    <w:bookmarkEnd w:id="6"/>
    <w:p>
      <w:pPr>
        <w:spacing w:after="0" w:line="62"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 xml:space="preserve">The IPR&amp;D intangible asset was recorded in connection with the acquisition of CuraGen and relates to the development of glembatumumab vedotin. At the date of acquisition and at September 30, 2015, glembatumumab vedotin had not yet reached technological feasibility nor did it have any alternative future use. Glembatumumab vedotin is in a randomized, Phase 2b study for the treatment of triple negative breast cancer </w:t>
      </w:r>
      <w:r>
        <w:rPr>
          <w:rFonts w:ascii="Arial" w:cs="Arial" w:eastAsia="Arial" w:hAnsi="Arial"/>
          <w:sz w:val="15"/>
          <w:szCs w:val="15"/>
          <w:color w:val="auto"/>
        </w:rPr>
        <w:t>and a Phase 2 study for</w:t>
      </w:r>
    </w:p>
    <w:p>
      <w:pPr>
        <w:spacing w:after="0"/>
        <w:rPr>
          <w:sz w:val="20"/>
          <w:szCs w:val="20"/>
          <w:color w:val="auto"/>
        </w:rPr>
      </w:pPr>
      <w:r>
        <w:rPr>
          <w:rFonts w:ascii="Arial" w:cs="Arial" w:eastAsia="Arial" w:hAnsi="Arial"/>
          <w:sz w:val="18"/>
          <w:szCs w:val="18"/>
          <w:color w:val="auto"/>
        </w:rPr>
        <w:t>the treatment of metastatic melanoma.</w:t>
      </w:r>
    </w:p>
    <w:p>
      <w:pPr>
        <w:spacing w:after="0" w:line="21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 performed an annual impairment test of the IPR&amp;D and goodwill assets as of July 1, 2015 and concluded that the IPR&amp;D and goodwill assets were not impaired.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 2015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2014</w:t>
            </w:r>
          </w:p>
        </w:tc>
      </w:tr>
      <w:tr>
        <w:trPr>
          <w:trHeight w:val="142"/>
        </w:trPr>
        <w:tc>
          <w:tcPr>
            <w:tcW w:w="5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540" w:type="dxa"/>
            <w:vAlign w:val="bottom"/>
            <w:tcBorders>
              <w:top w:val="single" w:sz="8" w:color="auto"/>
            </w:tcBorders>
            <w:gridSpan w:val="5"/>
          </w:tcPr>
          <w:p>
            <w:pPr>
              <w:jc w:val="right"/>
              <w:ind w:right="13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4,661</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Deferred Revenue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5,297</w:t>
            </w:r>
          </w:p>
        </w:tc>
      </w:tr>
      <w:tr>
        <w:trPr>
          <w:trHeight w:val="210"/>
        </w:trPr>
        <w:tc>
          <w:tcPr>
            <w:tcW w:w="54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(2,592)</w:t>
            </w:r>
          </w:p>
        </w:tc>
      </w:tr>
      <w:tr>
        <w:trPr>
          <w:trHeight w:val="21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December 2014, January 2014, January 2013, January 2012 and January 2011, the Company received approval from the New Jersey Economic Development Authority and agreed to sell New Jersey tax benefits worth $1.9 million, $1.1 million, $0.8 million, $0.8 million and $0.6 million to an independent third party for $1.8 million, $1.0 million, $0.8 million, $0.7 million and $0.5 million, respectively. Under the agreement, the Company must maintain a base of operations in New Jersey for five years or the tax benefits must be paid back on a pro-rata basis based on the number of years completed. During the nine months ended September 30, 2015 and 2014, the Company recorded $0.6 million and $0.4 million to other income related to the sale of these tax benefits, respectively.</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September 2013, the Company entered into an agreement with Rockefeller University pursuant to which the Company performs research and development services for Rockefeller. The agreement included an upfront payment of $1.3 million which is being recognized as revenue over the term of the agreement. The Company bills Rockefeller quarterly for actual time and direct costs incurred and recorded $0.5 million and $2.1 million in revenue related to the Rockefeller agreement during the three and nine months ended September 30, 2015 and $0.8 million and $1.5 million during the three and nine months ended September 30, 2014, respectively.</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6"/>
          <w:szCs w:val="16"/>
          <w:color w:val="auto"/>
        </w:rPr>
        <w:t>In May 2014, the Company entered into a clinical trial collaboration with Bristol-Myers Squibb Company (“BMS”) to evaluate the safety, tolerability and preliminary efficacy of varlilumab and Opdivo</w:t>
      </w:r>
      <w:r>
        <w:rPr>
          <w:rFonts w:ascii="Arial" w:cs="Arial" w:eastAsia="Arial" w:hAnsi="Arial"/>
          <w:sz w:val="20"/>
          <w:szCs w:val="20"/>
          <w:color w:val="auto"/>
          <w:vertAlign w:val="superscript"/>
        </w:rPr>
        <w:t>®</w:t>
      </w:r>
      <w:r>
        <w:rPr>
          <w:rFonts w:ascii="Arial" w:cs="Arial" w:eastAsia="Arial" w:hAnsi="Arial"/>
          <w:sz w:val="16"/>
          <w:szCs w:val="16"/>
          <w:color w:val="auto"/>
        </w:rPr>
        <w:t>, BMS’s PD-1 immune checkpoint inhibitor, in a Phase 1/2 study. Under the terms of this clinical trial collaboration, BMS made a one-time payment to the Company of $5.0 million and BMS and the Company amended the terms of the Company’s existing license agreement with Medarex (a subsidiary of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antagonist antibody and anti-CD27 agonist antibody combination regimens. The clinical trial collaboration provides that the companies will share development costs and that the Company will be responsible for conducting the ongoing Phase 1/2 study.</w:t>
      </w:r>
    </w:p>
    <w:p>
      <w:pPr>
        <w:spacing w:after="0" w:line="17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These BMS payments will be recognized as revenue under the CAPM. The Company recorded $0.3 million and $1.0 million in revenue related to the BMS agreement during the three and nine months ended September 30, 2015, respectively, and $0.3 million and $0.4 million during the three and nine months ended September 30, 2014,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March 2015, the Company issued 8,337,500 shares of its common stock in an underwritten public offering resulting in net proceeds to the Company of $188.8 million, after deducting underwriting fees and offering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2015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7,015,350</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1,806,650</w:t>
            </w:r>
          </w:p>
        </w:tc>
        <w:tc>
          <w:tcPr>
            <w:tcW w:w="300" w:type="dxa"/>
            <w:vAlign w:val="bottom"/>
          </w:tcPr>
          <w:p>
            <w:pPr>
              <w:spacing w:after="0"/>
              <w:rPr>
                <w:sz w:val="18"/>
                <w:szCs w:val="18"/>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25.05</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(660,658)</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(63,214)</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15.32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2015</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8,098,128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13.10</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rPr>
          <w:sz w:val="20"/>
          <w:szCs w:val="20"/>
          <w:color w:val="auto"/>
        </w:rPr>
      </w:pPr>
      <w:r>
        <w:rPr>
          <w:rFonts w:ascii="Arial" w:cs="Arial" w:eastAsia="Arial" w:hAnsi="Arial"/>
          <w:sz w:val="15"/>
          <w:szCs w:val="15"/>
          <w:color w:val="auto"/>
        </w:rPr>
        <w:t>Options Vested and Expected to Vest at September 30, 2015</w:t>
      </w:r>
    </w:p>
    <w:p>
      <w:pPr>
        <w:spacing w:after="0" w:line="71" w:lineRule="exact"/>
        <w:rPr>
          <w:sz w:val="20"/>
          <w:szCs w:val="20"/>
          <w:color w:val="auto"/>
        </w:rPr>
      </w:pPr>
    </w:p>
    <w:p>
      <w:pPr>
        <w:ind w:right="2500"/>
        <w:spacing w:after="0" w:line="342" w:lineRule="auto"/>
        <w:rPr>
          <w:sz w:val="20"/>
          <w:szCs w:val="20"/>
          <w:color w:val="auto"/>
        </w:rPr>
      </w:pPr>
      <w:r>
        <w:rPr>
          <w:rFonts w:ascii="Arial" w:cs="Arial" w:eastAsia="Arial" w:hAnsi="Arial"/>
          <w:sz w:val="16"/>
          <w:szCs w:val="16"/>
          <w:color w:val="auto"/>
        </w:rPr>
        <w:t>Options Exercisable at September 30, 2015 Shares Available for Grant under the 2008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8,045,278</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30"/>
              <w:spacing w:after="0"/>
              <w:rPr>
                <w:sz w:val="20"/>
                <w:szCs w:val="20"/>
                <w:color w:val="auto"/>
              </w:rPr>
            </w:pPr>
            <w:r>
              <w:rPr>
                <w:rFonts w:ascii="Arial" w:cs="Arial" w:eastAsia="Arial" w:hAnsi="Arial"/>
                <w:sz w:val="18"/>
                <w:szCs w:val="18"/>
                <w:color w:val="auto"/>
              </w:rPr>
              <w:t>13.04</w:t>
            </w: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80" w:type="dxa"/>
            <w:vAlign w:val="bottom"/>
          </w:tcPr>
          <w:p>
            <w:pPr>
              <w:jc w:val="right"/>
              <w:spacing w:after="0"/>
              <w:rPr>
                <w:sz w:val="20"/>
                <w:szCs w:val="20"/>
                <w:color w:val="auto"/>
              </w:rPr>
            </w:pPr>
            <w:r>
              <w:rPr>
                <w:rFonts w:ascii="Arial" w:cs="Arial" w:eastAsia="Arial" w:hAnsi="Arial"/>
                <w:sz w:val="18"/>
                <w:szCs w:val="18"/>
                <w:color w:val="auto"/>
              </w:rPr>
              <w:t>4,480,232</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30"/>
              <w:spacing w:after="0"/>
              <w:rPr>
                <w:sz w:val="20"/>
                <w:szCs w:val="20"/>
                <w:color w:val="auto"/>
              </w:rPr>
            </w:pPr>
            <w:r>
              <w:rPr>
                <w:rFonts w:ascii="Arial" w:cs="Arial" w:eastAsia="Arial" w:hAnsi="Arial"/>
                <w:sz w:val="18"/>
                <w:szCs w:val="18"/>
                <w:color w:val="auto"/>
              </w:rPr>
              <w:t>8.25</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5,842,723</w:t>
            </w:r>
          </w:p>
        </w:tc>
        <w:tc>
          <w:tcPr>
            <w:tcW w:w="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-273685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5920" w:space="720"/>
            <w:col w:w="4820"/>
          </w:cols>
          <w:pgMar w:left="240" w:top="125" w:right="199" w:bottom="0" w:gutter="0" w:footer="0" w:header="0"/>
        </w:sectPr>
      </w:pPr>
    </w:p>
    <w:p>
      <w:pPr>
        <w:ind w:right="14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nine months ended September 30, 2015 was $15.41 per share. Stock-based compensation expense for the three and nine months ended September 30, 2015 and 2014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2,153</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2,404</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3,868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fair values of employee and director stock options granted during the three and nine months ended September 30, 2015 and 2014 were valued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31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14"/>
                <w:szCs w:val="14"/>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67 - 69%</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71 - 72%</w:t>
            </w:r>
          </w:p>
        </w:tc>
        <w:tc>
          <w:tcPr>
            <w:tcW w:w="4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option term</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c>
          <w:tcPr>
            <w:tcW w:w="4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2.1 - 2.2%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1.8 - 2.2%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2.1 - 2.2%</w:t>
            </w:r>
          </w:p>
        </w:tc>
        <w:tc>
          <w:tcPr>
            <w:tcW w:w="40" w:type="dxa"/>
            <w:vAlign w:val="bottom"/>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20"/>
                <w:szCs w:val="20"/>
                <w:color w:val="auto"/>
              </w:rPr>
            </w:pPr>
          </w:p>
        </w:tc>
      </w:tr>
      <w:tr>
        <w:trPr>
          <w:trHeight w:val="418"/>
        </w:trPr>
        <w:tc>
          <w:tcPr>
            <w:tcW w:w="4960" w:type="dxa"/>
            <w:vAlign w:val="bottom"/>
          </w:tcPr>
          <w:p>
            <w:pPr>
              <w:spacing w:after="0"/>
              <w:rPr>
                <w:sz w:val="24"/>
                <w:szCs w:val="24"/>
                <w:color w:val="auto"/>
              </w:rPr>
            </w:pPr>
          </w:p>
        </w:tc>
        <w:tc>
          <w:tcPr>
            <w:tcW w:w="1360" w:type="dxa"/>
            <w:vAlign w:val="bottom"/>
          </w:tcPr>
          <w:p>
            <w:pPr>
              <w:jc w:val="right"/>
              <w:ind w:right="435"/>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9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September 30, 2015 and December 31, 2014 against the Company’s net deferred tax assets.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160" w:hanging="324"/>
        <w:spacing w:after="0" w:line="23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Rintega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(also referred to as rindopepimut and CDX-110), glembatumumab vedotin (also referred to as CDX-011), and other drug candidates and the growth of the markets for those drug candidates;</w:t>
      </w:r>
    </w:p>
    <w:p>
      <w:pPr>
        <w:spacing w:after="0" w:line="202" w:lineRule="exact"/>
        <w:rPr>
          <w:rFonts w:ascii="Arial" w:cs="Arial" w:eastAsia="Arial" w:hAnsi="Arial"/>
          <w:sz w:val="18"/>
          <w:szCs w:val="18"/>
          <w:color w:val="auto"/>
        </w:rPr>
      </w:pPr>
    </w:p>
    <w:p>
      <w:pPr>
        <w:ind w:left="980" w:right="60" w:hanging="324"/>
        <w:spacing w:after="0" w:line="259"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ACT IV and ReACT for Rintega and METRIC for glembatumumab vedotin;</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Rintega, glembatumumab vedotin, and other preclinical and clinical testing;</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0" w:lineRule="exact"/>
        <w:rPr>
          <w:sz w:val="20"/>
          <w:szCs w:val="20"/>
          <w:color w:val="auto"/>
        </w:rPr>
      </w:pPr>
    </w:p>
    <w:p>
      <w:pPr>
        <w:sectPr>
          <w:pgSz w:w="11900" w:h="16838" w:orient="portrait"/>
          <w:cols w:equalWidth="0" w:num="1">
            <w:col w:w="11460"/>
          </w:cols>
          <w:pgMar w:left="240" w:top="125" w:right="199" w:bottom="0" w:gutter="0" w:footer="0" w:header="0"/>
          <w:type w:val="continuous"/>
        </w:sectPr>
      </w:pPr>
    </w:p>
    <w:bookmarkStart w:id="8" w:name="page9"/>
    <w:bookmarkEnd w:id="8"/>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if we obtain regulatory approval, to commercialize Rintega in North America and Europe ourselves;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2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Rintega outside of North America and Europe, glembatumumab vedotin and varlilumab (also referred to as CDX-1127);</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8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70" w:lineRule="exact"/>
        <w:rPr>
          <w:rFonts w:ascii="Arial" w:cs="Arial" w:eastAsia="Arial" w:hAnsi="Arial"/>
          <w:sz w:val="18"/>
          <w:szCs w:val="18"/>
          <w:color w:val="auto"/>
        </w:rPr>
      </w:pPr>
    </w:p>
    <w:p>
      <w:pPr>
        <w:ind w:left="980" w:right="40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81" w:lineRule="exact"/>
        <w:rPr>
          <w:rFonts w:ascii="Arial" w:cs="Arial" w:eastAsia="Arial" w:hAnsi="Arial"/>
          <w:sz w:val="18"/>
          <w:szCs w:val="18"/>
          <w:color w:val="auto"/>
        </w:rPr>
      </w:pPr>
    </w:p>
    <w:p>
      <w:pPr>
        <w:ind w:left="980" w:right="8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2014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protein-based molecules such as vaccines, antibodies and antibody-drug conjugates that are used to treat specifics types of cancer or other diseases.</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latest stage drug candidate, Rintega (also referred to as rindopepimut and CDX-110) is a therapeutic vaccine that completed enrollment in December 2014 to a pivotal Phase 3 study in front-line glioblastoma in patients that express a specific cancer marker known as EGFRvIII. This Phase 3 study completed its first interim analysis at 50% of events (deaths) in June 2015, and an independent Data Safety and Monitoring Board recommended that the study continue as planned. Updated results from a randomized, Phase 2 study of Rintega added to the standard of care for the treatment of recurrent glioblastoma were presented in May 2015. A statistically significant overall survival benefit and the emergence of a long-term survival benefit were observed. The primary endpoint of the study, progression-free survival at six months (PFS6), was met. In February 2015, the U.S. Food and Drug Administration, or FDA, granted Rintega Breakthrough Therapy Designation for the treatment of adult patients with EGFRvIII-positive glioblastoma.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their cancer. We established proof of concept in a Phase 1 study with varlilumab, which has allowed several combination studies to begin in various indications. We also have a number of earlier stage drug candidates in clinical development, including CDX-1401, a targeted immunotherapeutic aimed at antigen presenting cells, or APC, for cancer indications and CDX-301, an immune cell mobilizing agent and dendritic cell growth factor. Our drug candidates address market opportunities for which we believe current therapies are inadequate or non-existent.</w:t>
      </w:r>
    </w:p>
    <w:p>
      <w:pPr>
        <w:spacing w:after="0" w:line="17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17" w:lineRule="exact"/>
        <w:rPr>
          <w:sz w:val="20"/>
          <w:szCs w:val="20"/>
          <w:color w:val="auto"/>
        </w:rPr>
      </w:pPr>
    </w:p>
    <w:p>
      <w:pPr>
        <w:spacing w:after="0"/>
        <w:tabs>
          <w:tab w:leader="none" w:pos="5300" w:val="left"/>
          <w:tab w:leader="none" w:pos="9140" w:val="left"/>
          <w:tab w:leader="none" w:pos="10620" w:val="left"/>
        </w:tabs>
        <w:rPr>
          <w:sz w:val="20"/>
          <w:szCs w:val="20"/>
          <w:color w:val="auto"/>
        </w:rPr>
      </w:pPr>
      <w:r>
        <w:rPr>
          <w:rFonts w:ascii="Arial" w:cs="Arial" w:eastAsia="Arial" w:hAnsi="Arial"/>
          <w:sz w:val="14"/>
          <w:szCs w:val="14"/>
          <w:b w:val="1"/>
          <w:bCs w:val="1"/>
          <w:color w:val="auto"/>
        </w:rPr>
        <w:t>Product (generic)</w:t>
      </w:r>
      <w:r>
        <w:rPr>
          <w:sz w:val="20"/>
          <w:szCs w:val="20"/>
          <w:color w:val="auto"/>
        </w:rPr>
        <w:tab/>
      </w:r>
      <w:r>
        <w:rPr>
          <w:rFonts w:ascii="Arial" w:cs="Arial" w:eastAsia="Arial" w:hAnsi="Arial"/>
          <w:sz w:val="14"/>
          <w:szCs w:val="14"/>
          <w:b w:val="1"/>
          <w:bCs w:val="1"/>
          <w:color w:val="auto"/>
        </w:rPr>
        <w:t>Indication/Field</w:t>
      </w:r>
      <w:r>
        <w:rPr>
          <w:sz w:val="20"/>
          <w:szCs w:val="20"/>
          <w:color w:val="auto"/>
        </w:rPr>
        <w:tab/>
      </w:r>
      <w:r>
        <w:rPr>
          <w:rFonts w:ascii="Arial" w:cs="Arial" w:eastAsia="Arial" w:hAnsi="Arial"/>
          <w:sz w:val="14"/>
          <w:szCs w:val="14"/>
          <w:b w:val="1"/>
          <w:bCs w:val="1"/>
          <w:color w:val="auto"/>
        </w:rPr>
        <w:t>Partner</w:t>
      </w:r>
      <w:r>
        <w:rPr>
          <w:sz w:val="20"/>
          <w:szCs w:val="20"/>
          <w:color w:val="auto"/>
        </w:rPr>
        <w:tab/>
      </w:r>
      <w:r>
        <w:rPr>
          <w:rFonts w:ascii="Arial" w:cs="Arial" w:eastAsia="Arial" w:hAnsi="Arial"/>
          <w:sz w:val="13"/>
          <w:szCs w:val="13"/>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w:t>
      </w:r>
    </w:p>
    <w:p>
      <w:pPr>
        <w:sectPr>
          <w:pgSz w:w="11900" w:h="16838" w:orient="portrait"/>
          <w:cols w:equalWidth="0" w:num="1">
            <w:col w:w="11400"/>
          </w:cols>
          <w:pgMar w:left="240" w:top="125" w:right="259" w:bottom="0" w:gutter="0" w:footer="0" w:header="0"/>
          <w:type w:val="continuous"/>
        </w:sectPr>
      </w:pPr>
    </w:p>
    <w:bookmarkStart w:id="9" w:name="page10"/>
    <w:bookmarkEnd w:id="9"/>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Rintega</w:t>
            </w:r>
          </w:p>
        </w:tc>
        <w:tc>
          <w:tcPr>
            <w:tcW w:w="5560" w:type="dxa"/>
            <w:vAlign w:val="bottom"/>
          </w:tcPr>
          <w:p>
            <w:pPr>
              <w:ind w:left="540"/>
              <w:spacing w:after="0"/>
              <w:rPr>
                <w:sz w:val="20"/>
                <w:szCs w:val="20"/>
                <w:color w:val="auto"/>
              </w:rPr>
            </w:pPr>
            <w:r>
              <w:rPr>
                <w:rFonts w:ascii="Arial" w:cs="Arial" w:eastAsia="Arial" w:hAnsi="Arial"/>
                <w:sz w:val="18"/>
                <w:szCs w:val="18"/>
                <w:color w:val="auto"/>
              </w:rPr>
              <w:t>Front-line glioblastoma</w:t>
            </w:r>
          </w:p>
        </w:tc>
        <w:tc>
          <w:tcPr>
            <w:tcW w:w="1780" w:type="dxa"/>
            <w:vAlign w:val="bottom"/>
          </w:tcPr>
          <w:p>
            <w:pPr>
              <w:ind w:left="1220"/>
              <w:spacing w:after="0"/>
              <w:rPr>
                <w:sz w:val="20"/>
                <w:szCs w:val="20"/>
                <w:color w:val="auto"/>
              </w:rPr>
            </w:pPr>
            <w:r>
              <w:rPr>
                <w:rFonts w:ascii="Arial" w:cs="Arial" w:eastAsia="Arial" w:hAnsi="Arial"/>
                <w:sz w:val="18"/>
                <w:szCs w:val="18"/>
                <w:color w:val="auto"/>
              </w:rPr>
              <w:t>—</w:t>
            </w:r>
          </w:p>
        </w:tc>
        <w:tc>
          <w:tcPr>
            <w:tcW w:w="1540" w:type="dxa"/>
            <w:vAlign w:val="bottom"/>
          </w:tcPr>
          <w:p>
            <w:pPr>
              <w:ind w:left="380"/>
              <w:spacing w:after="0"/>
              <w:rPr>
                <w:sz w:val="20"/>
                <w:szCs w:val="20"/>
                <w:color w:val="auto"/>
              </w:rPr>
            </w:pPr>
            <w:r>
              <w:rPr>
                <w:rFonts w:ascii="Arial" w:cs="Arial" w:eastAsia="Arial" w:hAnsi="Arial"/>
                <w:sz w:val="18"/>
                <w:szCs w:val="18"/>
                <w:color w:val="auto"/>
              </w:rPr>
              <w:t>Phase 3</w:t>
            </w: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5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Metastatic breast cancer</w:t>
            </w:r>
          </w:p>
        </w:tc>
        <w:tc>
          <w:tcPr>
            <w:tcW w:w="1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Phase 2b</w:t>
            </w: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Rintega</w:t>
            </w:r>
          </w:p>
        </w:tc>
        <w:tc>
          <w:tcPr>
            <w:tcW w:w="5560" w:type="dxa"/>
            <w:vAlign w:val="bottom"/>
          </w:tcPr>
          <w:p>
            <w:pPr>
              <w:ind w:left="540"/>
              <w:spacing w:after="0"/>
              <w:rPr>
                <w:sz w:val="20"/>
                <w:szCs w:val="20"/>
                <w:color w:val="auto"/>
              </w:rPr>
            </w:pPr>
            <w:r>
              <w:rPr>
                <w:rFonts w:ascii="Arial" w:cs="Arial" w:eastAsia="Arial" w:hAnsi="Arial"/>
                <w:sz w:val="18"/>
                <w:szCs w:val="18"/>
                <w:color w:val="auto"/>
              </w:rPr>
              <w:t>Recurrent glioblastoma</w:t>
            </w:r>
          </w:p>
        </w:tc>
        <w:tc>
          <w:tcPr>
            <w:tcW w:w="1780" w:type="dxa"/>
            <w:vAlign w:val="bottom"/>
          </w:tcPr>
          <w:p>
            <w:pPr>
              <w:ind w:left="1220"/>
              <w:spacing w:after="0"/>
              <w:rPr>
                <w:sz w:val="20"/>
                <w:szCs w:val="20"/>
                <w:color w:val="auto"/>
              </w:rPr>
            </w:pPr>
            <w:r>
              <w:rPr>
                <w:rFonts w:ascii="Arial" w:cs="Arial" w:eastAsia="Arial" w:hAnsi="Arial"/>
                <w:sz w:val="18"/>
                <w:szCs w:val="18"/>
                <w:color w:val="auto"/>
              </w:rPr>
              <w:t>—</w:t>
            </w:r>
          </w:p>
        </w:tc>
        <w:tc>
          <w:tcPr>
            <w:tcW w:w="1540" w:type="dxa"/>
            <w:vAlign w:val="bottom"/>
          </w:tcPr>
          <w:p>
            <w:pPr>
              <w:ind w:left="380"/>
              <w:spacing w:after="0"/>
              <w:rPr>
                <w:sz w:val="20"/>
                <w:szCs w:val="20"/>
                <w:color w:val="auto"/>
              </w:rPr>
            </w:pPr>
            <w:r>
              <w:rPr>
                <w:rFonts w:ascii="Arial" w:cs="Arial" w:eastAsia="Arial" w:hAnsi="Arial"/>
                <w:sz w:val="18"/>
                <w:szCs w:val="18"/>
                <w:color w:val="auto"/>
              </w:rPr>
              <w:t>Phase 2</w:t>
            </w: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5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Metastatic melanoma</w:t>
            </w:r>
          </w:p>
        </w:tc>
        <w:tc>
          <w:tcPr>
            <w:tcW w:w="1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Phase 2</w:t>
            </w: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Varlilumab</w:t>
            </w:r>
          </w:p>
        </w:tc>
        <w:tc>
          <w:tcPr>
            <w:tcW w:w="5560" w:type="dxa"/>
            <w:vAlign w:val="bottom"/>
          </w:tcPr>
          <w:p>
            <w:pPr>
              <w:ind w:left="540"/>
              <w:spacing w:after="0"/>
              <w:rPr>
                <w:sz w:val="20"/>
                <w:szCs w:val="20"/>
                <w:color w:val="auto"/>
              </w:rPr>
            </w:pPr>
            <w:r>
              <w:rPr>
                <w:rFonts w:ascii="Arial" w:cs="Arial" w:eastAsia="Arial" w:hAnsi="Arial"/>
                <w:sz w:val="18"/>
                <w:szCs w:val="18"/>
                <w:color w:val="auto"/>
              </w:rPr>
              <w:t>Lymphoma/leukemia and solid tumors</w:t>
            </w:r>
          </w:p>
        </w:tc>
        <w:tc>
          <w:tcPr>
            <w:tcW w:w="1780" w:type="dxa"/>
            <w:vAlign w:val="bottom"/>
          </w:tcPr>
          <w:p>
            <w:pPr>
              <w:ind w:left="1220"/>
              <w:spacing w:after="0"/>
              <w:rPr>
                <w:sz w:val="20"/>
                <w:szCs w:val="20"/>
                <w:color w:val="auto"/>
              </w:rPr>
            </w:pPr>
            <w:r>
              <w:rPr>
                <w:rFonts w:ascii="Arial" w:cs="Arial" w:eastAsia="Arial" w:hAnsi="Arial"/>
                <w:sz w:val="18"/>
                <w:szCs w:val="18"/>
                <w:color w:val="auto"/>
              </w:rPr>
              <w:t>—</w:t>
            </w:r>
          </w:p>
        </w:tc>
        <w:tc>
          <w:tcPr>
            <w:tcW w:w="1540" w:type="dxa"/>
            <w:vAlign w:val="bottom"/>
          </w:tcPr>
          <w:p>
            <w:pPr>
              <w:ind w:left="380"/>
              <w:spacing w:after="0"/>
              <w:rPr>
                <w:sz w:val="20"/>
                <w:szCs w:val="20"/>
                <w:color w:val="auto"/>
              </w:rPr>
            </w:pPr>
            <w:r>
              <w:rPr>
                <w:rFonts w:ascii="Arial" w:cs="Arial" w:eastAsia="Arial" w:hAnsi="Arial"/>
                <w:sz w:val="18"/>
                <w:szCs w:val="18"/>
                <w:color w:val="auto"/>
              </w:rPr>
              <w:t>Phase 1</w:t>
            </w: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Varlilumab</w:t>
            </w:r>
          </w:p>
        </w:tc>
        <w:tc>
          <w:tcPr>
            <w:tcW w:w="5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Multiple solid tumors</w:t>
            </w:r>
          </w:p>
        </w:tc>
        <w:tc>
          <w:tcPr>
            <w:tcW w:w="1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Phase 1/2</w:t>
            </w:r>
          </w:p>
        </w:tc>
      </w:t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CDX-1401</w:t>
            </w:r>
          </w:p>
        </w:tc>
        <w:tc>
          <w:tcPr>
            <w:tcW w:w="5560" w:type="dxa"/>
            <w:vAlign w:val="bottom"/>
          </w:tcPr>
          <w:p>
            <w:pPr>
              <w:ind w:left="540"/>
              <w:spacing w:after="0"/>
              <w:rPr>
                <w:sz w:val="20"/>
                <w:szCs w:val="20"/>
                <w:color w:val="auto"/>
              </w:rPr>
            </w:pPr>
            <w:r>
              <w:rPr>
                <w:rFonts w:ascii="Arial" w:cs="Arial" w:eastAsia="Arial" w:hAnsi="Arial"/>
                <w:sz w:val="18"/>
                <w:szCs w:val="18"/>
                <w:color w:val="auto"/>
              </w:rPr>
              <w:t>Multiple solid tumors</w:t>
            </w:r>
          </w:p>
        </w:tc>
        <w:tc>
          <w:tcPr>
            <w:tcW w:w="1780" w:type="dxa"/>
            <w:vAlign w:val="bottom"/>
          </w:tcPr>
          <w:p>
            <w:pPr>
              <w:ind w:left="1220"/>
              <w:spacing w:after="0"/>
              <w:rPr>
                <w:sz w:val="20"/>
                <w:szCs w:val="20"/>
                <w:color w:val="auto"/>
              </w:rPr>
            </w:pPr>
            <w:r>
              <w:rPr>
                <w:rFonts w:ascii="Arial" w:cs="Arial" w:eastAsia="Arial" w:hAnsi="Arial"/>
                <w:sz w:val="18"/>
                <w:szCs w:val="18"/>
                <w:color w:val="auto"/>
              </w:rPr>
              <w:t>—</w:t>
            </w:r>
          </w:p>
        </w:tc>
        <w:tc>
          <w:tcPr>
            <w:tcW w:w="1540" w:type="dxa"/>
            <w:vAlign w:val="bottom"/>
          </w:tcPr>
          <w:p>
            <w:pPr>
              <w:ind w:left="380"/>
              <w:spacing w:after="0"/>
              <w:rPr>
                <w:sz w:val="20"/>
                <w:szCs w:val="20"/>
                <w:color w:val="auto"/>
              </w:rPr>
            </w:pPr>
            <w:r>
              <w:rPr>
                <w:rFonts w:ascii="Arial" w:cs="Arial" w:eastAsia="Arial" w:hAnsi="Arial"/>
                <w:sz w:val="18"/>
                <w:szCs w:val="18"/>
                <w:color w:val="auto"/>
              </w:rPr>
              <w:t>Phase 1</w:t>
            </w: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5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Allogeneic Hematopoietic Stem Cell Transplantation</w:t>
            </w:r>
          </w:p>
        </w:tc>
        <w:tc>
          <w:tcPr>
            <w:tcW w:w="1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Phase 2</w:t>
            </w:r>
          </w:p>
        </w:tc>
      </w:tr>
      <w:tr>
        <w:trPr>
          <w:trHeight w:val="216"/>
        </w:trPr>
        <w:tc>
          <w:tcPr>
            <w:tcW w:w="2540" w:type="dxa"/>
            <w:vAlign w:val="bottom"/>
          </w:tcPr>
          <w:p>
            <w:pPr>
              <w:spacing w:after="0"/>
              <w:rPr>
                <w:sz w:val="20"/>
                <w:szCs w:val="20"/>
                <w:color w:val="auto"/>
              </w:rPr>
            </w:pPr>
            <w:r>
              <w:rPr>
                <w:rFonts w:ascii="Arial" w:cs="Arial" w:eastAsia="Arial" w:hAnsi="Arial"/>
                <w:sz w:val="18"/>
                <w:szCs w:val="18"/>
                <w:b w:val="1"/>
                <w:bCs w:val="1"/>
                <w:color w:val="auto"/>
              </w:rPr>
              <w:t>PRECLINICAL</w:t>
            </w:r>
          </w:p>
        </w:tc>
        <w:tc>
          <w:tcPr>
            <w:tcW w:w="5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5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Ovarian and renal cancer</w:t>
            </w:r>
          </w:p>
        </w:tc>
        <w:tc>
          <w:tcPr>
            <w:tcW w:w="17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Preclinical</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product candidate.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is not unusual for the clinical development of these types of product candidates to each take five years or more, and for total development costs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product candidate. We estimate that clinical trials of the type we generally conduct are typically completed over the following timelines: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9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62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9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1 - 5 Years</w:t>
            </w: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To the extent we are unable to maintain a broad range of product candidates, our dependence on the success of one or a few product candidates increases.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the past five years through December 31, 2014, we incurred an aggregate of $279.3 million in research and development expenses. The following table indicates the amount incurred for each of our significant research programs and for other identified research and development activities during the nine months ended September 30, 2015 and 2014. The amounts disclosed in the following table reflect direct research and development costs, license fees associated with the underlying technology and an allocation of indirect research and development costs to each program.</w:t>
      </w:r>
    </w:p>
    <w:p>
      <w:pPr>
        <w:spacing w:after="0" w:line="146"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6350</wp:posOffset>
            </wp:positionV>
            <wp:extent cx="1912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tbl>
      <w:tblPr>
        <w:tblLayout w:type="fixed"/>
        <w:tblInd w:w="8840" w:type="dxa"/>
        <w:tblCellMar>
          <w:top w:w="0" w:type="dxa"/>
          <w:left w:w="0" w:type="dxa"/>
          <w:bottom w:w="0" w:type="dxa"/>
          <w:right w:w="0" w:type="dxa"/>
        </w:tblCellMar>
      </w:tblPr>
      <w:tr>
        <w:trPr>
          <w:trHeight w:val="161"/>
        </w:trPr>
        <w:tc>
          <w:tcPr>
            <w:tcW w:w="400" w:type="dxa"/>
            <w:vAlign w:val="bottom"/>
          </w:tcPr>
          <w:p>
            <w:pPr>
              <w:jc w:val="right"/>
              <w:ind w:right="28"/>
              <w:spacing w:after="0"/>
              <w:rPr>
                <w:sz w:val="20"/>
                <w:szCs w:val="20"/>
                <w:color w:val="auto"/>
              </w:rPr>
            </w:pPr>
            <w:r>
              <w:rPr>
                <w:rFonts w:ascii="Arial" w:cs="Arial" w:eastAsia="Arial" w:hAnsi="Arial"/>
                <w:sz w:val="14"/>
                <w:szCs w:val="14"/>
                <w:b w:val="1"/>
                <w:bCs w:val="1"/>
                <w:color w:val="auto"/>
                <w:w w:val="89"/>
              </w:rPr>
              <w:t>2015</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r>
      <w:tr>
        <w:trPr>
          <w:trHeight w:val="173"/>
        </w:trPr>
        <w:tc>
          <w:tcPr>
            <w:tcW w:w="400" w:type="dxa"/>
            <w:vAlign w:val="bottom"/>
          </w:tcPr>
          <w:p>
            <w:pPr>
              <w:spacing w:after="0"/>
              <w:rPr>
                <w:sz w:val="15"/>
                <w:szCs w:val="15"/>
                <w:color w:val="auto"/>
              </w:rPr>
            </w:pPr>
          </w:p>
        </w:tc>
        <w:tc>
          <w:tcPr>
            <w:tcW w:w="1540" w:type="dxa"/>
            <w:vAlign w:val="bottom"/>
          </w:tcPr>
          <w:p>
            <w:pPr>
              <w:jc w:val="right"/>
              <w:ind w:right="448"/>
              <w:spacing w:after="0"/>
              <w:rPr>
                <w:sz w:val="20"/>
                <w:szCs w:val="20"/>
                <w:color w:val="auto"/>
              </w:rPr>
            </w:pPr>
            <w:r>
              <w:rPr>
                <w:rFonts w:ascii="Arial" w:cs="Arial" w:eastAsia="Arial" w:hAnsi="Arial"/>
                <w:sz w:val="14"/>
                <w:szCs w:val="14"/>
                <w:b w:val="1"/>
                <w:b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-103505</wp:posOffset>
            </wp:positionV>
            <wp:extent cx="1912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90" w:orient="portrait"/>
          <w:cols w:equalWidth="0" w:num="1">
            <w:col w:w="11420"/>
          </w:cols>
          <w:pgMar w:left="240" w:top="125" w:right="239" w:bottom="0" w:gutter="0" w:footer="0" w:header="0"/>
        </w:sectPr>
      </w:pPr>
    </w:p>
    <w:p>
      <w:pPr>
        <w:ind w:left="180"/>
        <w:spacing w:after="0"/>
        <w:tabs>
          <w:tab w:leader="none" w:pos="8280" w:val="left"/>
          <w:tab w:leader="none" w:pos="9160" w:val="left"/>
          <w:tab w:leader="none" w:pos="9940" w:val="left"/>
          <w:tab w:leader="none" w:pos="10800" w:val="left"/>
        </w:tabs>
        <w:rPr>
          <w:sz w:val="20"/>
          <w:szCs w:val="20"/>
          <w:color w:val="auto"/>
        </w:rPr>
      </w:pPr>
      <w:r>
        <w:rPr>
          <w:rFonts w:ascii="Arial" w:cs="Arial" w:eastAsia="Arial" w:hAnsi="Arial"/>
          <w:sz w:val="18"/>
          <w:szCs w:val="18"/>
          <w:color w:val="auto"/>
        </w:rPr>
        <w:t>Rintega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34,139</w:t>
        <w:tab/>
        <w:t>$</w:t>
      </w:r>
      <w:r>
        <w:rPr>
          <w:sz w:val="20"/>
          <w:szCs w:val="20"/>
          <w:color w:val="auto"/>
        </w:rPr>
        <w:tab/>
      </w:r>
      <w:r>
        <w:rPr>
          <w:rFonts w:ascii="Arial" w:cs="Arial" w:eastAsia="Arial" w:hAnsi="Arial"/>
          <w:sz w:val="16"/>
          <w:szCs w:val="16"/>
          <w:color w:val="auto"/>
        </w:rPr>
        <w:t>39,846</w:t>
      </w:r>
    </w:p>
    <w:p>
      <w:pPr>
        <w:sectPr>
          <w:pgSz w:w="11900" w:h="16890" w:orient="portrait"/>
          <w:cols w:equalWidth="0" w:num="1">
            <w:col w:w="11420"/>
          </w:cols>
          <w:pgMar w:left="240" w:top="125" w:right="23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Glembatumumab vedotin</w:t>
            </w: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13,907</w:t>
            </w:r>
          </w:p>
        </w:tc>
        <w:tc>
          <w:tcPr>
            <w:tcW w:w="4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20,948</w:t>
            </w:r>
          </w:p>
        </w:tc>
        <w:tc>
          <w:tcPr>
            <w:tcW w:w="80" w:type="dxa"/>
            <w:vAlign w:val="bottom"/>
          </w:tcPr>
          <w:p>
            <w:pPr>
              <w:spacing w:after="0"/>
              <w:rPr>
                <w:sz w:val="20"/>
                <w:szCs w:val="20"/>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Varlilumab</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12,480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6,721</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CDX-1401</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2,820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3,379</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CDX-014</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4,782</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2,220</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3,331</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 R&amp;D Expense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76,271</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Rintega</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Rintega is an epidermal growth factor receptor variant III, or EGFRvIII, specific vaccine for glioblastoma multiforme, or GBM. EGFRvIII is a mutated form of the epidermal growth factor receptor, or EGFR, that is only expressed in cancer cells and not in normal tissue and can directly contribute to cancer cell growth. EGFRvIII is expressed in approximately 30% of GBM tumors, the most common and aggressive form of brain cancer. Rintega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Rintega for the treatment of EGFRvIII expressing GBM. The FDA has also granted Fast Track designation. In February 2015, the FDA granted Rintega Breakthrough Therapy Designation for the treatment of adult patients with EGFRvIII-positive glioblastoma.</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Phase 2a study of Rintega referred to as ACTIVATE was led by collaborating investigators at the Brain Center at Duke Comprehensive Cancer Center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87"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Phase 2b study of Rintega referred to as ACT III combined Rintega with standard of care, TMZ, in patients with newly diagnosed GBM. The ACT III study provided for a multi-center, non-randomized dataset for Rintega in 65 patients at over 30 sites throughout the United States.</w:t>
      </w:r>
    </w:p>
    <w:p>
      <w:pPr>
        <w:spacing w:after="0" w:line="14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November 2013, we announced the four- and five-year survival data from the 105 patients enrolled in the three Phase 2 Rintega clinical studies (ACTIVATE, ACT II and ACT III) in EGFRvIII-positive GBM. Across these three Phase 2 studies of Rintega, survival data remains consistent and suggests a continuing survival benefit in comparison to independent control datasets (see chart below) at the median and at all other time points evaluated.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Phase 2 Frontline Long-term Overall Survival Assessments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Median, Years</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2-year</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3-year</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4-year</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5-year</w:t>
            </w:r>
          </w:p>
        </w:tc>
      </w:tr>
      <w:tr>
        <w:trPr>
          <w:trHeight w:val="171"/>
        </w:trPr>
        <w:tc>
          <w:tcPr>
            <w:tcW w:w="38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(95% CI)</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160" w:type="dxa"/>
            <w:vAlign w:val="bottom"/>
            <w:tcBorders>
              <w:bottom w:val="single" w:sz="8" w:color="CCEEFF"/>
            </w:tcBorders>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Phase 2 Rintega studies (n=105)</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 (1.8, 2.4)</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Matched historical control (n=17)(1)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1.3 (0.9, 1.7)</w:t>
            </w:r>
          </w:p>
        </w:tc>
        <w:tc>
          <w:tcPr>
            <w:tcW w:w="2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460" w:hanging="652"/>
        <w:spacing w:after="0" w:line="277" w:lineRule="auto"/>
        <w:tabs>
          <w:tab w:leader="none" w:pos="667"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Patients treated at M.D. Anderson contemporaneously to ACTIVATE, matched for major eligibility requirements, including EGFRvIII- positive GBM, gross total resection and no disease progression through chemoradiation treatment.</w:t>
      </w:r>
    </w:p>
    <w:p>
      <w:pPr>
        <w:spacing w:after="0" w:line="170"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7"/>
          <w:szCs w:val="17"/>
          <w:color w:val="auto"/>
        </w:rPr>
        <w:t>The pooled overall long-term survival results continue to be consistent with the ACT III Phase 2 study (18% for 4-years and 14% for 5-years).</w:t>
      </w:r>
    </w:p>
    <w:p>
      <w:pPr>
        <w:spacing w:after="0" w:line="23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December 2011, we initiated ACT IV, a pivotal, randomized, double-blind, controlled Phase 3 study of Rintega in patients with surgically resected, EGFRvIII-positive GBM. Patients were randomized after the completion of surgery and standard chemoradiation treatment. The treatment regimen includes a Rintega priming phase post-radiation followed by an adjuvant phase where Rintega is dosed along with TMZ and a Rintega maintenance therapy phase. Patients are treated until disease progression or intolerance to therapy. The primary objective of the study is to determine whether Rintega plus adjuvant GM-CSF improves the overall survival of patients with newly diagnosed EGFRvIII-positive GBM with minimal residual disease post resection and traditional chemo-radiation when compared to treatment with TMZ and a control injection of KLH. KLH is a component of Rintega and was selected due to its ability to generate a similar injection site reaction to that observed with Rintega.</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In December 2014, enrollment was completed in the ACT IV study. In total, over 4,800 tissue samples from GBM patients were submitted for EGFRvIII evaluation from more than 200 clinical trial sites across 22 countries and, consistent with prior studies, 30% were positive for the EGFRvIII mutation. The study enrolled 745 patients to reach the required 374 patients with minimal residual disease (assessed by central review) needed for analysis of the primary overall survival endpoint. All patients, including patients with disease that exceed this threshold, will be included in a secondary analysis of overall survival as well as analyses of progression-free survival, safety and tolerability, and quality of life. The timing of the overall survival primary endpoint data is event-driven. The study design requires interim analyses to be conducted by an independent Data Safety and Monitoring Board (DSMB) at 50% and 75% of events (deaths). The first interim analysis occurred in June 2015 and the DSMB recommended continuation of the study as planned. We </w:t>
      </w:r>
      <w:r>
        <w:rPr>
          <w:rFonts w:ascii="Arial" w:cs="Arial" w:eastAsia="Arial" w:hAnsi="Arial"/>
          <w:sz w:val="17"/>
          <w:szCs w:val="17"/>
          <w:color w:val="auto"/>
        </w:rPr>
        <w:t>anticipate</w:t>
      </w:r>
      <w:r>
        <w:rPr>
          <w:rFonts w:ascii="Arial" w:cs="Arial" w:eastAsia="Arial" w:hAnsi="Arial"/>
          <w:sz w:val="18"/>
          <w:szCs w:val="18"/>
          <w:color w:val="auto"/>
        </w:rPr>
        <w:t xml:space="preserve"> </w:t>
      </w:r>
      <w:r>
        <w:rPr>
          <w:rFonts w:ascii="Arial" w:cs="Arial" w:eastAsia="Arial" w:hAnsi="Arial"/>
          <w:sz w:val="17"/>
          <w:szCs w:val="17"/>
          <w:color w:val="auto"/>
        </w:rPr>
        <w:t xml:space="preserve">that ACT IV will reach the required number of events to perform the second interim analysis in late 2015 and that the analysis will occur in early 2016. </w:t>
      </w:r>
      <w:r>
        <w:rPr>
          <w:rFonts w:ascii="Arial" w:cs="Arial" w:eastAsia="Arial" w:hAnsi="Arial"/>
          <w:sz w:val="18"/>
          <w:szCs w:val="18"/>
          <w:color w:val="auto"/>
        </w:rPr>
        <w:t>Final</w:t>
      </w:r>
      <w:r>
        <w:rPr>
          <w:rFonts w:ascii="Arial" w:cs="Arial" w:eastAsia="Arial" w:hAnsi="Arial"/>
          <w:sz w:val="17"/>
          <w:szCs w:val="17"/>
          <w:color w:val="auto"/>
        </w:rPr>
        <w:t xml:space="preserve"> </w:t>
      </w:r>
      <w:r>
        <w:rPr>
          <w:rFonts w:ascii="Arial" w:cs="Arial" w:eastAsia="Arial" w:hAnsi="Arial"/>
          <w:sz w:val="18"/>
          <w:szCs w:val="18"/>
          <w:color w:val="auto"/>
        </w:rPr>
        <w:t>data from ACT IV are expected by the end of 2016; although our expectations regarding the timing for the final data read out may change based on event rates.</w:t>
      </w:r>
    </w:p>
    <w:p>
      <w:pPr>
        <w:spacing w:after="0" w:line="195" w:lineRule="exact"/>
        <w:rPr>
          <w:sz w:val="20"/>
          <w:szCs w:val="20"/>
          <w:color w:val="auto"/>
        </w:rPr>
      </w:pPr>
    </w:p>
    <w:p>
      <w:pPr>
        <w:ind w:right="20" w:firstLine="648"/>
        <w:spacing w:after="0" w:line="280" w:lineRule="auto"/>
        <w:rPr>
          <w:sz w:val="20"/>
          <w:szCs w:val="20"/>
          <w:color w:val="auto"/>
        </w:rPr>
      </w:pPr>
      <w:r>
        <w:rPr>
          <w:rFonts w:ascii="Arial" w:cs="Arial" w:eastAsia="Arial" w:hAnsi="Arial"/>
          <w:sz w:val="16"/>
          <w:szCs w:val="16"/>
          <w:color w:val="auto"/>
        </w:rPr>
        <w:t>In December 2011, we also initiated ReACT, a Phase 2 study of Rintega in combination with Avastin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patients with recurrent EGFRvIII-positive GBM. This study completed enrollment in 2014 and includes 3 groups. Group 1 consists of 72 patients who had not previously received Avastin and were randomized to receive either Rintega and Avastin or a control injection of KLH and Avastin in a blinded fashion. Group 2 includes 25 patients who are refractory to Avastin having received Avastin in either the frontline or recurrent setting with subsequent progression and who received Rintega plus Avastin in a single treatment arm. In August 2013, we announced the addition of an expansion cohort of up to 75 patients, called Group 2C, to better characterize the potential activity of Rintega in this refractory patient population. This decision was based on early evidence of anti-tumor activity, including stable disease, tumor shrinkage and investigator-reported response. In total, Group 2C enrolled 28 patients. The primary endpoint is six month progression-free survival rate</w:t>
      </w:r>
    </w:p>
    <w:p>
      <w:pPr>
        <w:sectPr>
          <w:pgSz w:w="11900" w:h="16838" w:orient="portrait"/>
          <w:cols w:equalWidth="0" w:num="1">
            <w:col w:w="11420"/>
          </w:cols>
          <w:pgMar w:left="240" w:top="125" w:right="239" w:bottom="0" w:gutter="0" w:footer="0" w:header="0"/>
        </w:sectPr>
      </w:pPr>
    </w:p>
    <w:bookmarkStart w:id="11" w:name="page12"/>
    <w:bookmarkEnd w:id="11"/>
    <w:p>
      <w:pPr>
        <w:ind w:right="320"/>
        <w:spacing w:after="0" w:line="277" w:lineRule="auto"/>
        <w:rPr>
          <w:sz w:val="20"/>
          <w:szCs w:val="20"/>
          <w:color w:val="auto"/>
        </w:rPr>
      </w:pPr>
      <w:r>
        <w:rPr>
          <w:rFonts w:ascii="Arial" w:cs="Arial" w:eastAsia="Arial" w:hAnsi="Arial"/>
          <w:sz w:val="18"/>
          <w:szCs w:val="18"/>
          <w:color w:val="auto"/>
        </w:rPr>
        <w:t>(PFS-6) for groups 1 and 2 and objective response rate (ORR) for group 2C. Other study endpoints include PFS-6, ORR, PFS, overall survival, or OS and safety and tolerability.</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May 2015, we reported the following updated data from Group 1 of the ReACT study. These data were adjudicated by an independent review committee (IRC) blinded to treatment group assignment and included study results through March 2015 for both intent to treat (ITT) and per protocol (PP) populations; tumor responses were evaluated in accordance with Response Assessment in Neuro-Oncology (RANO) criteria. The IRC analyses are statistically equivalent with and confirm previously reported results. The primary endpoint of the study, progression-free survival at six months (PFS6), was met, and a clear advantage was demonstrated across multiple, clinically important endpoints including overall survival (OS), long-term progression-free survival, objective response rate (ORR) and need for steroids. We continue to follow patients in this study and will present an update on overall survival and long-term survival in a podium presentation at the 20th Annual Scientific Meeting of the Society for Neuro-Oncology (SNO) on Friday, November 20</w:t>
      </w:r>
      <w:r>
        <w:rPr>
          <w:rFonts w:ascii="Arial" w:cs="Arial" w:eastAsia="Arial" w:hAnsi="Arial"/>
          <w:sz w:val="20"/>
          <w:szCs w:val="20"/>
          <w:color w:val="auto"/>
          <w:vertAlign w:val="superscript"/>
        </w:rPr>
        <w:t>th</w:t>
      </w:r>
      <w:r>
        <w:rPr>
          <w:rFonts w:ascii="Arial" w:cs="Arial" w:eastAsia="Arial" w:hAnsi="Arial"/>
          <w:sz w:val="16"/>
          <w:szCs w:val="16"/>
          <w:color w:val="auto"/>
        </w:rPr>
        <w: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Updated Data</w:t>
      </w:r>
    </w:p>
    <w:p>
      <w:pPr>
        <w:spacing w:after="0" w:line="225" w:lineRule="exact"/>
        <w:rPr>
          <w:sz w:val="20"/>
          <w:szCs w:val="20"/>
          <w:color w:val="auto"/>
        </w:rPr>
      </w:pPr>
    </w:p>
    <w:p>
      <w:pPr>
        <w:ind w:left="980" w:right="220" w:hanging="324"/>
        <w:spacing w:after="0" w:line="266"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PFS6: </w:t>
      </w:r>
      <w:r>
        <w:rPr>
          <w:rFonts w:ascii="Arial" w:cs="Arial" w:eastAsia="Arial" w:hAnsi="Arial"/>
          <w:sz w:val="18"/>
          <w:szCs w:val="18"/>
          <w:color w:val="auto"/>
        </w:rPr>
        <w:t>The primary endpoint of the study, PFS6, was met. In the ITT population, 28% of patients on the Rintega arm were progression free at</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compared to 16% of patients on the control arm (p=0.1163). In the PP population, 30% of patients on the Rintega arm were progression free at six months compared to 12% of patients on the control arm (p=0.0310).</w:t>
      </w:r>
    </w:p>
    <w:p>
      <w:pPr>
        <w:spacing w:after="0" w:line="176" w:lineRule="exact"/>
        <w:rPr>
          <w:rFonts w:ascii="Arial" w:cs="Arial" w:eastAsia="Arial" w:hAnsi="Arial"/>
          <w:sz w:val="18"/>
          <w:szCs w:val="18"/>
          <w:color w:val="auto"/>
        </w:rPr>
      </w:pPr>
    </w:p>
    <w:p>
      <w:pPr>
        <w:jc w:val="both"/>
        <w:ind w:left="980" w:right="100" w:hanging="324"/>
        <w:spacing w:after="0" w:line="303"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Survival: </w:t>
      </w:r>
      <w:r>
        <w:rPr>
          <w:rFonts w:ascii="Arial" w:cs="Arial" w:eastAsia="Arial" w:hAnsi="Arial"/>
          <w:sz w:val="16"/>
          <w:szCs w:val="16"/>
          <w:color w:val="auto"/>
        </w:rPr>
        <w:t>The ITT population OS demonstrated a statistically significant benefit (p=0.0386) with a hazard ratio of 0.57 (0.33, 0.98) in favor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Rintega treated patients. Median OS was 11.6 months for patients treated with Rintega compared to 9.3 months for control patients. The PP population OS demonstrated a statistically significant benefit (p=0.0244) with a hazard ratio of 0.53 (0.30, 0.93) in favor of the Rintega treated patients. Median OS was 10.9 months for patients treated with Rintega compared to 8.5 months for control patients.</w:t>
      </w:r>
    </w:p>
    <w:p>
      <w:pPr>
        <w:spacing w:after="0" w:line="151" w:lineRule="exact"/>
        <w:rPr>
          <w:rFonts w:ascii="Arial" w:cs="Arial" w:eastAsia="Arial" w:hAnsi="Arial"/>
          <w:sz w:val="16"/>
          <w:szCs w:val="16"/>
          <w:color w:val="auto"/>
        </w:rPr>
      </w:pPr>
    </w:p>
    <w:p>
      <w:pPr>
        <w:ind w:left="980" w:right="120" w:hanging="324"/>
        <w:spacing w:after="0" w:line="256"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Response Rate: </w:t>
      </w:r>
      <w:r>
        <w:rPr>
          <w:rFonts w:ascii="Arial" w:cs="Arial" w:eastAsia="Arial" w:hAnsi="Arial"/>
          <w:sz w:val="18"/>
          <w:szCs w:val="18"/>
          <w:color w:val="auto"/>
        </w:rPr>
        <w:t>Nine out of 30 evaluable ITT patients (30%) on the Rintega arm experienced a confirmed objective response versus six out of</w:t>
      </w:r>
      <w:r>
        <w:rPr>
          <w:rFonts w:ascii="Arial" w:cs="Arial" w:eastAsia="Arial" w:hAnsi="Arial"/>
          <w:sz w:val="18"/>
          <w:szCs w:val="18"/>
          <w:b w:val="1"/>
          <w:bCs w:val="1"/>
          <w:color w:val="auto"/>
        </w:rPr>
        <w:t xml:space="preserve"> </w:t>
      </w:r>
      <w:r>
        <w:rPr>
          <w:rFonts w:ascii="Arial" w:cs="Arial" w:eastAsia="Arial" w:hAnsi="Arial"/>
          <w:sz w:val="18"/>
          <w:szCs w:val="18"/>
          <w:color w:val="auto"/>
        </w:rPr>
        <w:t>34 evaluable patients (18%) on the control arm. Nine out of 29 evaluable PP patients (31%) on the Rintega arm experienced a confirmed objective response versus five out of 32 evaluable patients (16%) on the control arm. Five patients on the Rintega arm experienced durable responses greater than six months, and three of these patients experienced durable responses greater than one year (range of 14.8+ to 18.4+ months). In contrast, only one patient on the control arm experienced a durable response greater than six months, and none experienced a response greater than one year.</w:t>
      </w:r>
    </w:p>
    <w:p>
      <w:pPr>
        <w:spacing w:after="0" w:line="187" w:lineRule="exact"/>
        <w:rPr>
          <w:rFonts w:ascii="Arial" w:cs="Arial" w:eastAsia="Arial" w:hAnsi="Arial"/>
          <w:sz w:val="18"/>
          <w:szCs w:val="18"/>
          <w:color w:val="auto"/>
        </w:rPr>
      </w:pPr>
    </w:p>
    <w:p>
      <w:pPr>
        <w:ind w:left="980" w:right="20" w:hanging="324"/>
        <w:spacing w:after="0" w:line="303"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Steroid Use: </w:t>
      </w:r>
      <w:r>
        <w:rPr>
          <w:rFonts w:ascii="Arial" w:cs="Arial" w:eastAsia="Arial" w:hAnsi="Arial"/>
          <w:sz w:val="16"/>
          <w:szCs w:val="16"/>
          <w:color w:val="auto"/>
        </w:rPr>
        <w:t>Further emphasizing the level of disease control, 56% of patients on the Rintega arm who were on steroids at the start of treatment</w:t>
      </w:r>
      <w:r>
        <w:rPr>
          <w:rFonts w:ascii="Arial" w:cs="Arial" w:eastAsia="Arial" w:hAnsi="Arial"/>
          <w:sz w:val="16"/>
          <w:szCs w:val="16"/>
          <w:b w:val="1"/>
          <w:bCs w:val="1"/>
          <w:color w:val="auto"/>
        </w:rPr>
        <w:t xml:space="preserve"> </w:t>
      </w:r>
      <w:r>
        <w:rPr>
          <w:rFonts w:ascii="Arial" w:cs="Arial" w:eastAsia="Arial" w:hAnsi="Arial"/>
          <w:sz w:val="16"/>
          <w:szCs w:val="16"/>
          <w:color w:val="auto"/>
        </w:rPr>
        <w:t>were able to stop steroids during treatment versus 42% on the control arm, and 44% of patients on the Rintega arm were able to stop steroids for at least two months during treatment versus only 21% on the control arm. Six patients on the Rintega arm were able to stop steroids for more than six months, and of these, three were able to stop for more than one year versus none on the control arm for either time point.</w:t>
      </w:r>
    </w:p>
    <w:p>
      <w:pPr>
        <w:spacing w:after="0" w:line="151" w:lineRule="exact"/>
        <w:rPr>
          <w:rFonts w:ascii="Arial" w:cs="Arial" w:eastAsia="Arial" w:hAnsi="Arial"/>
          <w:sz w:val="16"/>
          <w:szCs w:val="16"/>
          <w:color w:val="auto"/>
        </w:rPr>
      </w:pPr>
    </w:p>
    <w:p>
      <w:pPr>
        <w:ind w:left="980" w:right="140" w:hanging="324"/>
        <w:spacing w:after="0" w:line="266"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Immune Response: </w:t>
      </w:r>
      <w:r>
        <w:rPr>
          <w:rFonts w:ascii="Arial" w:cs="Arial" w:eastAsia="Arial" w:hAnsi="Arial"/>
          <w:sz w:val="18"/>
          <w:szCs w:val="18"/>
          <w:color w:val="auto"/>
        </w:rPr>
        <w:t>Rapid generation of anti-EGFRvIII humoral response correlated with longer survival, though even those with slower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immune responses benefitted. No patient in the control arm had detectable EGFRvIII specific antibody response. This effect is consistent with Rintega’s proposed mechanism of action as a targeted immunotherapeutic vaccine.</w:t>
      </w:r>
    </w:p>
    <w:p>
      <w:pPr>
        <w:spacing w:after="0" w:line="176" w:lineRule="exact"/>
        <w:rPr>
          <w:rFonts w:ascii="Arial" w:cs="Arial" w:eastAsia="Arial" w:hAnsi="Arial"/>
          <w:sz w:val="18"/>
          <w:szCs w:val="18"/>
          <w:color w:val="auto"/>
        </w:rPr>
      </w:pPr>
    </w:p>
    <w:p>
      <w:pPr>
        <w:ind w:left="980" w:right="460" w:hanging="324"/>
        <w:spacing w:after="0" w:line="266"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Subgroup analyses, including performance status, steroid use and recent resection, favor Rintega treatment. Rintega was very well</w:t>
      </w:r>
      <w:r>
        <w:rPr>
          <w:rFonts w:ascii="Arial" w:cs="Arial" w:eastAsia="Arial" w:hAnsi="Arial"/>
          <w:sz w:val="18"/>
          <w:szCs w:val="18"/>
          <w:b w:val="1"/>
          <w:bCs w:val="1"/>
          <w:color w:val="auto"/>
        </w:rPr>
        <w:t xml:space="preserve"> </w:t>
      </w:r>
      <w:r>
        <w:rPr>
          <w:rFonts w:ascii="Arial" w:cs="Arial" w:eastAsia="Arial" w:hAnsi="Arial"/>
          <w:sz w:val="18"/>
          <w:szCs w:val="18"/>
          <w:color w:val="auto"/>
        </w:rPr>
        <w:t>tolerated without additive toxicity to Avastin. In Group 2/2C, evidence of rare but prominent tumor regression was reported with an 11% objective response rate observed in this heavily pretreated, refractory patient population.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color w:val="auto"/>
        </w:rPr>
        <w:t>Glembatumumab vedotin is an antibody-drug conjugate, or ADC, that consists of a fully-human monoclonal antibody, CR011, linked to a potent cell-killing drug, monomethyl-auristatin E, or MMAE. The CR011 antibody specifically targets glycoprotein NMB, referred to as gpNMB, that is over-expressed in a variety of cancers including breast cancer and melanoma. The ADC technology, comprised of MMAE and a stable linker system for attaching it to CR011, was licensed from Seattle Genetics, Inc. and is the same as that used in the marketed product Adcetris</w:t>
      </w:r>
      <w:r>
        <w:rPr>
          <w:rFonts w:ascii="Arial" w:cs="Arial" w:eastAsia="Arial" w:hAnsi="Arial"/>
          <w:sz w:val="22"/>
          <w:szCs w:val="22"/>
          <w:color w:val="auto"/>
          <w:vertAlign w:val="superscript"/>
        </w:rPr>
        <w:t>®</w:t>
      </w:r>
      <w:r>
        <w:rPr>
          <w:rFonts w:ascii="Arial" w:cs="Arial" w:eastAsia="Arial" w:hAnsi="Arial"/>
          <w:sz w:val="17"/>
          <w:szCs w:val="17"/>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86"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The Phase 1/2 study of glembatumumab vedotin administered intravenously once every three weeks evaluated</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with locally advanced or metastatic breast cancer who had received prior therapy (median of seven prior regimens). The study began with a bridging phase to confirm the maximum tolerated dose, or MTD, and then expanded into a Phase 2 open-label, multi-center study. The study confirmed the safety of glembatumumab vedotin at the 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 free at 12 weeks, was met as 9 of 26 (35%) evaluable patients were progression-free at 12 weeks.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ectPr>
          <w:pgSz w:w="11900" w:h="16838" w:orient="portrait"/>
          <w:cols w:equalWidth="0" w:num="1">
            <w:col w:w="11400"/>
          </w:cols>
          <w:pgMar w:left="240" w:top="125" w:right="259" w:bottom="0" w:gutter="0" w:footer="0" w:header="0"/>
        </w:sectPr>
      </w:pPr>
    </w:p>
    <w:bookmarkStart w:id="12" w:name="page13"/>
    <w:bookmarkEnd w:id="12"/>
    <w:p>
      <w:pPr>
        <w:ind w:right="140" w:firstLine="648"/>
        <w:spacing w:after="0" w:line="271" w:lineRule="auto"/>
        <w:rPr>
          <w:sz w:val="20"/>
          <w:szCs w:val="20"/>
          <w:color w:val="auto"/>
        </w:rPr>
      </w:pPr>
      <w:r>
        <w:rPr>
          <w:rFonts w:ascii="Arial" w:cs="Arial" w:eastAsia="Arial" w:hAnsi="Arial"/>
          <w:sz w:val="17"/>
          <w:szCs w:val="17"/>
          <w:color w:val="auto"/>
        </w:rPr>
        <w:t>In December 2012, we announced final results from the EMERGE study, a randomized, multi-center Phase 2b study of glembatumumab vedotin in 122 patients with heavily pre-treated, advanced, gpNMB 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at least 25% of tumor cells) and in patients with triple negative breast cancer. The OS and PFS of patients treated with glembatumumab vedotin was also observed to be greatest in patients with triple negative breast cancer who also over-express gpNMB and all patients with gpNMB over-expression.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Triple Negative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3280" w:type="dxa"/>
            <w:vAlign w:val="bottom"/>
            <w:gridSpan w:val="4"/>
            <w:vMerge w:val="restart"/>
          </w:tcPr>
          <w:p>
            <w:pPr>
              <w:jc w:val="right"/>
              <w:ind w:right="1000"/>
              <w:spacing w:after="0"/>
              <w:rPr>
                <w:sz w:val="20"/>
                <w:szCs w:val="20"/>
                <w:color w:val="auto"/>
              </w:rPr>
            </w:pPr>
            <w:r>
              <w:rPr>
                <w:rFonts w:ascii="Arial" w:cs="Arial" w:eastAsia="Arial" w:hAnsi="Arial"/>
                <w:sz w:val="14"/>
                <w:szCs w:val="14"/>
                <w:b w:val="1"/>
                <w:bCs w:val="1"/>
                <w:color w:val="auto"/>
              </w:rPr>
              <w:t>gpNMB Over-Expression</w:t>
            </w:r>
          </w:p>
        </w:tc>
        <w:tc>
          <w:tcPr>
            <w:tcW w:w="1920" w:type="dxa"/>
            <w:vAlign w:val="bottom"/>
            <w:gridSpan w:val="3"/>
          </w:tcPr>
          <w:p>
            <w:pPr>
              <w:jc w:val="center"/>
              <w:ind w:left="1044"/>
              <w:spacing w:after="0" w:line="149" w:lineRule="exact"/>
              <w:rPr>
                <w:sz w:val="20"/>
                <w:szCs w:val="20"/>
                <w:color w:val="auto"/>
              </w:rPr>
            </w:pPr>
            <w:r>
              <w:rPr>
                <w:rFonts w:ascii="Arial" w:cs="Arial" w:eastAsia="Arial" w:hAnsi="Arial"/>
                <w:sz w:val="14"/>
                <w:szCs w:val="14"/>
                <w:b w:val="1"/>
                <w:bCs w:val="1"/>
                <w:color w:val="auto"/>
                <w:w w:val="97"/>
              </w:rPr>
              <w:t>and gpNMB</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3280" w:type="dxa"/>
            <w:vAlign w:val="bottom"/>
            <w:gridSpan w:val="4"/>
            <w:vMerge w:val="continue"/>
          </w:tcPr>
          <w:p>
            <w:pPr>
              <w:spacing w:after="0"/>
              <w:rPr>
                <w:sz w:val="14"/>
                <w:szCs w:val="14"/>
                <w:color w:val="auto"/>
              </w:rPr>
            </w:pPr>
          </w:p>
        </w:tc>
        <w:tc>
          <w:tcPr>
            <w:tcW w:w="3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Over-Expression</w:t>
            </w: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glembatumumab</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280" w:type="dxa"/>
            <w:vAlign w:val="bottom"/>
          </w:tcPr>
          <w:p>
            <w:pPr>
              <w:spacing w:after="0"/>
              <w:rPr>
                <w:sz w:val="10"/>
                <w:szCs w:val="10"/>
                <w:color w:val="auto"/>
              </w:rPr>
            </w:pPr>
          </w:p>
        </w:tc>
        <w:tc>
          <w:tcPr>
            <w:tcW w:w="192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glembatumumab</w:t>
            </w:r>
          </w:p>
        </w:tc>
        <w:tc>
          <w:tcPr>
            <w:tcW w:w="1100" w:type="dxa"/>
            <w:vAlign w:val="bottom"/>
            <w:tcBorders>
              <w:top w:val="single" w:sz="8" w:color="auto"/>
            </w:tcBorders>
          </w:tcPr>
          <w:p>
            <w:pPr>
              <w:jc w:val="center"/>
              <w:ind w:right="202"/>
              <w:spacing w:after="0" w:line="119" w:lineRule="exact"/>
              <w:rPr>
                <w:sz w:val="20"/>
                <w:szCs w:val="20"/>
                <w:color w:val="auto"/>
              </w:rPr>
            </w:pPr>
            <w:r>
              <w:rPr>
                <w:rFonts w:ascii="Arial" w:cs="Arial" w:eastAsia="Arial" w:hAnsi="Arial"/>
                <w:sz w:val="13"/>
                <w:szCs w:val="13"/>
                <w:b w:val="1"/>
                <w:bCs w:val="1"/>
                <w:color w:val="auto"/>
              </w:rPr>
              <w:t>Investigator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vedotin</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Choice</w:t>
            </w:r>
          </w:p>
        </w:tc>
        <w:tc>
          <w:tcPr>
            <w:tcW w:w="19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vedotin</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(n=25)</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(n=8)</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(n=12)</w:t>
            </w: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ind w:right="182"/>
              <w:spacing w:after="0" w:line="142" w:lineRule="exact"/>
              <w:rPr>
                <w:sz w:val="20"/>
                <w:szCs w:val="20"/>
                <w:color w:val="auto"/>
              </w:rPr>
            </w:pPr>
            <w:r>
              <w:rPr>
                <w:rFonts w:ascii="Arial" w:cs="Arial" w:eastAsia="Arial" w:hAnsi="Arial"/>
                <w:sz w:val="14"/>
                <w:szCs w:val="14"/>
                <w:b w:val="1"/>
                <w:bCs w:val="1"/>
                <w:color w:val="auto"/>
                <w:w w:val="94"/>
              </w:rPr>
              <w:t>(n=4)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Response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Disease Control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Progression Free Survival (PFS) and Overall Survival (OS)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gridSpan w:val="3"/>
            <w:vMerge w:val="restart"/>
          </w:tcPr>
          <w:p>
            <w:pPr>
              <w:jc w:val="center"/>
              <w:ind w:right="911"/>
              <w:spacing w:after="0"/>
              <w:rPr>
                <w:sz w:val="20"/>
                <w:szCs w:val="20"/>
                <w:color w:val="auto"/>
              </w:rPr>
            </w:pPr>
            <w:r>
              <w:rPr>
                <w:rFonts w:ascii="Arial" w:cs="Arial" w:eastAsia="Arial" w:hAnsi="Arial"/>
                <w:sz w:val="14"/>
                <w:szCs w:val="14"/>
                <w:b w:val="1"/>
                <w:bCs w:val="1"/>
                <w:color w:val="auto"/>
                <w:w w:val="97"/>
              </w:rPr>
              <w:t>gpNMB</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Triple Negative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3"/>
          </w:tcPr>
          <w:p>
            <w:pPr>
              <w:jc w:val="center"/>
              <w:ind w:left="1001"/>
              <w:spacing w:after="0" w:line="149" w:lineRule="exact"/>
              <w:rPr>
                <w:sz w:val="20"/>
                <w:szCs w:val="20"/>
                <w:color w:val="auto"/>
              </w:rPr>
            </w:pPr>
            <w:r>
              <w:rPr>
                <w:rFonts w:ascii="Arial" w:cs="Arial" w:eastAsia="Arial" w:hAnsi="Arial"/>
                <w:sz w:val="14"/>
                <w:szCs w:val="14"/>
                <w:b w:val="1"/>
                <w:bCs w:val="1"/>
                <w:color w:val="auto"/>
                <w:w w:val="97"/>
              </w:rPr>
              <w:t>and gpNMB</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4"/>
          </w:tcPr>
          <w:p>
            <w:pPr>
              <w:jc w:val="center"/>
              <w:ind w:left="180"/>
              <w:spacing w:after="0"/>
              <w:rPr>
                <w:sz w:val="20"/>
                <w:szCs w:val="20"/>
                <w:color w:val="auto"/>
              </w:rPr>
            </w:pPr>
            <w:r>
              <w:rPr>
                <w:rFonts w:ascii="Arial" w:cs="Arial" w:eastAsia="Arial" w:hAnsi="Arial"/>
                <w:sz w:val="14"/>
                <w:szCs w:val="14"/>
                <w:b w:val="1"/>
                <w:bCs w:val="1"/>
                <w:color w:val="auto"/>
                <w:w w:val="92"/>
              </w:rPr>
              <w:t>Over-Expression</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Over-Expression</w:t>
            </w: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Borders>
              <w:top w:val="single" w:sz="8" w:color="auto"/>
            </w:tcBorders>
          </w:tcPr>
          <w:p>
            <w:pPr>
              <w:jc w:val="center"/>
              <w:ind w:left="40"/>
              <w:spacing w:after="0" w:line="119" w:lineRule="exact"/>
              <w:rPr>
                <w:sz w:val="20"/>
                <w:szCs w:val="20"/>
                <w:color w:val="auto"/>
              </w:rPr>
            </w:pPr>
            <w:r>
              <w:rPr>
                <w:rFonts w:ascii="Arial" w:cs="Arial" w:eastAsia="Arial" w:hAnsi="Arial"/>
                <w:sz w:val="13"/>
                <w:szCs w:val="13"/>
                <w:b w:val="1"/>
                <w:bCs w:val="1"/>
                <w:color w:val="auto"/>
                <w:w w:val="99"/>
              </w:rPr>
              <w:t>glembatumumab</w:t>
            </w: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191"/>
              <w:spacing w:after="0" w:line="119" w:lineRule="exact"/>
              <w:rPr>
                <w:sz w:val="20"/>
                <w:szCs w:val="20"/>
                <w:color w:val="auto"/>
              </w:rPr>
            </w:pPr>
            <w:r>
              <w:rPr>
                <w:rFonts w:ascii="Arial" w:cs="Arial" w:eastAsia="Arial" w:hAnsi="Arial"/>
                <w:sz w:val="13"/>
                <w:szCs w:val="13"/>
                <w:b w:val="1"/>
                <w:bCs w:val="1"/>
                <w:color w:val="auto"/>
              </w:rPr>
              <w:t>Investigator</w:t>
            </w:r>
          </w:p>
        </w:tc>
        <w:tc>
          <w:tcPr>
            <w:tcW w:w="2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92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9"/>
              </w:rPr>
              <w:t>glembatumumab</w:t>
            </w:r>
          </w:p>
        </w:tc>
        <w:tc>
          <w:tcPr>
            <w:tcW w:w="1100" w:type="dxa"/>
            <w:vAlign w:val="bottom"/>
            <w:tcBorders>
              <w:top w:val="single" w:sz="8" w:color="auto"/>
            </w:tcBorders>
          </w:tcPr>
          <w:p>
            <w:pPr>
              <w:jc w:val="center"/>
              <w:ind w:right="200"/>
              <w:spacing w:after="0" w:line="119" w:lineRule="exact"/>
              <w:rPr>
                <w:sz w:val="20"/>
                <w:szCs w:val="20"/>
                <w:color w:val="auto"/>
              </w:rPr>
            </w:pPr>
            <w:r>
              <w:rPr>
                <w:rFonts w:ascii="Arial" w:cs="Arial" w:eastAsia="Arial" w:hAnsi="Arial"/>
                <w:sz w:val="13"/>
                <w:szCs w:val="13"/>
                <w:b w:val="1"/>
                <w:bCs w:val="1"/>
                <w:color w:val="auto"/>
              </w:rPr>
              <w:t>Investigator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center"/>
              <w:ind w:left="40"/>
              <w:spacing w:after="0"/>
              <w:rPr>
                <w:sz w:val="20"/>
                <w:szCs w:val="20"/>
                <w:color w:val="auto"/>
              </w:rPr>
            </w:pPr>
            <w:r>
              <w:rPr>
                <w:rFonts w:ascii="Arial" w:cs="Arial" w:eastAsia="Arial" w:hAnsi="Arial"/>
                <w:sz w:val="14"/>
                <w:szCs w:val="14"/>
                <w:b w:val="1"/>
                <w:bCs w:val="1"/>
                <w:color w:val="auto"/>
                <w:w w:val="88"/>
              </w:rPr>
              <w:t>vedotin</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left="191"/>
              <w:spacing w:after="0"/>
              <w:rPr>
                <w:sz w:val="20"/>
                <w:szCs w:val="20"/>
                <w:color w:val="auto"/>
              </w:rPr>
            </w:pPr>
            <w:r>
              <w:rPr>
                <w:rFonts w:ascii="Arial" w:cs="Arial" w:eastAsia="Arial" w:hAnsi="Arial"/>
                <w:sz w:val="14"/>
                <w:szCs w:val="14"/>
                <w:b w:val="1"/>
                <w:bCs w:val="1"/>
                <w:color w:val="auto"/>
                <w:w w:val="89"/>
              </w:rPr>
              <w:t>Choice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vedotin</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40"/>
              <w:spacing w:after="0"/>
              <w:rPr>
                <w:sz w:val="20"/>
                <w:szCs w:val="20"/>
                <w:color w:val="auto"/>
              </w:rPr>
            </w:pPr>
            <w:r>
              <w:rPr>
                <w:rFonts w:ascii="Arial" w:cs="Arial" w:eastAsia="Arial" w:hAnsi="Arial"/>
                <w:sz w:val="18"/>
                <w:szCs w:val="18"/>
                <w:color w:val="auto"/>
                <w:w w:val="95"/>
              </w:rPr>
              <w:t>2.7</w:t>
            </w: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40"/>
              <w:spacing w:after="0"/>
              <w:rPr>
                <w:sz w:val="20"/>
                <w:szCs w:val="20"/>
                <w:color w:val="auto"/>
              </w:rPr>
            </w:pPr>
            <w:r>
              <w:rPr>
                <w:rFonts w:ascii="Arial" w:cs="Arial" w:eastAsia="Arial" w:hAnsi="Arial"/>
                <w:sz w:val="18"/>
                <w:szCs w:val="18"/>
                <w:color w:val="auto"/>
                <w:w w:val="93"/>
              </w:rPr>
              <w:t>p=0.14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1"/>
              </w:rPr>
              <w:t>p=0.008</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Median OS (months)</w:t>
            </w:r>
          </w:p>
        </w:tc>
        <w:tc>
          <w:tcPr>
            <w:tcW w:w="1540" w:type="dxa"/>
            <w:vAlign w:val="bottom"/>
            <w:gridSpan w:val="2"/>
          </w:tcPr>
          <w:p>
            <w:pPr>
              <w:jc w:val="center"/>
              <w:ind w:left="330"/>
              <w:spacing w:after="0" w:line="201" w:lineRule="exact"/>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5.7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center"/>
              <w:ind w:left="40"/>
              <w:spacing w:after="0"/>
              <w:rPr>
                <w:sz w:val="20"/>
                <w:szCs w:val="20"/>
                <w:color w:val="auto"/>
              </w:rPr>
            </w:pPr>
            <w:r>
              <w:rPr>
                <w:rFonts w:ascii="Arial" w:cs="Arial" w:eastAsia="Arial" w:hAnsi="Arial"/>
                <w:sz w:val="18"/>
                <w:szCs w:val="18"/>
                <w:color w:val="auto"/>
                <w:w w:val="93"/>
              </w:rPr>
              <w:t>p=0.18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p=0.003</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When cross over patients are removed, median OS in patients with gpNMB over-expression is 10.0 months for glembatumumab vedotin vs 5.2 months for IC (p=0.05) and median OS in triple negative patients with gpNMB over- expression is 10.0 months for glembatumumab vedotin vs 5.2 months for IC (p=0.009).</w:t>
      </w:r>
    </w:p>
    <w:p>
      <w:pPr>
        <w:spacing w:after="0" w:line="1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December 2013, we initiated METRIC, a randomized, controlled Phase 2b study of glembatumumab vedotin in patients with triple negative breast cancer that over-express gpNMB. Clinical trial sites are open to enrollment across the United States, Canada and Australia and trial expansion into the European Union is underway with enrollment planned to open in early 2016. Feedback from clinical investigators conducting the study indicated that the eligibility criteria for study entry were limiting their ability to enroll patients they felt were clinically appropriate on study. In addition, we had spoken to country-specific members of the European Medicines Agency, or EMA, and believed a significant opportunity existed to expand the study into the EU. Based on these factors, in the fourth quarter of 2014, we amended the METRIC study and expanded patient entry criteria to position it for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We implemented these changes in parallel to regulatory discussions to maintain momentum at open clinical trial sites. Since implementation, both the FDA and central European regulatory authorities have reviewed the protocol design and we believe the METRIC study could support marketing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approval in both the US and Europe dependent upon data review. Based on current projections, we believe enrollment will be completed in the second half of 2016.</w:t>
      </w:r>
    </w:p>
    <w:p>
      <w:pPr>
        <w:spacing w:after="0" w:line="16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The Phase 1/2 open-label, multi-center, dose escalation study evaluated the safety, tolerability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pharmacokinetics of glembatumumab vedotin in 117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6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December 2014, we initiated a single arm, open-label Phase 2 study of glembatumumab vedotin in patients with unresectable Stage III or IV melanoma. The study is expected to include approximately 10 sites in the United States and will enroll approximately 60 patients. The primary objective is to evaluate the anticancer activity of glembatumumab vedotin in advanced melanoma as measured by the ORR. Secondary endpoints include analyses of PFS, duration of response, OS, retrospective investigation of whether the anticancer activity of glembatumumab vedotin is dependent upon the degree of gpNMB expression in tumor tissue and safety.</w:t>
      </w:r>
    </w:p>
    <w:p>
      <w:pPr>
        <w:spacing w:after="0" w:line="188"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We have completed the assay optimization and validation for a Phase 2 study in squamous cell lung cancer and expect the study will commence in the first quarter of 2016. We have also entered into a Cooperative Research and Development Agreement, or CRADA, with the National Cancer Institute, or NCI, under which NCI will sponsor two studies of glembatumumab vedotin—one in uveal melanoma and one in pediatric osteosarcoma.</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Varlilumab</w:t>
      </w:r>
    </w:p>
    <w:p>
      <w:pPr>
        <w:sectPr>
          <w:pgSz w:w="11900" w:h="16838" w:orient="portrait"/>
          <w:cols w:equalWidth="0" w:num="1">
            <w:col w:w="11420"/>
          </w:cols>
          <w:pgMar w:left="240" w:top="125" w:right="239" w:bottom="0" w:gutter="0" w:footer="0" w:header="0"/>
          <w:type w:val="continuous"/>
        </w:sectPr>
      </w:pPr>
    </w:p>
    <w:bookmarkStart w:id="13" w:name="page14"/>
    <w:bookmarkEnd w:id="13"/>
    <w:p>
      <w:pPr>
        <w:ind w:right="40" w:firstLine="648"/>
        <w:spacing w:after="0" w:line="255" w:lineRule="auto"/>
        <w:rPr>
          <w:sz w:val="20"/>
          <w:szCs w:val="20"/>
          <w:color w:val="auto"/>
        </w:rPr>
      </w:pPr>
      <w:r>
        <w:rPr>
          <w:rFonts w:ascii="Arial" w:cs="Arial" w:eastAsia="Arial" w:hAnsi="Arial"/>
          <w:sz w:val="18"/>
          <w:szCs w:val="18"/>
          <w:color w:val="auto"/>
        </w:rPr>
        <w:t xml:space="preserve">Varlilumab, a fully human monoclonal agonist antibody, binds and activates CD27, a critical co-stimulatory molecule in the immune activation cascade, primarily by stimulating T cells to attack cancer cells. Restricted expression and regulation of CD27 enables varlilumab specifically to activate T cells, resulting in an enhanced immune response with a favorable safety profile. Varlilumab has also been shown to directly kill or inhibit the growth of CD27 expressing lymphomas and leukemias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We have entered into license agreements with the University of Southampton, UK for intellectual property to use anti-CD27 antibodies and with Medarex (now a subsidiary of the Bristol-Myers Squibb Company, or BMS) for access to the UltiMab technology to develop and commercialize human antibodies to CD27.</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Patient treatment is complete in the open label Phase 1 study of varlilumab in patients with selected malignant solid tumors or hematologic cancers at multiple clinical sites in the United States. Initial dose escalation cohorts were conducted to determine an optimal dose for future study and no maximum tolerated dose was reached. The lymphoid malignancies dose escalation arm completed enrollment (n=24) and a new cohort was added to include evaluation of T cell malignancies. An expansion cohort was also added at 0.3mg/kg dosed once every three weeks in patients with Hodgkin Lymphoma (n= up to 15). The solid tumor arm, which included patients with various solid tumors, completed dose escalation in 2013. Two expansion cohorts were subsequently added at 3 mg/kg dosed weekly in metastatic melanoma (n=16) and renal cell carcinoma (n=15) to better characterize clinical activity and further define the safety profile in preparation for combination studies.</w:t>
      </w:r>
    </w:p>
    <w:p>
      <w:pPr>
        <w:spacing w:after="0" w:line="18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presented updated data from this Phase 1 study in November 2014. Varlilumab was very well tolerated and induced immunologic activity in patients that is consistent with both its mechanism of action and preclinical models. A total of 86 patients have been dosed in the study. 55 patients have been dosed in dose escalation cohorts (various solid and hematologic B-cell tumors) and 31 patients have been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Two patients experienced objective responses including a complete response in Hodgkin Lymphoma and a partial response in renal cell carcinoma. Thirteen patients experienced stable disease with a range of 3-36.2+ months to-date. Based on the results observed in hematologic malignancies, an expansion cohort in up to 15 patients with Hodgkin Lymphoma and an abbreviated dose escalation in T cell hematologic malignancies were added and are now closed to enrollment. Any incremental data updates from this study will be included in future scientific presentations/publications.</w:t>
      </w:r>
    </w:p>
    <w:p>
      <w:pPr>
        <w:spacing w:after="0" w:line="183"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In May 2014, we entered into a clinical trial collaboration with Bristol-Myers Squibb Company, or BMS, to evaluate the safety, tolerability and preliminary efficacy of varlilumab and Opdivo</w:t>
      </w:r>
      <w:r>
        <w:rPr>
          <w:rFonts w:ascii="Arial" w:cs="Arial" w:eastAsia="Arial" w:hAnsi="Arial"/>
          <w:sz w:val="23"/>
          <w:szCs w:val="23"/>
          <w:color w:val="auto"/>
          <w:vertAlign w:val="superscript"/>
        </w:rPr>
        <w:t>®</w:t>
      </w:r>
      <w:r>
        <w:rPr>
          <w:rFonts w:ascii="Arial" w:cs="Arial" w:eastAsia="Arial" w:hAnsi="Arial"/>
          <w:sz w:val="18"/>
          <w:szCs w:val="18"/>
          <w:color w:val="auto"/>
        </w:rPr>
        <w:t>, BMS’s PD-1 immune checkpoint inhibitor, in a Phase 1/2 study. Under the terms of this clinical trial collaboration, BMS made a one-time payment to us of $5.0 million and the companies amended the terms of our existing license agreement with Medarex (a subsidiary of BMS) related to our CD27 program whereby certain future milestone payments were waived and future royalty rates were reduced that may have been due from us to Medarex. In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return, BMS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Phase 1/2 study was initiated in January of 2015 and is being conducted in adult patients with advanced non-small cell lung cancer, metastatic melanoma, colorectal cancer, ovarian cancer, and head and neck squamous cell carcinoma. The Phase 1 dose-escalation portion of the study will assess the safety and tolerability of varlilumab at varying doses when administered with Opdivo. Following dose escalation, a Phase 2 portion of the study will include five disease specific cohorts. The primary objective of the Phase 2 study is overall response rate. Secondary objectives include pharmacokinetics assessments, determining the immunogenicity of varlilumab when given in combination with Opdivo and further assessing the anti-tumor activity of combination treatment.</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May 2014, we also entered into a clinical trial collaboration with Oncothyreon Inc. to evaluate the safety, tolerability and preliminary efficacy of varlilumab and ONT-10, Oncothyreon’s therapeutic vaccine targeting the tumor-associated antigen MUC1, in a Phase 1b study in patients with advanced breast and ovarian cancers. Under the terms of the clinical trial collaboration, the Phase 1b trial was conducted and funded by Oncothyreon. </w:t>
      </w:r>
      <w:r>
        <w:rPr>
          <w:rFonts w:ascii="Arial" w:cs="Arial" w:eastAsia="Arial" w:hAnsi="Arial"/>
          <w:sz w:val="17"/>
          <w:szCs w:val="17"/>
          <w:color w:val="auto"/>
        </w:rPr>
        <w:t>Oncothyreon</w:t>
      </w:r>
      <w:r>
        <w:rPr>
          <w:rFonts w:ascii="Arial" w:cs="Arial" w:eastAsia="Arial" w:hAnsi="Arial"/>
          <w:sz w:val="18"/>
          <w:szCs w:val="18"/>
          <w:color w:val="auto"/>
        </w:rPr>
        <w:t xml:space="preserve"> </w:t>
      </w:r>
      <w:r>
        <w:rPr>
          <w:rFonts w:ascii="Arial" w:cs="Arial" w:eastAsia="Arial" w:hAnsi="Arial"/>
          <w:sz w:val="17"/>
          <w:szCs w:val="17"/>
          <w:color w:val="auto"/>
        </w:rPr>
        <w:t xml:space="preserve">recently completed evaluation of two dosing cohorts in the study. Preliminary data from these two cohorts did not demonstrate sufficient activity to move forward with the program and Oncothyreon does not plan to enroll additional patients in the Phase 1b trial. </w:t>
      </w:r>
      <w:r>
        <w:rPr>
          <w:rFonts w:ascii="Arial" w:cs="Arial" w:eastAsia="Arial" w:hAnsi="Arial"/>
          <w:sz w:val="18"/>
          <w:szCs w:val="18"/>
          <w:color w:val="auto"/>
        </w:rPr>
        <w:t>Varlilumab biomarker analyses from peripheral blood</w:t>
      </w:r>
      <w:r>
        <w:rPr>
          <w:rFonts w:ascii="Arial" w:cs="Arial" w:eastAsia="Arial" w:hAnsi="Arial"/>
          <w:sz w:val="17"/>
          <w:szCs w:val="17"/>
          <w:color w:val="auto"/>
        </w:rPr>
        <w:t xml:space="preserve"> </w:t>
      </w:r>
      <w:r>
        <w:rPr>
          <w:rFonts w:ascii="Arial" w:cs="Arial" w:eastAsia="Arial" w:hAnsi="Arial"/>
          <w:sz w:val="18"/>
          <w:szCs w:val="18"/>
          <w:color w:val="auto"/>
        </w:rPr>
        <w:t>samples from this study are consistent with prior experience including an increase in activated T cells and natural killer cells and a decrease in regulatory T cells.</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March 2015, we entered into a clinical trial collaboration with Roche to evaluate the safety, tolerability and preliminary efficacy of varlilumab and atezolizumab (anti-PDL1), Roche’s investigational cancer immunotherapy in a Phase 1/2 study in renal cell carcinoma (RCC). Under the terms of this agreement, Roche will provide study drug and we will be responsible for conducting and funding the study, which is expected to open to enrollment in the fourth quarter of 2015.</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April 2015, we initiated a Phase 1/2 safety pilot and expansion study examining the combination of varlilumab and Yervoy® in patients with Stage III or IV metastatic melanoma. In the Phase 2 portion of the study, patients with tumors that express NY-ESO-1 will also receive CDX-1401. The Phase 1 portion of the study will assess the study will assess the safety and tolerability of varlilumab at varying doses when administered with ipilimumab to identify a recommended dose for the Phase 2 portion of the study. The Phase 2 study will include two cohorts—one comprised of patients who are NY-ESO-1 positive and one comprised of patients who are NY-ESO-1 negative. Patients who are NY-ESO-1 positive will also receive CDX-1401 (with poly-ICLC at 2 mg given as an adjuvant) in addition to varlilumab and ipilimumab. The primary objective for both cohorts is objective response rate up to 24 weeks (ORR6). Secondary objectives for the Phase 2 study include safety and tolerability, immunogenicity, pharmacokinetics and further assessment of anti-tumor activity across a broad range of endpoints.</w:t>
      </w:r>
    </w:p>
    <w:p>
      <w:pPr>
        <w:spacing w:after="0" w:line="19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6"/>
          <w:szCs w:val="16"/>
          <w:color w:val="auto"/>
        </w:rPr>
        <w:t>In May 2015, we initiated a Phase 1/2 safety and tolerability study examining the combination of varlilumab and sunitinib (Sutent</w:t>
      </w:r>
      <w:r>
        <w:rPr>
          <w:rFonts w:ascii="Arial" w:cs="Arial" w:eastAsia="Arial" w:hAnsi="Arial"/>
          <w:sz w:val="20"/>
          <w:szCs w:val="20"/>
          <w:color w:val="auto"/>
          <w:vertAlign w:val="superscript"/>
        </w:rPr>
        <w:t>®</w:t>
      </w:r>
      <w:r>
        <w:rPr>
          <w:rFonts w:ascii="Arial" w:cs="Arial" w:eastAsia="Arial" w:hAnsi="Arial"/>
          <w:sz w:val="16"/>
          <w:szCs w:val="16"/>
          <w:color w:val="auto"/>
        </w:rPr>
        <w:t>) in patients with metastatic clear cell renal cell carcinoma. The Phase 1 portion of the study will assess the safety and tolerability of varlilumab at varying doses when administered with sunitinib to identify a recommended dose for the Phase 2 portion of the study. The primary objective of the Phase 2 portion of the study is</w:t>
      </w:r>
    </w:p>
    <w:p>
      <w:pPr>
        <w:sectPr>
          <w:pgSz w:w="11900" w:h="16838" w:orient="portrait"/>
          <w:cols w:equalWidth="0" w:num="1">
            <w:col w:w="11420"/>
          </w:cols>
          <w:pgMar w:left="240" w:top="341" w:right="239" w:bottom="0" w:gutter="0" w:footer="0" w:header="0"/>
        </w:sectPr>
      </w:pPr>
    </w:p>
    <w:bookmarkStart w:id="14" w:name="page15"/>
    <w:bookmarkEnd w:id="14"/>
    <w:p>
      <w:pPr>
        <w:ind w:right="300"/>
        <w:spacing w:after="0" w:line="308" w:lineRule="auto"/>
        <w:rPr>
          <w:sz w:val="20"/>
          <w:szCs w:val="20"/>
          <w:color w:val="auto"/>
        </w:rPr>
      </w:pPr>
      <w:r>
        <w:rPr>
          <w:rFonts w:ascii="Arial" w:cs="Arial" w:eastAsia="Arial" w:hAnsi="Arial"/>
          <w:sz w:val="17"/>
          <w:szCs w:val="17"/>
          <w:color w:val="auto"/>
        </w:rPr>
        <w:t>to assess the preliminary anti-tumor efficacy of the varlilumab/sunitinib combination measured by the overall response rate. Secondary objectives include safety and tolerability, pharmacokinetics, immunogenicity and further assessment of anti-tumor activity across a broad range of endpoints.</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Efforts are underway to finalize designs and plans for additional Phase 2 combination studies of varlilumab.In addition to our sponsored studies and clinical trial collaborations, we anticipate that varlilumab’s potential activity will also be explored in investigator sponsored studies at various academic institutions.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CDX-1401, developed from our APC Targeting Technology, is an antibody-based NY-ESO-1-specific therapeutic vaccine for multiple solid tumors. The vaccine, which is administered with an adjuvant, is composed of the cancer-specific antigen NY-ESO-1 fused to a fully human antibody that binds to DEC-205 for efficient delivery to dendritic cells. Delivery of tumor-specific proteins directly to dendritic cells in vivo elicits potent, broad, anti-tumor immune responses across populations with different genetic backgrounds. In humans, NY-ESO-1 has been detected in 20% -30% of all melanoma, lung, esophageal, liver, gastric, prostate, ovarian and bladder cancers, thus representing a broad opportunity.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have completed a Phase 1 study of CDX-1401 which assessed the safety, immunogenicity and clinical activity of escalating doses of CDX-1401 with TLR agonists (resiquimod and/or Poly ICLC) in 45 patients with advanced malignancies refractory to all available therapies. 60% 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ipilimumab or an investigational checkpoint inhibitor and six of these patients had objective tumor regression. Six patients with melanoma received ipilimumab within three months of treatment with CDX-1401 and four (67%) had objective tumor responses, including one complete response, which compares favorably to the overall response rate of 11% previously reported in metastatic melanoma patients treated with single-agent ipilimumab. In addition, two patients with non-small cell lung cancer received an investigational checkpoint blockade within two months of completing treatment with CDX-1401 and both achieved partial responses.</w:t>
      </w:r>
    </w:p>
    <w:p>
      <w:pPr>
        <w:spacing w:after="0" w:line="16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Phase 1 study identified a well-tolerated and immunogenic regimen to take forward into future studies. A Phase 2 study of CDX-1401 in combination with CDX-301 in metastatic melanoma is being conducted by the Cancer Immunotherapy Trials Network under a CRADA with the Cancer Therapy Evaluation Program of the NCI and enrollment is now complete.</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As described above, in April 2015, we initiated a Phase 1/2 safety pilot and expansion study examining the combination of varlilumab and Yervoy® in patients with Stage III or IV metastatic melanoma. In the Phase 2 portion of the study, patients with tumors that express NY-ESO-1 will also receive CDX-1401.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CDX-301, a recombinant FMS-like tyrosine kinase 3 ligand, or Flt3L, is a potent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73"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In December 2013, we announced data from a preclinical combination study of CDX-301and Mozobil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(Plerixafor injection, formerly AMD3100) demonstrating that the combination of these agents significantly increases hematopoietic stem cell mobilization in mice. The data demonstrate a novel potent cell mobilization regimen combining CDX-301 and Mozobil</w:t>
      </w:r>
      <w:r>
        <w:rPr>
          <w:rFonts w:ascii="Arial" w:cs="Arial" w:eastAsia="Arial" w:hAnsi="Arial"/>
          <w:sz w:val="20"/>
          <w:szCs w:val="20"/>
          <w:color w:val="auto"/>
          <w:vertAlign w:val="superscript"/>
        </w:rPr>
        <w:t>®</w:t>
      </w:r>
      <w:r>
        <w:rPr>
          <w:rFonts w:ascii="Arial" w:cs="Arial" w:eastAsia="Arial" w:hAnsi="Arial"/>
          <w:sz w:val="16"/>
          <w:szCs w:val="16"/>
          <w:color w:val="auto"/>
        </w:rPr>
        <w:t>, which may have significant potential for use in autologous and allogeneic hematopoietic stem cell transplantation.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The study will explore the utility of CDX-301 alone and in combination with Mozobil</w:t>
      </w:r>
      <w:r>
        <w:rPr>
          <w:rFonts w:ascii="Arial" w:cs="Arial" w:eastAsia="Arial" w:hAnsi="Arial"/>
          <w:sz w:val="20"/>
          <w:szCs w:val="20"/>
          <w:color w:val="auto"/>
          <w:vertAlign w:val="superscript"/>
        </w:rPr>
        <w:t>®</w:t>
      </w:r>
      <w:r>
        <w:rPr>
          <w:rFonts w:ascii="Arial" w:cs="Arial" w:eastAsia="Arial" w:hAnsi="Arial"/>
          <w:sz w:val="16"/>
          <w:szCs w:val="16"/>
          <w:color w:val="auto"/>
        </w:rPr>
        <w:t>. In addition to our sponsored studies and clinical trial collaborations, we anticipate that CDX-301’s potential activity will also be explored in investigator sponsored studies at various academic institutions.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CDX-014 is a fully-human monoclonal ADC that targets T-cell immunoglobulin and mucin domain 1, or TIM-1, a molecule that is upregulated in several cancers, including renal cell and ovarian carcinomas. TIM-1 is associated with kidney injury and the shedding of its ectodomain is a predictive biomarker for tumor progression. TIM-1 has very restricted expression in healthy tissues, making it a promising target for antibody mediated therapy. The TIM-1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expect to complete manufacturing and IND-enabling studies by the end of 2015 to support the initiation of Phase 1 clinical studies in renal cell carcinoma and potentially other TIM-1 expressing tumors in 2016.</w:t>
      </w:r>
    </w:p>
    <w:p>
      <w:pPr>
        <w:sectPr>
          <w:pgSz w:w="11900" w:h="16838" w:orient="portrait"/>
          <w:cols w:equalWidth="0" w:num="1">
            <w:col w:w="11380"/>
          </w:cols>
          <w:pgMar w:left="240" w:top="125" w:right="279" w:bottom="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80"/>
          </w:cols>
          <w:pgMar w:left="240" w:top="125" w:right="279" w:bottom="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critical accounting policies are more fully described in Note 2 to our financial statements included in our Annual Report on Form 10-K for the year ended December 31, 2014 and there have been no material changes to such critical accounting policies. We believe our most critical accounting policies include accounting for revenue recognition, impairment of long-lived assets, research and development expenses and stock-based compensation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compared with Three Months Ended September 30,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60" w:type="dxa"/>
            <w:vAlign w:val="bottom"/>
            <w:tcBorders>
              <w:bottom w:val="single" w:sz="8" w:color="CCEEFF"/>
            </w:tcBorders>
            <w:gridSpan w:val="2"/>
          </w:tcPr>
          <w:p>
            <w:pPr>
              <w:spacing w:after="0"/>
              <w:rPr>
                <w:sz w:val="21"/>
                <w:szCs w:val="21"/>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24,656</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26,185</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(1,529)</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8,487</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3,483</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(32,371)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(30,342)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2,260</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(1,869)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(31,980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$3.9 million increase in net loss for the three months ended September 30, 2015 compared to the three months ended September 30, 2014 was primarily the result of an increase in general and administrative expenses and a decrease in investment and other income, partially offset by a decrease in research and development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The $0.1 million increase in product development and licensing agreements revenue for the three months ended September 30, 2015 compared to the three months ended September 30, 2014 was primarily related to our BMS agreement. In May 2014, we entered into a clinical trial collaboration with BMS whereby BMS made a one-time payment to us of $5.0 million which we are recognizing as revenue along with BMS’s 50% share of the clinical trial cost over our estimated performance period of five years. The $0.2 million decrease in contracts and grants revenue for the three months ended September 30, 2015 compared to the three months ended September 30, </w:t>
      </w:r>
      <w:r>
        <w:rPr>
          <w:rFonts w:ascii="Arial" w:cs="Arial" w:eastAsia="Arial" w:hAnsi="Arial"/>
          <w:sz w:val="15"/>
          <w:szCs w:val="15"/>
          <w:color w:val="auto"/>
        </w:rPr>
        <w:t>2014 was primarily related to our Rockefeller University agreement pursuant to which we perform research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services for Rockefeller.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7"/>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7,872</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5,425</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2,447</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1,160</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856</w:t>
            </w:r>
          </w:p>
        </w:tc>
        <w:tc>
          <w:tcPr>
            <w:tcW w:w="460" w:type="dxa"/>
            <w:vAlign w:val="bottom"/>
          </w:tcPr>
          <w:p>
            <w:pPr>
              <w:spacing w:after="0"/>
              <w:rPr>
                <w:sz w:val="18"/>
                <w:szCs w:val="18"/>
                <w:color w:val="auto"/>
              </w:rPr>
            </w:pPr>
          </w:p>
        </w:tc>
        <w:tc>
          <w:tcPr>
            <w:tcW w:w="1380" w:type="dxa"/>
            <w:vAlign w:val="bottom"/>
          </w:tcPr>
          <w:p>
            <w:pPr>
              <w:jc w:val="right"/>
              <w:ind w:right="257"/>
              <w:spacing w:after="0"/>
              <w:rPr>
                <w:sz w:val="20"/>
                <w:szCs w:val="20"/>
                <w:color w:val="auto"/>
              </w:rPr>
            </w:pPr>
            <w:r>
              <w:rPr>
                <w:rFonts w:ascii="Arial" w:cs="Arial" w:eastAsia="Arial" w:hAnsi="Arial"/>
                <w:sz w:val="18"/>
                <w:szCs w:val="18"/>
                <w:color w:val="auto"/>
              </w:rPr>
              <w:t>304</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1,487</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1,258</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229</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License Fees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624</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460" w:type="dxa"/>
            <w:vAlign w:val="bottom"/>
          </w:tcPr>
          <w:p>
            <w:pPr>
              <w:spacing w:after="0"/>
              <w:rPr>
                <w:sz w:val="18"/>
                <w:szCs w:val="18"/>
                <w:color w:val="auto"/>
              </w:rPr>
            </w:pPr>
          </w:p>
        </w:tc>
        <w:tc>
          <w:tcPr>
            <w:tcW w:w="1380" w:type="dxa"/>
            <w:vAlign w:val="bottom"/>
          </w:tcPr>
          <w:p>
            <w:pPr>
              <w:jc w:val="right"/>
              <w:ind w:right="257"/>
              <w:spacing w:after="0"/>
              <w:rPr>
                <w:sz w:val="20"/>
                <w:szCs w:val="20"/>
                <w:color w:val="auto"/>
              </w:rPr>
            </w:pPr>
            <w:r>
              <w:rPr>
                <w:rFonts w:ascii="Arial" w:cs="Arial" w:eastAsia="Arial" w:hAnsi="Arial"/>
                <w:sz w:val="18"/>
                <w:szCs w:val="18"/>
                <w:color w:val="auto"/>
              </w:rPr>
              <w:t>320</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0"/>
              </w:rPr>
              <w:t>11,930</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16,956</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(5,026)</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Personnel expenses primarily include salary, benefits, stock-based compensation and payroll taxes. The $2.4 million increase in personnel expenses for the three months ended September 30, 2015 compared to the three months ended September 30, 2014 was primarily due to increased headcount and higher stock-based compensation of $0.7 million. We expect personnel expenses to increase over the next twelve months as we plan to continue to increase our headcount, primarily to support our Rintega, glembatumumab vedotin and varlilumab programs.</w:t>
      </w:r>
    </w:p>
    <w:p>
      <w:pPr>
        <w:spacing w:after="0" w:line="17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$0.3 million increase in laboratory supply expense for the three months ended September 30, 2015 compared to the three months ended September 30, 2014 was primarily due to higher manufacturing supply purchases. We expect supply expenses to remain relatively consistent over the next twelve months, although there may be fluctuations on a quarterly basis.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$0.2 million increase in facility expenses for the three months ended September 30, 2015 compared to the three months ended September 30, </w:t>
      </w:r>
      <w:r>
        <w:rPr>
          <w:rFonts w:ascii="Arial" w:cs="Arial" w:eastAsia="Arial" w:hAnsi="Arial"/>
          <w:sz w:val="15"/>
          <w:szCs w:val="15"/>
          <w:color w:val="auto"/>
        </w:rPr>
        <w:t>2014 was</w:t>
      </w:r>
    </w:p>
    <w:p>
      <w:pPr>
        <w:sectPr>
          <w:pgSz w:w="11900" w:h="16838" w:orient="portrait"/>
          <w:cols w:equalWidth="0" w:num="1">
            <w:col w:w="11420"/>
          </w:cols>
          <w:pgMar w:left="240" w:top="517" w:right="239" w:bottom="0" w:gutter="0" w:footer="0" w:header="0"/>
        </w:sectPr>
      </w:pPr>
    </w:p>
    <w:bookmarkStart w:id="16" w:name="page17"/>
    <w:bookmarkEnd w:id="16"/>
    <w:p>
      <w:pPr>
        <w:spacing w:after="0" w:line="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primarily due to an increase in rent and depreciation and amortization expense. We expect facility expenses to increase over the next twelve months as a result of us leasing addition space at our headquarters in Hampton, NJ.</w:t>
      </w:r>
    </w:p>
    <w:p>
      <w:pPr>
        <w:spacing w:after="0" w:line="18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License fee expenses include annual license maintenance fees and milestone payments due upon the achievement of certain development, regulatory and/or commercial milestones. The $0.3 million increase in license fee expenses for the three months ended September 30, 2015 compared to the three months ended September 30, </w:t>
      </w:r>
      <w:r>
        <w:rPr>
          <w:rFonts w:ascii="Arial" w:cs="Arial" w:eastAsia="Arial" w:hAnsi="Arial"/>
          <w:sz w:val="17"/>
          <w:szCs w:val="17"/>
          <w:color w:val="auto"/>
        </w:rPr>
        <w:t>2014 was due to</w:t>
      </w:r>
      <w:r>
        <w:rPr>
          <w:rFonts w:ascii="Arial" w:cs="Arial" w:eastAsia="Arial" w:hAnsi="Arial"/>
          <w:sz w:val="18"/>
          <w:szCs w:val="18"/>
          <w:color w:val="auto"/>
        </w:rPr>
        <w:t xml:space="preserve"> the further development of our drug candidates. We expect license fee expense may increase over the next twelve months as our drug candidates reach achievement of certain development, regulatory and/or commercial milestones, although there may be fluctuations on a quarterly basis.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$5.0 million decrease in product development expenses for the three months ended September 30, 2015 compared to the three months ended September 30, 2014 was primarily due to a $5.5 million decrease in ACT IV costs. Increases in glembatumumab vedotin and varlilumab clinical trial costs of $0.9 million and $0.9 million, respectively, were largely offset by decreases in contract manufacturing costs of $1.6 million. We expect product development expenses to increase over the next twelve months primarily due to increases in our glembatumumab vedotin and varlilumab programs, although there may be fluctuations on a quarterly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 xml:space="preserve">The $3.5 million increase in general and administrative expenses for the three months ended September 30, 2015 compared to the three months ended September 30, 2014 was primarily due to higher headcount, stock-based compensation of $1.2 million and a $1.1 million increase in Rintega </w:t>
      </w:r>
      <w:r>
        <w:rPr>
          <w:rFonts w:ascii="Arial" w:cs="Arial" w:eastAsia="Arial" w:hAnsi="Arial"/>
          <w:sz w:val="16"/>
          <w:szCs w:val="16"/>
          <w:color w:val="auto"/>
        </w:rPr>
        <w:t>and</w:t>
      </w:r>
      <w:r>
        <w:rPr>
          <w:rFonts w:ascii="Arial" w:cs="Arial" w:eastAsia="Arial" w:hAnsi="Arial"/>
          <w:sz w:val="17"/>
          <w:szCs w:val="17"/>
          <w:color w:val="auto"/>
        </w:rPr>
        <w:t xml:space="preserve"> </w:t>
      </w:r>
      <w:r>
        <w:rPr>
          <w:rFonts w:ascii="Arial" w:cs="Arial" w:eastAsia="Arial" w:hAnsi="Arial"/>
          <w:sz w:val="16"/>
          <w:szCs w:val="16"/>
          <w:color w:val="auto"/>
        </w:rPr>
        <w:t xml:space="preserve">glembatumumab vedotin </w:t>
      </w:r>
      <w:r>
        <w:rPr>
          <w:rFonts w:ascii="Arial" w:cs="Arial" w:eastAsia="Arial" w:hAnsi="Arial"/>
          <w:sz w:val="17"/>
          <w:szCs w:val="17"/>
          <w:color w:val="auto"/>
        </w:rPr>
        <w:t>commercial planning costs as we prepare for potential product launches. We expect general and administrative expense to increase</w:t>
      </w:r>
      <w:r>
        <w:rPr>
          <w:rFonts w:ascii="Arial" w:cs="Arial" w:eastAsia="Arial" w:hAnsi="Arial"/>
          <w:sz w:val="16"/>
          <w:szCs w:val="16"/>
          <w:color w:val="auto"/>
        </w:rPr>
        <w:t xml:space="preserve"> </w:t>
      </w:r>
      <w:r>
        <w:rPr>
          <w:rFonts w:ascii="Arial" w:cs="Arial" w:eastAsia="Arial" w:hAnsi="Arial"/>
          <w:sz w:val="17"/>
          <w:szCs w:val="17"/>
          <w:color w:val="auto"/>
        </w:rPr>
        <w:t>over the next twelve months primarily due to increased commercial planning efforts for Rintega and glembatumumab vedotin.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Amortization expenses for the three months ended September 30, 2015 were relatively consistent compared to the three months ended September 30, 2014. We expect amortization expense of acquired intangible assets to remain relatively consistent over the next twelve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$1.9 million decrease in investment and other income, net for the three months ended September 30, 2015 compared to the three months ended September 30, 2014 was primarily due to other income of $2.0 million received in 2014 in connection with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TopoTarget agreement. We anticipate investment income to remain relatively consistent over the next twelve months, although there may be fluctuations on a quarterly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with Nine Months Ended September 30,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1,053</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535</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2,636</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1,045</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3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75%</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76,271</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77,355</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(1,084)</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22,761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14,373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8,388</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320" w:type="dxa"/>
            <w:vAlign w:val="bottom"/>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99,792</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92,488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(96,103)</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(90,379)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4,121</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(2,531)</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(94,513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(86,258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$8.3 million increase in net loss for the nine months ended September 30, 2015 compared to the nine months ended September 30, 2014 was primarily the result of an increase in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$0.5 million increase in product development and licensing agreements revenue for the nine months ended September 30, 2015 compared to the nine months ended September 30, 2014 was primarily related to our BMS agreement. The $1.0 million increase in contracts and grants revenue for the nine months ended September 30, 2015 compared to the nine months ended September 30, 2014 was primarily related to our Rockefeller University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4" w:lineRule="exact"/>
        <w:rPr>
          <w:sz w:val="20"/>
          <w:szCs w:val="20"/>
          <w:color w:val="auto"/>
        </w:rPr>
      </w:pPr>
    </w:p>
    <w:tbl>
      <w:tblPr>
        <w:tblLayout w:type="fixed"/>
        <w:tblInd w:w="48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1740" w:type="dxa"/>
            <w:vAlign w:val="bottom"/>
          </w:tcPr>
          <w:p>
            <w:pPr>
              <w:jc w:val="center"/>
              <w:ind w:right="368"/>
              <w:spacing w:after="0"/>
              <w:rPr>
                <w:sz w:val="20"/>
                <w:szCs w:val="20"/>
                <w:color w:val="auto"/>
              </w:rPr>
            </w:pPr>
            <w:r>
              <w:rPr>
                <w:rFonts w:ascii="Arial" w:cs="Arial" w:eastAsia="Arial" w:hAnsi="Arial"/>
                <w:sz w:val="14"/>
                <w:szCs w:val="14"/>
                <w:b w:val="1"/>
                <w:bCs w:val="1"/>
                <w:color w:val="auto"/>
                <w:w w:val="93"/>
              </w:rPr>
              <w:t>Nine Months Ended</w:t>
            </w:r>
          </w:p>
        </w:tc>
        <w:tc>
          <w:tcPr>
            <w:tcW w:w="400" w:type="dxa"/>
            <w:vAlign w:val="bottom"/>
          </w:tcPr>
          <w:p>
            <w:pPr>
              <w:spacing w:after="0"/>
              <w:rPr>
                <w:sz w:val="13"/>
                <w:szCs w:val="13"/>
                <w:color w:val="auto"/>
              </w:rPr>
            </w:pPr>
          </w:p>
        </w:tc>
        <w:tc>
          <w:tcPr>
            <w:tcW w:w="180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Increase/</w:t>
            </w:r>
          </w:p>
        </w:tc>
        <w:tc>
          <w:tcPr>
            <w:tcW w:w="152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8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Borders>
              <w:bottom w:val="single" w:sz="8" w:color="auto"/>
            </w:tcBorders>
          </w:tcPr>
          <w:p>
            <w:pPr>
              <w:spacing w:after="0"/>
              <w:rPr>
                <w:sz w:val="14"/>
                <w:szCs w:val="14"/>
                <w:color w:val="auto"/>
              </w:rPr>
            </w:pPr>
          </w:p>
        </w:tc>
        <w:tc>
          <w:tcPr>
            <w:tcW w:w="1800" w:type="dxa"/>
            <w:vAlign w:val="bottom"/>
          </w:tcPr>
          <w:p>
            <w:pPr>
              <w:jc w:val="center"/>
              <w:ind w:left="88"/>
              <w:spacing w:after="0"/>
              <w:rPr>
                <w:sz w:val="20"/>
                <w:szCs w:val="20"/>
                <w:color w:val="auto"/>
              </w:rPr>
            </w:pPr>
            <w:r>
              <w:rPr>
                <w:rFonts w:ascii="Arial" w:cs="Arial" w:eastAsia="Arial" w:hAnsi="Arial"/>
                <w:sz w:val="14"/>
                <w:szCs w:val="14"/>
                <w:b w:val="1"/>
                <w:bCs w:val="1"/>
                <w:color w:val="auto"/>
                <w:w w:val="89"/>
              </w:rPr>
              <w:t>(Decrease)</w:t>
            </w:r>
          </w:p>
        </w:tc>
        <w:tc>
          <w:tcPr>
            <w:tcW w:w="152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7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center"/>
              <w:ind w:left="68"/>
              <w:spacing w:after="0" w:line="142" w:lineRule="exact"/>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center"/>
              <w:ind w:left="68"/>
              <w:spacing w:after="0" w:line="142" w:lineRule="exact"/>
              <w:rPr>
                <w:sz w:val="20"/>
                <w:szCs w:val="20"/>
                <w:color w:val="auto"/>
              </w:rPr>
            </w:pPr>
            <w:r>
              <w:rPr>
                <w:rFonts w:ascii="Arial" w:cs="Arial" w:eastAsia="Arial" w:hAnsi="Arial"/>
                <w:sz w:val="14"/>
                <w:szCs w:val="14"/>
                <w:b w:val="1"/>
                <w:bCs w:val="1"/>
                <w:color w:val="auto"/>
              </w:rPr>
              <w:t>%</w:t>
            </w:r>
          </w:p>
        </w:tc>
      </w:tr>
      <w:tr>
        <w:trPr>
          <w:trHeight w:val="144"/>
        </w:trPr>
        <w:tc>
          <w:tcPr>
            <w:tcW w:w="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0" w:type="dxa"/>
            <w:vAlign w:val="bottom"/>
            <w:gridSpan w:val="2"/>
          </w:tcPr>
          <w:p>
            <w:pPr>
              <w:ind w:left="120"/>
              <w:spacing w:after="0" w:line="144" w:lineRule="exact"/>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90" w:orient="portrait"/>
          <w:cols w:equalWidth="0" w:num="1">
            <w:col w:w="11420"/>
          </w:cols>
          <w:pgMar w:left="240" w:top="131" w:right="239" w:bottom="0" w:gutter="0" w:footer="0" w:header="0"/>
        </w:sectPr>
      </w:pPr>
    </w:p>
    <w:p>
      <w:pPr>
        <w:spacing w:after="0"/>
        <w:tabs>
          <w:tab w:leader="none" w:pos="4800" w:val="left"/>
          <w:tab w:leader="none" w:pos="5660" w:val="left"/>
          <w:tab w:leader="none" w:pos="6440" w:val="left"/>
          <w:tab w:leader="none" w:pos="7320" w:val="left"/>
          <w:tab w:leader="none" w:pos="8100" w:val="left"/>
          <w:tab w:leader="none" w:pos="9060" w:val="left"/>
          <w:tab w:leader="none" w:pos="10940" w:val="left"/>
        </w:tabs>
        <w:rPr>
          <w:sz w:val="20"/>
          <w:szCs w:val="20"/>
          <w:color w:val="auto"/>
        </w:rPr>
      </w:pPr>
      <w:r>
        <w:rPr>
          <w:rFonts w:ascii="Arial" w:cs="Arial" w:eastAsia="Arial" w:hAnsi="Arial"/>
          <w:sz w:val="18"/>
          <w:szCs w:val="18"/>
          <w:color w:val="auto"/>
        </w:rPr>
        <w:t>Personnel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21,644</w:t>
        <w:tab/>
        <w:t>$</w:t>
      </w:r>
      <w:r>
        <w:rPr>
          <w:sz w:val="20"/>
          <w:szCs w:val="20"/>
          <w:color w:val="auto"/>
        </w:rPr>
        <w:tab/>
      </w:r>
      <w:r>
        <w:rPr>
          <w:rFonts w:ascii="Arial" w:cs="Arial" w:eastAsia="Arial" w:hAnsi="Arial"/>
          <w:sz w:val="18"/>
          <w:szCs w:val="18"/>
          <w:color w:val="auto"/>
        </w:rPr>
        <w:t>14,717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6,927</w:t>
      </w:r>
      <w:r>
        <w:rPr>
          <w:sz w:val="20"/>
          <w:szCs w:val="20"/>
          <w:color w:val="auto"/>
        </w:rPr>
        <w:tab/>
      </w:r>
      <w:r>
        <w:rPr>
          <w:rFonts w:ascii="Arial" w:cs="Arial" w:eastAsia="Arial" w:hAnsi="Arial"/>
          <w:sz w:val="15"/>
          <w:szCs w:val="15"/>
          <w:color w:val="auto"/>
        </w:rPr>
        <w:t>47%</w:t>
      </w:r>
    </w:p>
    <w:p>
      <w:pPr>
        <w:sectPr>
          <w:pgSz w:w="11900" w:h="16890" w:orient="portrait"/>
          <w:cols w:equalWidth="0" w:num="1">
            <w:col w:w="11420"/>
          </w:cols>
          <w:pgMar w:left="240" w:top="131" w:right="239" w:bottom="0" w:gutter="0" w:footer="0" w:header="0"/>
          <w:type w:val="continuous"/>
        </w:sectPr>
      </w:pPr>
    </w:p>
    <w:bookmarkStart w:id="17" w:name="page18"/>
    <w:bookmarkEnd w:id="17"/>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Laboratory Supplies</w:t>
            </w:r>
          </w:p>
        </w:tc>
        <w:tc>
          <w:tcPr>
            <w:tcW w:w="3120" w:type="dxa"/>
            <w:vAlign w:val="bottom"/>
          </w:tcPr>
          <w:p>
            <w:pPr>
              <w:jc w:val="right"/>
              <w:ind w:right="490"/>
              <w:spacing w:after="0"/>
              <w:rPr>
                <w:sz w:val="20"/>
                <w:szCs w:val="20"/>
                <w:color w:val="auto"/>
              </w:rPr>
            </w:pPr>
            <w:r>
              <w:rPr>
                <w:rFonts w:ascii="Arial" w:cs="Arial" w:eastAsia="Arial" w:hAnsi="Arial"/>
                <w:sz w:val="18"/>
                <w:szCs w:val="18"/>
                <w:color w:val="auto"/>
              </w:rPr>
              <w:t>3,589</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2,525</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1,064</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42%</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31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4,255</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3,817</w:t>
            </w:r>
          </w:p>
        </w:tc>
        <w:tc>
          <w:tcPr>
            <w:tcW w:w="18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438</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License Fees</w:t>
            </w:r>
          </w:p>
        </w:tc>
        <w:tc>
          <w:tcPr>
            <w:tcW w:w="3120" w:type="dxa"/>
            <w:vAlign w:val="bottom"/>
          </w:tcPr>
          <w:p>
            <w:pPr>
              <w:jc w:val="right"/>
              <w:ind w:right="490"/>
              <w:spacing w:after="0"/>
              <w:rPr>
                <w:sz w:val="20"/>
                <w:szCs w:val="20"/>
                <w:color w:val="auto"/>
              </w:rPr>
            </w:pPr>
            <w:r>
              <w:rPr>
                <w:rFonts w:ascii="Arial" w:cs="Arial" w:eastAsia="Arial" w:hAnsi="Arial"/>
                <w:sz w:val="18"/>
                <w:szCs w:val="18"/>
                <w:color w:val="auto"/>
              </w:rPr>
              <w:t>833</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2,988</w:t>
            </w:r>
          </w:p>
        </w:tc>
        <w:tc>
          <w:tcPr>
            <w:tcW w:w="1800" w:type="dxa"/>
            <w:vAlign w:val="bottom"/>
          </w:tcPr>
          <w:p>
            <w:pPr>
              <w:jc w:val="right"/>
              <w:ind w:right="590"/>
              <w:spacing w:after="0"/>
              <w:rPr>
                <w:sz w:val="20"/>
                <w:szCs w:val="20"/>
                <w:color w:val="auto"/>
              </w:rPr>
            </w:pPr>
            <w:r>
              <w:rPr>
                <w:rFonts w:ascii="Arial" w:cs="Arial" w:eastAsia="Arial" w:hAnsi="Arial"/>
                <w:sz w:val="18"/>
                <w:szCs w:val="18"/>
                <w:color w:val="auto"/>
              </w:rPr>
              <w:t>(2,155)</w:t>
            </w: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31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41,387</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49,979</w:t>
            </w:r>
          </w:p>
        </w:tc>
        <w:tc>
          <w:tcPr>
            <w:tcW w:w="1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(8,592)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$6.9 million increase in personnel expenses for the nine months ended September 30, 2015 compared to the nine months ended September 30, 2014 was primarily due to increased headcount and higher stock-based compensation of $1.9 million.</w:t>
      </w:r>
    </w:p>
    <w:p>
      <w:pPr>
        <w:spacing w:after="0" w:line="170"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$1.1 million increase in laboratory supply expense for the nine months ended September 30, 2015 compared to the nine months ended September 30, 2014 was primarily due to higher manufacturing supply purchases.</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The $0.4 million increase in facility expenses for the nine months ended September 30, 2015 compared to the nine months ended September 30, 2014 was primarily </w:t>
      </w:r>
      <w:r>
        <w:rPr>
          <w:rFonts w:ascii="Arial" w:cs="Arial" w:eastAsia="Arial" w:hAnsi="Arial"/>
          <w:sz w:val="17"/>
          <w:szCs w:val="17"/>
          <w:color w:val="auto"/>
        </w:rPr>
        <w:t>due to an increase in depreciation and amortization expense</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$2.2 million decrease in license fee expenses for the nine months ended September 30, 2015 compared to the nine months ended September 30, 2014 was primarily due to the one-time $2.5 million milestone incurred and paid to Seattle Genetics in 2014 as a result of the METRIC study initiation.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$8.6 million decrease in product development expenses for the nine months ended September 30, 2015 compared to the nine months ended September 30, 2014 was primarily due to a $9.0 million decrease in ACT IV costs. Increases in glembatumumab vedotin and varlilumab clinical trial costs of $1.4 million and $2.3 million, respectively, and contract research of $1.0 million were largely offset by decreases in contract manufacturing costs of $3.4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The $8.4 million increase in general and administrative expenses for the nine months ended September 30, 2015 compared to the nine months ended September 30, 2014 was primarily due to higher headcount, stock-based compensation of $2.0 million and a $3.3 million increase in Rintega </w:t>
      </w:r>
      <w:r>
        <w:rPr>
          <w:rFonts w:ascii="Arial" w:cs="Arial" w:eastAsia="Arial" w:hAnsi="Arial"/>
          <w:sz w:val="17"/>
          <w:szCs w:val="17"/>
          <w:color w:val="auto"/>
        </w:rPr>
        <w:t>and</w:t>
      </w:r>
      <w:r>
        <w:rPr>
          <w:rFonts w:ascii="Arial" w:cs="Arial" w:eastAsia="Arial" w:hAnsi="Arial"/>
          <w:sz w:val="18"/>
          <w:szCs w:val="18"/>
          <w:color w:val="auto"/>
        </w:rPr>
        <w:t xml:space="preserve"> </w:t>
      </w:r>
      <w:r>
        <w:rPr>
          <w:rFonts w:ascii="Arial" w:cs="Arial" w:eastAsia="Arial" w:hAnsi="Arial"/>
          <w:sz w:val="17"/>
          <w:szCs w:val="17"/>
          <w:color w:val="auto"/>
        </w:rPr>
        <w:t xml:space="preserve">glembatumumab vedotin </w:t>
      </w:r>
      <w:r>
        <w:rPr>
          <w:rFonts w:ascii="Arial" w:cs="Arial" w:eastAsia="Arial" w:hAnsi="Arial"/>
          <w:sz w:val="18"/>
          <w:szCs w:val="18"/>
          <w:color w:val="auto"/>
        </w:rPr>
        <w:t>commercial planning costs as we prepare for potential product launches.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1080" w:firstLine="648"/>
        <w:spacing w:after="0" w:line="277" w:lineRule="auto"/>
        <w:rPr>
          <w:sz w:val="20"/>
          <w:szCs w:val="20"/>
          <w:color w:val="auto"/>
        </w:rPr>
      </w:pPr>
      <w:r>
        <w:rPr>
          <w:rFonts w:ascii="Arial" w:cs="Arial" w:eastAsia="Arial" w:hAnsi="Arial"/>
          <w:sz w:val="18"/>
          <w:szCs w:val="18"/>
          <w:color w:val="auto"/>
        </w:rPr>
        <w:t>Amortization expenses for the nine months ended September 30, 2015 was relatively consistent as compared to the nine months ended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$2.5 million decrease in investment and other income, net for the nine months ended September 30, 2015 compared to the nine months ended September 30, 2014 was primarily due to other income of $3.0 million received in 2014 in connection with our TopoTarget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3"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At September 30, 2015, our principal sources of liquidity consisted of cash, cash equivalents and marketable securities of $304.6 million. We incurred a loss of $94.5 million for the nine months ended September 30, 2015. Net cash used in operations for the nine months ended September 30, 2015 was $85.1 million. We believe that the cash, cash equivalents and marketable securities at September 30, 2015 are sufficient to meet estimated working capital requirements and fund planned operations through 2017, however, this could be impacted by our clinical data results from our Rintega program and their impact on our pace of commercial manufacturing and the rate of expansion of our commercial operations.</w:t>
      </w:r>
    </w:p>
    <w:p>
      <w:pPr>
        <w:spacing w:after="0" w:line="17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18" w:name="page19"/>
    <w:bookmarkEnd w:id="18"/>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used in operating activities was $85.1 million for the nine months ended September 30, 2015 compared to $79.3 million for the nine months ended September 30, 2014. The increase in net cash used in operating activities was primarily due to an increase in net loss of $8.3 million and changes in working capital. We expect that cash used in operating activities will increase over the next twelve months primarily related to costs incurred on our Rintega, glembatumumab vedotin and varlilumab programs.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Net cash used in investing activities was $68.9 million for the nine months ended September 30, 2015 compared to $58.7 million for the nine months ended September 30, 2014. The increase in net cash used in investing activities was primarily due to net purchases of marketable securities for the nine months ended September 30, 2015 of $64.5 million as compared to $56.9 million for the nine months ended September 30, 2014. We expect that cash provided 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Net cash provided by financing activities was $192.8 million for the nine months ended September 30, 2015 compared to $1.2 million for the nine months ended September 30, 2014. Net proceeds from stock issuances, including stock issued pursuant to employee benefit plans, were $192.8 million during the nine months ended September 30, 2015 compared to $1.2 million for the nine months ended September 30,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2014 which was filed with the SEC on February 24, 2015 have not materially changed since we filed that report.</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balance sheet of cash and cash equivalents, accounts receivables and accounts payable approximates fair value at September 30, 2015 due to the short-term maturities of these instruments.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September 30, 2015,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2015.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2015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year ended December 31, 2014, which could materially affect our business, financial condition or future results. The</w:t>
      </w:r>
    </w:p>
    <w:p>
      <w:pPr>
        <w:sectPr>
          <w:pgSz w:w="11900" w:h="16908" w:orient="portrait"/>
          <w:cols w:equalWidth="0" w:num="1">
            <w:col w:w="11420"/>
          </w:cols>
          <w:pgMar w:left="240" w:top="341" w:right="239" w:bottom="0" w:gutter="0" w:footer="0" w:header="0"/>
        </w:sectPr>
      </w:pPr>
    </w:p>
    <w:bookmarkStart w:id="19" w:name="page20"/>
    <w:bookmarkEnd w:id="19"/>
    <w:p>
      <w:pPr>
        <w:jc w:val="both"/>
        <w:ind w:right="160"/>
        <w:spacing w:after="0" w:line="264" w:lineRule="auto"/>
        <w:rPr>
          <w:sz w:val="20"/>
          <w:szCs w:val="20"/>
          <w:color w:val="auto"/>
        </w:rPr>
      </w:pPr>
      <w:r>
        <w:rPr>
          <w:rFonts w:ascii="Arial" w:cs="Arial" w:eastAsia="Arial" w:hAnsi="Arial"/>
          <w:sz w:val="18"/>
          <w:szCs w:val="18"/>
          <w:color w:val="auto"/>
        </w:rPr>
        <w:t>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February 24,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10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Item 6.</w:t>
            </w:r>
          </w:p>
        </w:tc>
        <w:tc>
          <w:tcPr>
            <w:tcW w:w="100" w:type="dxa"/>
            <w:vAlign w:val="bottom"/>
          </w:tcPr>
          <w:p>
            <w:pPr>
              <w:spacing w:after="0"/>
              <w:rPr>
                <w:sz w:val="24"/>
                <w:szCs w:val="24"/>
                <w:color w:val="auto"/>
              </w:rPr>
            </w:pPr>
          </w:p>
        </w:tc>
        <w:tc>
          <w:tcPr>
            <w:tcW w:w="10080" w:type="dxa"/>
            <w:vAlign w:val="bottom"/>
            <w:gridSpan w:val="2"/>
          </w:tcPr>
          <w:p>
            <w:pPr>
              <w:ind w:left="4760"/>
              <w:spacing w:after="0"/>
              <w:rPr>
                <w:sz w:val="20"/>
                <w:szCs w:val="20"/>
                <w:color w:val="auto"/>
              </w:rPr>
            </w:pPr>
            <w:r>
              <w:rPr>
                <w:rFonts w:ascii="Arial" w:cs="Arial" w:eastAsia="Arial" w:hAnsi="Arial"/>
                <w:sz w:val="14"/>
                <w:szCs w:val="14"/>
                <w:b w:val="1"/>
                <w:bCs w:val="1"/>
                <w:color w:val="auto"/>
              </w:rPr>
              <w:t>Exhibits</w:t>
            </w:r>
          </w:p>
        </w:tc>
      </w:tr>
      <w:tr>
        <w:trPr>
          <w:trHeight w:val="195"/>
        </w:trPr>
        <w:tc>
          <w:tcPr>
            <w:tcW w:w="20" w:type="dxa"/>
            <w:vAlign w:val="bottom"/>
          </w:tcPr>
          <w:p>
            <w:pPr>
              <w:spacing w:after="0"/>
              <w:rPr>
                <w:sz w:val="16"/>
                <w:szCs w:val="16"/>
                <w:color w:val="auto"/>
              </w:rPr>
            </w:pPr>
          </w:p>
        </w:tc>
        <w:tc>
          <w:tcPr>
            <w:tcW w:w="1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4"/>
              </w:rPr>
              <w:t>Certificate of Amendment of Third Restated Certificate of Incorporation of the Company, incorporated by reference to Exhibit 3.1 of the</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Company’s Registration Statement on Form S-4 (Reg. No. 333-59215), filed July 16, 1998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6"/>
              </w:rPr>
              <w:t>of the Company’s Registration Statement on Form S-4 (Reg. No. 333-59215), filed July 16, 1998 with the Securities and Exchange</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Third Certificate of Amendment of Third Restated Certificate of Incorporation of the Company, incorporated by reference to Exhibit 3.1 of</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 of</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Section 1350 Certifications</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-3920490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-3920490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80" w:hanging="383"/>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383"/>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CELLDEX THERAPEUTICS,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Dated: November 5, 2015</w:t>
            </w:r>
          </w:p>
        </w:tc>
        <w:tc>
          <w:tcPr>
            <w:tcW w:w="22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40" w:type="dxa"/>
            <w:vAlign w:val="bottom"/>
            <w:gridSpan w:val="2"/>
            <w:vMerge w:val="continue"/>
          </w:tcPr>
          <w:p>
            <w:pPr>
              <w:spacing w:after="0"/>
              <w:rPr>
                <w:sz w:val="16"/>
                <w:szCs w:val="16"/>
                <w:color w:val="auto"/>
              </w:rPr>
            </w:pPr>
          </w:p>
        </w:tc>
        <w:tc>
          <w:tcPr>
            <w:tcW w:w="22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Dated: November 5, 2015</w:t>
            </w:r>
          </w:p>
        </w:tc>
        <w:tc>
          <w:tcPr>
            <w:tcW w:w="228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40" w:type="dxa"/>
            <w:vAlign w:val="bottom"/>
            <w:gridSpan w:val="2"/>
            <w:vMerge w:val="continue"/>
          </w:tcPr>
          <w:p>
            <w:pPr>
              <w:spacing w:after="0"/>
              <w:rPr>
                <w:sz w:val="16"/>
                <w:szCs w:val="16"/>
                <w:color w:val="auto"/>
              </w:rPr>
            </w:pPr>
          </w:p>
        </w:tc>
        <w:tc>
          <w:tcPr>
            <w:tcW w:w="22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980" w:type="dxa"/>
            <w:vAlign w:val="bottom"/>
            <w:gridSpan w:val="2"/>
          </w:tcPr>
          <w:p>
            <w:pPr>
              <w:jc w:val="right"/>
              <w:ind w:right="5532"/>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7980" w:type="dxa"/>
            <w:vAlign w:val="bottom"/>
            <w:gridSpan w:val="2"/>
          </w:tcPr>
          <w:p>
            <w:pPr>
              <w:jc w:val="center"/>
              <w:ind w:right="3332"/>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80" w:type="dxa"/>
            <w:vAlign w:val="bottom"/>
          </w:tcPr>
          <w:p>
            <w:pPr>
              <w:spacing w:after="0"/>
              <w:rPr>
                <w:sz w:val="24"/>
                <w:szCs w:val="24"/>
                <w:color w:val="auto"/>
              </w:rPr>
            </w:pPr>
          </w:p>
        </w:tc>
        <w:tc>
          <w:tcPr>
            <w:tcW w:w="57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280" w:type="dxa"/>
            <w:vAlign w:val="bottom"/>
          </w:tcPr>
          <w:p>
            <w:pPr>
              <w:spacing w:after="0"/>
              <w:rPr>
                <w:sz w:val="16"/>
                <w:szCs w:val="16"/>
                <w:color w:val="auto"/>
              </w:rPr>
            </w:pPr>
          </w:p>
        </w:tc>
        <w:tc>
          <w:tcPr>
            <w:tcW w:w="5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-996950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-996950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tabs>
          <w:tab w:leader="none" w:pos="13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Third Restated Certificate of Incorporation of the Company, incorporated by reference to Exhibit 3.1 of the Company’s Registration</w:t>
      </w:r>
    </w:p>
    <w:p>
      <w:pPr>
        <w:sectPr>
          <w:pgSz w:w="11900" w:h="16838" w:orient="portrait"/>
          <w:cols w:equalWidth="0" w:num="1">
            <w:col w:w="11460"/>
          </w:cols>
          <w:pgMar w:left="240" w:top="125" w:right="19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Certificate of Amendment of Third Restated Certificate of Incorporation of the Company, incorporated by reference to Exhibit 3.1 of the</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Company’s Registration Statement on Form S-4 (Reg. No. 333-59215), filed July 16, 1998 with the Securities and Exchange Commission.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3.3</w:t>
            </w: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of the Company’s Registration Statement on Form S-4 (Reg. No. 333-59215), filed July 16, 1998 with the Securities and Exchange</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Commission.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3.4</w:t>
            </w: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Third Certificate of Amendment of Third Restated Certificate of Incorporation of the Company, incorporated by reference to Exhibit 3.1 of</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3.5</w:t>
            </w: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3.6</w:t>
            </w: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3.7</w:t>
            </w: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44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44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44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tcPr>
          <w:p>
            <w:pPr>
              <w:ind w:left="440"/>
              <w:spacing w:after="0"/>
              <w:rPr>
                <w:sz w:val="20"/>
                <w:szCs w:val="20"/>
                <w:color w:val="auto"/>
              </w:rPr>
            </w:pPr>
            <w:r>
              <w:rPr>
                <w:rFonts w:ascii="Arial" w:cs="Arial" w:eastAsia="Arial" w:hAnsi="Arial"/>
                <w:sz w:val="18"/>
                <w:szCs w:val="18"/>
                <w:color w:val="auto"/>
              </w:rPr>
              <w:t>XBRL Instance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tcPr>
          <w:p>
            <w:pPr>
              <w:ind w:left="4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tcPr>
          <w:p>
            <w:pPr>
              <w:ind w:left="4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tcPr>
          <w:p>
            <w:pPr>
              <w:ind w:left="4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tcPr>
          <w:p>
            <w:pPr>
              <w:ind w:left="4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tcPr>
          <w:p>
            <w:pPr>
              <w:ind w:left="4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80" w:hanging="383"/>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383"/>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5, 2015</w:t>
            </w:r>
          </w:p>
        </w:tc>
        <w:tc>
          <w:tcPr>
            <w:tcW w:w="2740" w:type="dxa"/>
            <w:vAlign w:val="bottom"/>
          </w:tcPr>
          <w:p>
            <w:pPr>
              <w:ind w:left="19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7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740" w:type="dxa"/>
            <w:vAlign w:val="bottom"/>
          </w:tcPr>
          <w:p>
            <w:pPr>
              <w:ind w:left="196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5, 2015</w:t>
            </w:r>
          </w:p>
        </w:tc>
        <w:tc>
          <w:tcPr>
            <w:tcW w:w="28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280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5, 2015</w:t>
            </w:r>
          </w:p>
        </w:tc>
        <w:tc>
          <w:tcPr>
            <w:tcW w:w="2840" w:type="dxa"/>
            <w:vAlign w:val="bottom"/>
          </w:tcPr>
          <w:p>
            <w:pPr>
              <w:ind w:left="19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760" w:type="dxa"/>
            <w:vAlign w:val="bottom"/>
          </w:tcPr>
          <w:p>
            <w:pPr>
              <w:spacing w:after="0"/>
              <w:rPr>
                <w:sz w:val="16"/>
                <w:szCs w:val="16"/>
                <w:color w:val="auto"/>
              </w:rPr>
            </w:pPr>
          </w:p>
        </w:tc>
        <w:tc>
          <w:tcPr>
            <w:tcW w:w="28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760" w:type="dxa"/>
            <w:vAlign w:val="bottom"/>
          </w:tcPr>
          <w:p>
            <w:pPr>
              <w:spacing w:after="0"/>
              <w:rPr>
                <w:sz w:val="20"/>
                <w:szCs w:val="20"/>
                <w:color w:val="auto"/>
              </w:rPr>
            </w:pPr>
          </w:p>
        </w:tc>
        <w:tc>
          <w:tcPr>
            <w:tcW w:w="2840" w:type="dxa"/>
            <w:vAlign w:val="bottom"/>
          </w:tcPr>
          <w:p>
            <w:pPr>
              <w:ind w:left="196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5, 2015</w:t>
            </w:r>
          </w:p>
        </w:tc>
        <w:tc>
          <w:tcPr>
            <w:tcW w:w="2840" w:type="dxa"/>
            <w:vAlign w:val="bottom"/>
          </w:tcPr>
          <w:p>
            <w:pPr>
              <w:ind w:left="19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760" w:type="dxa"/>
            <w:vAlign w:val="bottom"/>
          </w:tcPr>
          <w:p>
            <w:pPr>
              <w:spacing w:after="0"/>
              <w:rPr>
                <w:sz w:val="16"/>
                <w:szCs w:val="16"/>
                <w:color w:val="auto"/>
              </w:rPr>
            </w:pPr>
          </w:p>
        </w:tc>
        <w:tc>
          <w:tcPr>
            <w:tcW w:w="28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3760" w:type="dxa"/>
            <w:vAlign w:val="bottom"/>
          </w:tcPr>
          <w:p>
            <w:pPr>
              <w:spacing w:after="0"/>
              <w:rPr>
                <w:sz w:val="20"/>
                <w:szCs w:val="20"/>
                <w:color w:val="auto"/>
              </w:rPr>
            </w:pPr>
          </w:p>
        </w:tc>
        <w:tc>
          <w:tcPr>
            <w:tcW w:w="2840" w:type="dxa"/>
            <w:vAlign w:val="bottom"/>
          </w:tcPr>
          <w:p>
            <w:pPr>
              <w:ind w:left="196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2019-12-29T14:37:23Z</dcterms:created>
  <dcterms:modified xsi:type="dcterms:W3CDTF">2019-12-29T14:37:23Z</dcterms:modified>
</cp:coreProperties>
</file>