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80" w:hanging="328"/>
        <w:spacing w:after="0" w:line="256" w:lineRule="auto"/>
        <w:tabs>
          <w:tab w:leader="none" w:pos="5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60" w:hanging="328"/>
        <w:spacing w:after="0" w:line="256" w:lineRule="auto"/>
        <w:tabs>
          <w:tab w:leader="none" w:pos="55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CLDX</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1"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type w:val="continuous"/>
        </w:sectPr>
      </w:pPr>
    </w:p>
    <w:p>
      <w:pPr>
        <w:spacing w:after="0" w:line="18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60"/>
          </w:cols>
          <w:pgMar w:left="240" w:top="233" w:right="239" w:bottom="144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860" w:space="720"/>
            <w:col w:w="3840"/>
          </w:cols>
          <w:pgMar w:left="240" w:top="233" w:right="239" w:bottom="1440" w:gutter="0" w:footer="0" w:header="0"/>
          <w:type w:val="continuous"/>
        </w:sectPr>
      </w:pPr>
    </w:p>
    <w:p>
      <w:pPr>
        <w:spacing w:after="0" w:line="34"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2019, 15,018,604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9"/>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7960" w:type="dxa"/>
            <w:vAlign w:val="bottom"/>
            <w:gridSpan w:val="9"/>
            <w:vMerge w:val="restart"/>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9"/>
            <w:vMerge w:val="continue"/>
          </w:tcPr>
          <w:p>
            <w:pPr>
              <w:spacing w:after="0"/>
              <w:rPr>
                <w:sz w:val="13"/>
                <w:szCs w:val="13"/>
                <w:color w:val="auto"/>
              </w:rPr>
            </w:pPr>
          </w:p>
        </w:tc>
        <w:tc>
          <w:tcPr>
            <w:tcW w:w="7960" w:type="dxa"/>
            <w:vAlign w:val="bottom"/>
            <w:gridSpan w:val="9"/>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2019 and December 31, 2018</w:t>
              </w:r>
            </w:hyperlink>
          </w:p>
        </w:tc>
        <w:tc>
          <w:tcPr>
            <w:tcW w:w="4100" w:type="dxa"/>
            <w:vAlign w:val="bottom"/>
            <w:gridSpan w:val="4"/>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Six Months Ended June 30, 2019 and 2018</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2019 and 2018</w:t>
              </w:r>
            </w:hyperlink>
          </w:p>
        </w:tc>
        <w:tc>
          <w:tcPr>
            <w:tcW w:w="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3"/>
          </w:tcPr>
          <w:p>
            <w:pPr>
              <w:spacing w:after="0"/>
              <w:rPr>
                <w:sz w:val="24"/>
                <w:szCs w:val="24"/>
                <w:color w:val="auto"/>
              </w:rPr>
            </w:pPr>
          </w:p>
        </w:tc>
        <w:tc>
          <w:tcPr>
            <w:tcW w:w="2660" w:type="dxa"/>
            <w:vAlign w:val="bottom"/>
            <w:gridSpan w:val="2"/>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9680" w:type="dxa"/>
            <w:vAlign w:val="bottom"/>
            <w:gridSpan w:val="15"/>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200" w:type="dxa"/>
            <w:vAlign w:val="bottom"/>
            <w:gridSpan w:val="3"/>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300" w:type="dxa"/>
            <w:vAlign w:val="bottom"/>
            <w:gridSpan w:val="6"/>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0400" w:type="dxa"/>
            <w:vAlign w:val="bottom"/>
            <w:gridSpan w:val="1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160" w:type="dxa"/>
            <w:vAlign w:val="bottom"/>
            <w:gridSpan w:val="10"/>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9680" w:type="dxa"/>
            <w:vAlign w:val="bottom"/>
            <w:gridSpan w:val="15"/>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60" w:type="dxa"/>
            <w:vAlign w:val="bottom"/>
            <w:gridSpan w:val="1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6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9340" w:type="dxa"/>
            <w:vAlign w:val="bottom"/>
            <w:gridSpan w:val="13"/>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80" w:type="dxa"/>
            <w:vAlign w:val="bottom"/>
            <w:gridSpan w:val="10"/>
          </w:tcPr>
          <w:p>
            <w:pPr>
              <w:jc w:val="right"/>
              <w:ind w:right="54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2018</w:t>
            </w: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19,744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24,310</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61,598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69,712</w:t>
            </w:r>
          </w:p>
        </w:tc>
      </w:tr>
      <w:tr>
        <w:trPr>
          <w:trHeight w:val="216"/>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w:t>
            </w:r>
          </w:p>
        </w:tc>
      </w:tr>
      <w:tr>
        <w:trPr>
          <w:trHeight w:val="216"/>
        </w:trPr>
        <w:tc>
          <w:tcPr>
            <w:tcW w:w="740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0"/>
        </w:trPr>
        <w:tc>
          <w:tcPr>
            <w:tcW w:w="74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48,690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r>
      <w:tr>
        <w:trPr>
          <w:trHeight w:val="25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142,244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tcBorders>
              <w:bottom w:val="single" w:sz="8" w:color="CCEEFF"/>
            </w:tcBorders>
          </w:tcPr>
          <w:p>
            <w:pPr>
              <w:spacing w:after="0"/>
              <w:rPr>
                <w:sz w:val="21"/>
                <w:szCs w:val="21"/>
                <w:color w:val="auto"/>
              </w:rPr>
            </w:pPr>
          </w:p>
        </w:tc>
      </w:tr>
      <w:tr>
        <w:trPr>
          <w:trHeight w:val="170"/>
        </w:trPr>
        <w:tc>
          <w:tcPr>
            <w:tcW w:w="74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5,410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7,007</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Current Portion of Other Long-Term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4,526</w:t>
            </w:r>
          </w:p>
        </w:tc>
      </w:tr>
      <w:tr>
        <w:trPr>
          <w:trHeight w:val="210"/>
        </w:trPr>
        <w:tc>
          <w:tcPr>
            <w:tcW w:w="74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19,147</w:t>
            </w:r>
          </w:p>
        </w:tc>
      </w:tr>
      <w:tr>
        <w:trPr>
          <w:trHeight w:val="21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31,749</w:t>
            </w:r>
          </w:p>
        </w:tc>
        <w:tc>
          <w:tcPr>
            <w:tcW w:w="100" w:type="dxa"/>
            <w:vAlign w:val="bottom"/>
            <w:tcBorders>
              <w:bottom w:val="single" w:sz="8" w:color="CCEEFF"/>
            </w:tcBorders>
          </w:tcPr>
          <w:p>
            <w:pPr>
              <w:spacing w:after="0"/>
              <w:rPr>
                <w:sz w:val="18"/>
                <w:szCs w:val="18"/>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Convertible Preferred Stock, $.01 Par Value; 3,000,000 Shares Authorized; No Shares Issued and</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at June 30, 2019 and December 31, 2018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0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$.001 Par Value; 297,000,000 Shares Authorized; 14,816,917 and 11,957,635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w w:val="99"/>
              </w:rPr>
              <w:t>Shares Issued and Outstanding at June 30, 2019 and December 31, 2018, Respectively</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1,083,903</w:t>
            </w:r>
          </w:p>
        </w:tc>
      </w:tr>
      <w:tr>
        <w:trPr>
          <w:trHeight w:val="216"/>
        </w:trPr>
        <w:tc>
          <w:tcPr>
            <w:tcW w:w="74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r>
      <w:tr>
        <w:trPr>
          <w:trHeight w:val="216"/>
        </w:trPr>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(991,456)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(962,438)</w:t>
            </w:r>
          </w:p>
        </w:tc>
      </w:tr>
      <w:tr>
        <w:trPr>
          <w:trHeight w:val="21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124,060</w:t>
            </w:r>
          </w:p>
        </w:tc>
        <w:tc>
          <w:tcPr>
            <w:tcW w:w="100" w:type="dxa"/>
            <w:vAlign w:val="bottom"/>
            <w:tcBorders>
              <w:bottom w:val="single" w:sz="8" w:color="CCEEFF"/>
            </w:tcBorders>
          </w:tcPr>
          <w:p>
            <w:pPr>
              <w:spacing w:after="0"/>
              <w:rPr>
                <w:sz w:val="18"/>
                <w:szCs w:val="18"/>
                <w:color w:val="auto"/>
              </w:rPr>
            </w:pPr>
          </w:p>
        </w:tc>
      </w:tr>
      <w:tr>
        <w:trPr>
          <w:trHeight w:val="21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8,804</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Asset Impairment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(Gain)/Loss on Fair Value Remeasurement of Contingent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Consideration</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12,972</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(12,257)</w:t>
            </w: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(30,198)</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(136,548)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(135,303)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(134,538)</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13,952</w:t>
            </w:r>
          </w:p>
        </w:tc>
        <w:tc>
          <w:tcPr>
            <w:tcW w:w="180" w:type="dxa"/>
            <w:vAlign w:val="bottom"/>
          </w:tcPr>
          <w:p>
            <w:pPr>
              <w:spacing w:after="0"/>
              <w:rPr>
                <w:sz w:val="17"/>
                <w:szCs w:val="17"/>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13,129</w:t>
            </w:r>
          </w:p>
        </w:tc>
        <w:tc>
          <w:tcPr>
            <w:tcW w:w="180" w:type="dxa"/>
            <w:vAlign w:val="bottom"/>
          </w:tcPr>
          <w:p>
            <w:pPr>
              <w:spacing w:after="0"/>
              <w:rPr>
                <w:sz w:val="17"/>
                <w:szCs w:val="17"/>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9,600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(134,512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(29,018)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or Disposal of Assets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 Impairment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Other Asset Impairment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Loss/(Gain) on Fair Value Remeasurement of Contingent Consideration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Non-Cash Income Tax Benefit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Other Receivables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67,386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(4,566)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Non-cash Investing Activities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construction in progress</w:t>
            </w:r>
          </w:p>
        </w:tc>
        <w:tc>
          <w:tcPr>
            <w:tcW w:w="11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Non-cash Supplemental Disclosure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11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balances and transactions have been eliminated in consolidation.</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2018, which are included in the Company’s Annual Report on Form 10-K filed with the Securities and Exchange Commission on March 7, 2019.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2019.</w:t>
      </w:r>
    </w:p>
    <w:p>
      <w:pPr>
        <w:spacing w:after="0" w:line="170"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At June 30, 2019, the Company had cash, cash equivalents and marketable securities of $81.3 million. The Company has had recurring losses and incurred a loss of $29.0 million for the six months ended June 30, 2019. Net cash used in operations for the six months ended June 30, 2019 was $24.3 million. The Company believes that the cash, cash equivalents and marketable securities at August 7, 2019 will be sufficient to meet estimated working capital requirements and fund planned operations for at least the next twelve months from the date of issuance of these financial statements.</w:t>
      </w:r>
    </w:p>
    <w:p>
      <w:pPr>
        <w:spacing w:after="0" w:line="15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The Board of Directors of the Company approved a one for fifteen reverse stock split of the Company’s outstanding common stock, which was effected on February 8, 2019. All share and per share amounts in the financial statements have been retroactively adjusted for all periods presented to give effect to the reverse stock split, including reclassifying an amount equal to the reduction in par value to additional paid-in capital.</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60" w:firstLine="630"/>
        <w:spacing w:after="0" w:line="31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and six months ended June 30, 2019 are consistent with those discussed in Note 2 to the financial statements in our Annual Report on Form 10-K for the year ended December 31, 2018, except as it relates to the adoption of new accounting standards during the first six months of 2019 as discussed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January 1, 2019, the Company adopted a new U.S. GAAP accounting standard which requires that all lessees recognize the assets and liabilities that arise from leases on the balance sheet and disclose qualitative and quantitative information about its leasing arrangements. The new standard was adopted using the modified retrospective transition method, which requires the Company to apply the standard as of the effective date and does not require restatement of prior periods. The Company elected to apply the package of practical expedients, which allowed the Company to not reassess: (i) whether expired or existing contracts contain leases; (ii) lease classification for any expired or existing leases; and (iii) initial direct costs for any existing leases. Adoption of this standard did not have a material impact on the Company’s Consolidated Statement of Operations and Comprehensive Loss or Statement of Cash Flow, however, upon adoption, the Company recorded right-of-use assets of $3.8 million and lease liabilities of $4.7 million on its Consolidated Balance Sheet related to the Company’s operating leases. The difference between the right-of-use assets and lease liabilities recorded upon adoption is due to certain adjustments required to the right-of-use assets for prepaid rent and accrued termination expenses. Refer to Note 5 “Leases” for the Company’s updated lease accounting policy and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2020. The adoption of this standard is not expected to have a material impact on the Company’s consolidated financial statements and related disclosures.</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August 2018, the FASB issued amendments that modify certain disclosure requirements for fair value measurements. The amendments become effective, including interim periods, beginning January 1, 2020. Early adoption, of all the amendments or only the provisions that eliminate or modify the requirements, is permitted. The adoption of this new guidance is not expected to have a material impact on the Company’s consolidated financial statements and related disclosures.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2018, the FASB issued guidance to clarify the interaction between the accounting guidance for collaborative arrangements and revenue from contracts with customers. The amendments become effective, including interim periods, beginning January 1, 2020. Early adoption, including adoption in an interim period, is permitted. This guidance is required to be applied retrospectively as of the date of our adoption of the new revenue standard on January 1, 2018. We are currently evaluating the timing of our adoption and the expected impact this guidance could have on our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2019</w:t>
            </w: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ind w:left="10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13,867</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13,867</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61,598</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61,598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9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75,465</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75,465</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3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14,281</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14"/>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9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5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December 31, 2018</w:t>
            </w: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ind w:left="10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15,755</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15,755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69,712</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69,712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85,467</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13,779</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13,779</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six months ended June 30, 2019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Other Liabilities:</w:t>
            </w:r>
          </w:p>
        </w:tc>
      </w:tr>
      <w:tr>
        <w:trPr>
          <w:trHeight w:val="149"/>
        </w:trPr>
        <w:tc>
          <w:tcPr>
            <w:tcW w:w="8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Contingent</w:t>
            </w:r>
          </w:p>
        </w:tc>
      </w:tr>
      <w:tr>
        <w:trPr>
          <w:trHeight w:val="171"/>
        </w:trPr>
        <w:tc>
          <w:tcPr>
            <w:tcW w:w="8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Consideration</w:t>
            </w:r>
          </w:p>
        </w:tc>
      </w:tr>
      <w:tr>
        <w:trPr>
          <w:trHeight w:val="210"/>
        </w:trPr>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2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r>
      <w:tr>
        <w:trPr>
          <w:trHeight w:val="210"/>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was primarily an income approach. The Company may be required to pay future consideration of up to $127.5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During the three and six months ended June 30, 2019, the Company recorded a $1.0 million gain and $0.5 million loss on fair value remeasurement of contingent consideration, respectively, primarily due to changes in discount rates and the passage of time. During the three and six months ended June 30, 2018, the Company recorded a $7.4 million and $21.0 million gain on fair value remeasurement of contingent consideration, respectively, primarily due to discontinuation of the glembatumumab vedotin (“Glemba”) and CDX-014 programs and updated assumptions for the varlilumab program.</w:t>
      </w:r>
    </w:p>
    <w:p>
      <w:pPr>
        <w:spacing w:after="0" w:line="15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six months ended June 30,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0"/>
                <w:szCs w:val="10"/>
                <w:color w:val="auto"/>
              </w:rPr>
            </w:pPr>
          </w:p>
        </w:tc>
        <w:tc>
          <w:tcPr>
            <w:tcW w:w="108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0"/>
                <w:szCs w:val="10"/>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right"/>
              <w:ind w:right="636"/>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year or less)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27,622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33,934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61,556</w:t>
            </w:r>
          </w:p>
        </w:tc>
        <w:tc>
          <w:tcPr>
            <w:tcW w:w="3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or less)</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27,355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42,370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69,725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June 30, 2019 and December 31, 2018. The unrealized losses are attributable to changes in interest rates and the Company does not believe any unrealized losses represent other-than-temporary impairments. Marketable securities include $0.1 million in accrued interest at June 30,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has operating leases of office, manufacturing and laboratory space, which have remaining lease terms of one to six years and may include one or more options to renew or terminate early.</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18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first quarter of 2019, the Company amended its Hampton, New Jersey lease to eliminate 16,200 square feet of space and extend the remaining 33,400 square feet of space for an additional five-year term with an early termination option after three years. The Company recorded an additional right-of-use asset and lease liability of $1.4 million during the first quarter of 2019 for the initial 3 years related to the amendment.</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Operating lease expense was $0.5 million and $1.2 million for the three and six months ended June 30, 2019, respectively. Variable lease expense was $0.3 million and $0.7 million for the three and six months ended June 30, 2019, respectively. Operating cash flows used for operating leases during the six months ended June 30, 2019 was $0.9 million. As of June 30, 2019, the weighted-average remaining lease term was 2 years and the weighted-average discount rate was 11.3%.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3"/>
          </w:tcPr>
          <w:p>
            <w:pPr>
              <w:ind w:left="660"/>
              <w:spacing w:after="0"/>
              <w:rPr>
                <w:sz w:val="20"/>
                <w:szCs w:val="20"/>
                <w:color w:val="auto"/>
              </w:rPr>
            </w:pPr>
            <w:r>
              <w:rPr>
                <w:rFonts w:ascii="Arial" w:cs="Arial" w:eastAsia="Arial" w:hAnsi="Arial"/>
                <w:sz w:val="18"/>
                <w:szCs w:val="18"/>
                <w:color w:val="auto"/>
                <w:w w:val="99"/>
              </w:rPr>
              <w:t>Future minimum lease payments under non-cancellable leases as of June 30, 2019 were as follows: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Present value of operating lease liabilities</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prior lease accounting guidance, operating lease obligations, including estimated variable lease obligations, as of December 31, 2018 were as follows: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4,648</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As a result of the discontinuation of the Glemba program, the Company concluded that the finite-lived intangible asset related to its Amgen Fremont license rights to develop and commercialize Glemba and the indefinite-lived Glemba IPR&amp;D asset were fully impaired and a non-cash impairment charge of $18.7 million was recorded in the first quarter of 2018. Amortization expense related to the finite-lived intangible asset was $0.0 million for the three and six months ended June 30, 2019, and $0.0 million and $0.2 million for the three and six months ended June 30, 2018, respectively.</w:t>
      </w:r>
    </w:p>
    <w:p>
      <w:pPr>
        <w:spacing w:after="0" w:line="154" w:lineRule="exact"/>
        <w:rPr>
          <w:sz w:val="20"/>
          <w:szCs w:val="20"/>
          <w:color w:val="auto"/>
        </w:rPr>
      </w:pPr>
    </w:p>
    <w:p>
      <w:pPr>
        <w:jc w:val="both"/>
        <w:ind w:right="300" w:firstLine="648"/>
        <w:spacing w:after="0" w:line="279" w:lineRule="auto"/>
        <w:rPr>
          <w:sz w:val="20"/>
          <w:szCs w:val="20"/>
          <w:color w:val="auto"/>
        </w:rPr>
      </w:pPr>
      <w:r>
        <w:rPr>
          <w:rFonts w:ascii="Arial" w:cs="Arial" w:eastAsia="Arial" w:hAnsi="Arial"/>
          <w:sz w:val="17"/>
          <w:szCs w:val="17"/>
          <w:color w:val="auto"/>
        </w:rPr>
        <w:t>At June 30, 2019 and 2018, the Company recorded indefinite-lived intangible assets of $48.7 million. Indefinite-lived intangible assets consist of acquired in-process research and development (“IPR&amp;D”) related to the development of CDX-3379, the anti-KIT program (including CDX-0159) and the TAM program. CDX-3379 is in Phase 2 development. The anti-KIT and TAM programs are in preclinical development. As of June 30, 2019, none of the Company’s IPR&amp;D assets had reached technological feasibility nor did any have alternative future uses.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evaluated goodwill for potential impairment due to the discontinuation of the Glemba program in the first quarter of 2018.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market premium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first quarter of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2016, the Company entered into a research and collaboration agreement with an undisclosed private company to access novel technologies and paid $3.5 million to support research activities and make an investment in the private company. The Company recorded $1.8 million to other assets related to this investment and $1.7 million was recorded to research and development expense over the term of the research activities. The stock of the private company does not have a readily determinable fair value, and therefore it is measured at cost less impairment, if any. Based on information received in April 2019, it was determined that there was a deterioration of the private company’s financial condition due to a working capital deficiency and an inability to secure additional funding as of March 31, 2019. Therefore, the Company concluded that the investment was impaired, and a non-cash impairment charge of $1.8 million was recorded during the first quarter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6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December 31, 2018</w:t>
            </w:r>
          </w:p>
        </w:tc>
      </w:tr>
      <w:tr>
        <w:trPr>
          <w:trHeight w:val="142"/>
        </w:trPr>
        <w:tc>
          <w:tcPr>
            <w:tcW w:w="5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4"/>
          </w:tcPr>
          <w:p>
            <w:pPr>
              <w:jc w:val="right"/>
              <w:ind w:right="131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13)</w:t>
            </w:r>
          </w:p>
        </w:tc>
        <w:tc>
          <w:tcPr>
            <w:tcW w:w="1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4,014</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Contingent Milestones (Note 3)</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14,281</w:t>
            </w:r>
          </w:p>
        </w:tc>
        <w:tc>
          <w:tcPr>
            <w:tcW w:w="18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13,779</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12)</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21,787</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(2,545)</w:t>
            </w: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(4,526)</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Long-Term Portion</w:t>
            </w:r>
          </w:p>
        </w:tc>
        <w:tc>
          <w:tcPr>
            <w:tcW w:w="13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19,242</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November 2015 and December 2014, the Company received approval from the New Jersey Economic Development Authority and agreed to sell New Jersey tax benefits of $9.8 million and $1.9 million to an independent third party for $9.2 million and $1.8 million, respectively. Under the agreement, the Company must maintain a base of operations in New Jersey for five years or the tax benefits must be paid back on a pro-rata basis based on the number of years completed. The Company recognized $0.0 million and $0.2 million in other income related to the sale of these tax benefits during the three and six months ended June 30, 2019, respectively, and $0.0 million and $0.4 million during the three and six months ended June 30, 2018,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 During the six months ended June 30, 2019, the Company issued 2,856,194 shares of common stock under this controlled equity offering sales agreement with Cantor resulting in net proceeds of $11.4 million after deducting commission and offering expenses. At June 30, 2019, the Company had $25.8 million remaining in aggregate gross offering price available under the Cantor agreement. In July 2019, the Company issued 201,687 shares of its common stock resulting in net proceeds to the Company of $0.5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Stockholders’ Equity during the three and six months ended June 30, 2019 and 2018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40" w:type="dxa"/>
            <w:vAlign w:val="bottom"/>
          </w:tcPr>
          <w:p>
            <w:pPr>
              <w:spacing w:after="0"/>
              <w:rPr>
                <w:sz w:val="14"/>
                <w:szCs w:val="14"/>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Par</w:t>
            </w:r>
          </w:p>
        </w:tc>
        <w:tc>
          <w:tcPr>
            <w:tcW w:w="240" w:type="dxa"/>
            <w:vAlign w:val="bottom"/>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Paid-In</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(In thousands, except share amounts)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11,957,635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1,083,903</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(962,438)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9"/>
              </w:rPr>
              <w:t>Shares Issued under Stock Option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3,507</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Cantor Agreement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883,569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4,150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1,693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(17,239)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1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Consolidated Balance at March 31,</w:t>
            </w: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12,844,711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1,089,755</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(979,677)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Shares Cancelled under Stock Option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w w:val="97"/>
              </w:rPr>
              <w:t>and Employee Stock Purchase Plans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Cantor Agreement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1,972,428</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7,210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1,464</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(11,779)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 June 30,</w:t>
            </w: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00" w:type="dxa"/>
            <w:vAlign w:val="bottom"/>
            <w:vMerge w:val="continue"/>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14,816,917</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1,098,429</w:t>
            </w:r>
          </w:p>
        </w:tc>
        <w:tc>
          <w:tcPr>
            <w:tcW w:w="1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2,638</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(991,456)</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109,626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38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20" w:type="dxa"/>
            <w:vAlign w:val="bottom"/>
            <w:gridSpan w:val="3"/>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11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 Par</w:t>
            </w: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Paid-In</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Deficit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(In thousands, except share amounts)</w:t>
            </w: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9,234,693</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1,046,313</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(812,517)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236,369</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w w:val="99"/>
              </w:rPr>
              <w:t>Shares Issued under Stock Option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9,453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Cantor Agreement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312,802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11,689</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Kolltan Severance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971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2,488</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Unrealized Loss on Marketable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Adoption of ASC 606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(118,131)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(118,131)</w:t>
            </w:r>
          </w:p>
        </w:tc>
        <w:tc>
          <w:tcPr>
            <w:tcW w:w="0" w:type="dxa"/>
            <w:vAlign w:val="bottom"/>
          </w:tcPr>
          <w:p>
            <w:pPr>
              <w:spacing w:after="0"/>
              <w:rPr>
                <w:sz w:val="1"/>
                <w:szCs w:val="1"/>
                <w:color w:val="auto"/>
              </w:rPr>
            </w:pPr>
          </w:p>
        </w:tc>
      </w:tr>
      <w:tr>
        <w:trPr>
          <w:trHeight w:val="178"/>
        </w:trPr>
        <w:tc>
          <w:tcPr>
            <w:tcW w:w="31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Consolidated Balance at March 31,</w:t>
            </w: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9,557,919</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1,060,902</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(929,385)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134,085</w:t>
            </w: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Cantor Agreement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884,068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8,270</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Kolltan Severance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2,048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Marketable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(16,407)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Balance at June 30,</w:t>
            </w: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00" w:type="dxa"/>
            <w:vAlign w:val="bottom"/>
            <w:vMerge w:val="continue"/>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10,443,058</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1,071,239</w:t>
            </w:r>
          </w:p>
        </w:tc>
        <w:tc>
          <w:tcPr>
            <w:tcW w:w="15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2,590</w:t>
            </w: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(945,792)</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128,047</w:t>
            </w:r>
          </w:p>
        </w:tc>
        <w:tc>
          <w:tcPr>
            <w:tcW w:w="0" w:type="dxa"/>
            <w:vAlign w:val="bottom"/>
          </w:tcPr>
          <w:p>
            <w:pPr>
              <w:spacing w:after="0"/>
              <w:rPr>
                <w:sz w:val="1"/>
                <w:szCs w:val="1"/>
                <w:color w:val="auto"/>
              </w:rPr>
            </w:pPr>
          </w:p>
        </w:tc>
      </w:tr>
      <w:tr>
        <w:trPr>
          <w:trHeight w:val="221"/>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138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2019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863,290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(39,348)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131.86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2019</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46.37</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2019</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50.45</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1,538,046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2019</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433,391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and six month periods ended June 30, 2019 was $2.09. Stock-based compensation expense for the three and six month periods ended June 30, 2019 and 2018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gridSpan w:val="3"/>
          </w:tcPr>
          <w:p>
            <w:pPr>
              <w:jc w:val="right"/>
              <w:ind w:right="516"/>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810</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1,070</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1,747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six month periods ended June 30, 2019 and 2018 were valued using the Black-Scholes option pricing model with the following assumptions: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330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10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5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73 - 85%</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6.0 Years</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6.0 Years</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6.0 Years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6.0 Years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1.9 – 2.4%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1.9 – 2.5%</w:t>
            </w:r>
          </w:p>
        </w:tc>
        <w:tc>
          <w:tcPr>
            <w:tcW w:w="1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2.8 – 3.0%</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None</w:t>
            </w: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None</w:t>
            </w: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None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changes in accumulated other comprehensive income, which is reported as a component of stockholders’ equity,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2019 are summarized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Gain/(Loss) on</w:t>
            </w:r>
          </w:p>
        </w:tc>
        <w:tc>
          <w:tcPr>
            <w:tcW w:w="140" w:type="dxa"/>
            <w:vAlign w:val="bottom"/>
          </w:tcPr>
          <w:p>
            <w:pPr>
              <w:spacing w:after="0"/>
              <w:rPr>
                <w:sz w:val="12"/>
                <w:szCs w:val="12"/>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amounts were reclassified out of accumulated other comprehensive income during the six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jc w:val="both"/>
        <w:ind w:right="20" w:firstLine="648"/>
        <w:spacing w:after="0"/>
        <w:rPr>
          <w:sz w:val="20"/>
          <w:szCs w:val="20"/>
          <w:color w:val="auto"/>
        </w:rPr>
      </w:pPr>
      <w:r>
        <w:rPr>
          <w:rFonts w:ascii="Arial" w:cs="Arial" w:eastAsia="Arial" w:hAnsi="Arial"/>
          <w:sz w:val="16"/>
          <w:szCs w:val="16"/>
          <w:color w:val="auto"/>
        </w:rPr>
        <w:t>The Company’s primary product development and licensing revenue is associated with a clinical collaboration agreement with BMS entered into in 2014 to evaluate the safety, tolerability and preliminary efficacy of varlilumab and Opdivo</w:t>
      </w:r>
      <w:r>
        <w:rPr>
          <w:rFonts w:ascii="Arial" w:cs="Arial" w:eastAsia="Arial" w:hAnsi="Arial"/>
          <w:sz w:val="31"/>
          <w:szCs w:val="31"/>
          <w:color w:val="auto"/>
          <w:vertAlign w:val="superscript"/>
        </w:rPr>
        <w:t>®</w:t>
      </w:r>
      <w:r>
        <w:rPr>
          <w:rFonts w:ascii="Arial" w:cs="Arial" w:eastAsia="Arial" w:hAnsi="Arial"/>
          <w:sz w:val="16"/>
          <w:szCs w:val="16"/>
          <w:color w:val="auto"/>
        </w:rPr>
        <w:t>, BMS’s PD-1 immune checkpoint inhibitor, in a Phase 1/2 study. Under this agreement, BMS made an upfront payment to Celldex of $5.0 million and provides funding for 50% of the external costs incurred by the Company in connection with the clinical trial. The Company recorded $0.1 million and $0.2 million in revenue related to this agreement during the three and six months ended June 30, 2019, respectively, and $1.7 million and $2.6 million during the three and six months ended June 30,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has entered into agreements with Rockefeller University and Duke University pursuant to which the Company performs manufacturing and research and development services on a time-and-materials basis. The Company recognized $0.4 million and $1.5 million in revenue for labor hours and direct costs incurred under these agreements during the three and six months ended June 30, 2019, respectively, and $0.7 million and $1.4 million during the three and six months ended June 30, 2018, respectively.</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Company has entered into fixed-fee manufacturing and research and development arrangements with the International AIDS Vaccine Initiative and Frontier Biotechnologies, Inc. The Company recognized $0.1 million and $0.2 million in revenue under these agreements during the three and six months ended June 30, 2019, respectively, and $0.4 million and $2.7 million during the three and six months ended June 30, 2018,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At December 31, 2018 and June 30, 2019, the Company’s right to consideration under all contracts was considered unconditional, and as such, there were no recorded contract assets. At December 31, 2018 and June 30, 2019, the Company had $1.6 million and $0.5 million in contract liabilities recorded, respectively. Revenue recognized from contract liabilities as of December 31, 2018 during the three and six months ended June 30, 2019 was $0.4 million and $1.2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2019 and December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net deferred tax liability of $3.0 million at June 30, 2019 and December 31, 2018 relates to the temporary differences associated with the IPR&amp;D intangible assets acquired in previous business combinations and is not deductible for tax purposes. As a result of the discontinuation of the Glemba program, the Company recorded a $0.8 million non-cash income tax benefit during the first quarter of 2018.</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120" w:type="dxa"/>
            <w:vAlign w:val="bottom"/>
            <w:gridSpan w:val="4"/>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9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1,690,074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Restricted Stock</w:t>
            </w:r>
          </w:p>
        </w:tc>
        <w:tc>
          <w:tcPr>
            <w:tcW w:w="6540" w:type="dxa"/>
            <w:vAlign w:val="bottom"/>
            <w:gridSpan w:val="3"/>
          </w:tcPr>
          <w:p>
            <w:pPr>
              <w:jc w:val="right"/>
              <w:ind w:right="280"/>
              <w:spacing w:after="0"/>
              <w:rPr>
                <w:sz w:val="20"/>
                <w:szCs w:val="20"/>
                <w:color w:val="auto"/>
              </w:rPr>
            </w:pPr>
            <w:r>
              <w:rPr>
                <w:rFonts w:ascii="Arial" w:cs="Arial" w:eastAsia="Arial" w:hAnsi="Arial"/>
                <w:sz w:val="18"/>
                <w:szCs w:val="18"/>
                <w:color w:val="auto"/>
              </w:rPr>
              <w:t>1,110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900" w:type="dxa"/>
            <w:vAlign w:val="bottom"/>
            <w:vMerge w:val="restart"/>
          </w:tcPr>
          <w:p>
            <w:pPr>
              <w:jc w:val="right"/>
              <w:ind w:right="2410"/>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980" w:right="580" w:hanging="324"/>
        <w:spacing w:after="0" w:line="308"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20" w:hanging="324"/>
        <w:spacing w:after="0" w:line="279"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1" w:lineRule="exact"/>
        <w:rPr>
          <w:rFonts w:ascii="Arial" w:cs="Arial" w:eastAsia="Arial" w:hAnsi="Arial"/>
          <w:sz w:val="17"/>
          <w:szCs w:val="17"/>
          <w:color w:val="auto"/>
        </w:rPr>
      </w:pPr>
    </w:p>
    <w:p>
      <w:pPr>
        <w:ind w:left="980" w:right="6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0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25" w:lineRule="exact"/>
        <w:rPr>
          <w:rFonts w:ascii="Arial" w:cs="Arial" w:eastAsia="Arial" w:hAnsi="Arial"/>
          <w:sz w:val="18"/>
          <w:szCs w:val="18"/>
          <w:color w:val="auto"/>
        </w:rPr>
      </w:pPr>
    </w:p>
    <w:p>
      <w:pPr>
        <w:ind w:left="980" w:hanging="324"/>
        <w:spacing w:after="0" w:line="286"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2018 and other reports that we file with the Securities and Exchange Commission</w:t>
      </w:r>
      <w:r>
        <w:rPr>
          <w:rFonts w:ascii="Arial" w:cs="Arial" w:eastAsia="Arial" w:hAnsi="Arial"/>
          <w:sz w:val="17"/>
          <w:szCs w:val="17"/>
          <w:i w:val="1"/>
          <w:iCs w:val="1"/>
          <w:color w:val="auto"/>
        </w:rPr>
        <w:t>.</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40" w:hanging="324"/>
        <w:spacing w:after="0" w:line="30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CDX-1140, an agonist monoclonal antibody targeted to CD40, a key activator of immune response, currently being studied as a single-agent and in combination with CDX-301, a dendritic cell growth factor, in a Phase 1 dose-escalation study in multiple types of solid tumors and B cell lymphomas. In addition, we are evaluating the potential combination of CDX-1140 with varlilumab, an immune modulating antibody designed to target CD27 and enhance a patient’s immune response, especially in lymphomas which co-express CD40 and CD27 receptors;</w:t>
      </w:r>
    </w:p>
    <w:p>
      <w:pPr>
        <w:spacing w:after="0" w:line="154" w:lineRule="exact"/>
        <w:rPr>
          <w:rFonts w:ascii="Arial" w:cs="Arial" w:eastAsia="Arial" w:hAnsi="Arial"/>
          <w:sz w:val="16"/>
          <w:szCs w:val="16"/>
          <w:color w:val="auto"/>
        </w:rPr>
      </w:pPr>
    </w:p>
    <w:p>
      <w:pPr>
        <w:ind w:left="980" w:right="24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CDX-3379, a monoclonal antibody designed to block the activity of ErbB3 (HER3), currently in an early Phase 2 study in advanced head and neck squamous cell cancer in combination with Erbitux®;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potently inhibits its activity and is expected to enter a Phase 1 study in healthy subjects by year end.</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70"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drug candidate.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not unusual for the clinical development of these types of drug candidates to each take five years or more, and for total development costs to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drug candidate. We estimate that clinical trials of the type we generally conduct are typically completed over the following timelines: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40" w:type="dxa"/>
            <w:vAlign w:val="bottom"/>
            <w:gridSpan w:val="2"/>
            <w:vMerge w:val="continue"/>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8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past five years through December 31, 2018, we incurred an aggregate of $469.9 million in research and development expenses. The following table indicates the amount incurred for each of our significant research programs and for other identified research and development activities during the six months ended June 30, 2019 and 2018. The amounts disclosed in the following table reflect direct research and development costs, license fees associated with the underlying technology and an allocation of indirect research and development costs to each program.</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2018</w:t>
            </w:r>
          </w:p>
        </w:tc>
      </w:tr>
      <w:tr>
        <w:trPr>
          <w:trHeight w:val="142"/>
        </w:trPr>
        <w:tc>
          <w:tcPr>
            <w:tcW w:w="5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gridSpan w:val="4"/>
          </w:tcPr>
          <w:p>
            <w:pPr>
              <w:jc w:val="right"/>
              <w:ind w:right="131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19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CDX-3379</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Anti-KIT Program (including CDX-0159)</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CDX-527</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3,412</w:t>
            </w: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 Program</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2,571</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5,318</w:t>
            </w: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25,271</w:t>
            </w: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initiated a Phase 1 study of CDX-1140 in November 2017. This study is expected to enroll up to approximately 180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is being utilized to increase the number of dendritic cells in blood and tissue available for CDX-1140 activation. CDX-1140 should, in turn, activate and mature the dendritic cells, an important step for enhancing anti-tumor immune responses.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Interim data from the Phase 1 study were presented in April 2019 at the American Association for Cancer Research (AACR) Annual Meeting. 30 patients were enrolled in the study at the time of data analysis (n=22 monotherapy; n=8 combination). Six monotherapy dosing cohorts in both solid tumors and non-Hodgkin lymphoma (NHL) (0.01, 0.03, 0.09, 0.18, 0.36 and 0.72 mg/kg) and two combination cohorts in solid tumors (0.09 and 0.18 mg/kg) with CDX-301 were completed. Enrollment to the seventh monotherapy cohort at 1.5 mg/kg and to the third CDX-301 combination cohort at 0.36 mg/kg were ongoing. In general, patients had advanced disease and were heavily pretreated (median number of prior therapies: 4 monotherapy arm; 3.5 combination arm). CDX-1140 was generally well tolerated. An MTD had not been reached. Three patients experienced serious treatment related adverse events (pneumonitis and hypoxia; possible cytokine release, fatigue and fever; and, fatigue and nausea). Across both arms of the study, there were no high grade (Grade 3 or above) drug-related changes observed in liver function tests or platelets, including at CDX-1140 dose levels which exceed the MTDs or recommended Phase 2 dose reported with other CD40 agonists. The addition of CDX-301 did not affect the tolerability of CDX-1140 at the dose levels tested. Dose dependent biological effects consistent with CD40-mediated immune activation were reported. Higher dose levels achieved circulating antibody concentrations in the range of 20 to 30 micrograms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CDX-1140 per milliliter. Transient dose-dependent pharmacodynamic effects were observed including activation of dendritic cells and B cells, along with increases in pro-inflammatory cytokines and chemokines in the blood, all of which are consistent with CD40-mediated immune activation and the hypothesis that CDX-1140 is achieving dose levels optimal for systemic exposure. The addition of CDX-301 further enhanced cytokine responses. While not anticipated at low CDX-1140 dose levels, stable disease was observed in this heavily pretreated population.</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Continued enrollment is ongoing to define the MTD and select a dose for disease-specific expansion cohorts that will be monitored for clinical activity. Future combination opportunities are also being considered, including with PD-1 or PD-L1 inhibitors, chemotherapy, radiation therapy and Celldex’s potent CD27 agonist monoclonal antibody varlilumab. Several B cell lymphomas, including diffuse large B-cell lymphoma and follicular lymphoma, also express both CD40 and CD27. Celldex’s varlilumab is a potent CD27 agonist and has been shown to synergize with CDX-1140 in NHL models. We plan to present updated data from the Phase 1 study at a future medical meeting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in a Phase 2 study in combination with Erbitux in Erbitux-resistant, advanced head and neck squamous cell carcinoma (HNSSC).</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6"/>
          <w:szCs w:val="16"/>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(n=16), Tarceva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(n=8), Zelboraf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(n=9) and Herceptin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was considered refractory, as well as an unconfirmed partial response in a patient with thyroid cancer. Initial data were presented at the 2016 American Society of Clinical Oncology (ASCO) Annual Meeting.</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April 2018, results from a window-of-opportunity study evaluating the effect of CDX-3379 on potential biomarkers in patients with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an exceptional response (greater than 92% tumor shrinkage). CDX-3379 was well-tolerated, and no treatment-related adverse events were observed.</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Preclinical data from the combination of CDX-3379 and Erbitux in xenograft models of HNSCC were also presented at the AACR Annual Meeting in April 2018. Combining CDX-3379 and Erbitux inhibited tumor growth more potently than Erbitux alone. Mechanistic studies demonstrated a reduction of PD-L1 expression from the combination.</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initiated an open-label Phase 2 study in combination with Erbitux in patients with human papillomavirus (HPV) negative, Erbitux-resistant, advanced HNSCC who have previously been treated with an anti-PD1 checkpoint inhibitor, a population with limited options and a particularly poor prognosis. We opened the study to enrollment in November 2017. The study was initially designed as a Simon two-stage design with an interim futility analysis following enrollment of the first 13 patients. According to the study design, if at least one patient achieved an objective response in the first stage, enrollment could progress to the second stage. The primary endpoint of the study is objective response rate (ORR). Secondary endpoints include assessments of clinical benefit response (CBR), duration of response (DOR), progression-free survival (PFS), overall survival (OS), and safety and pharmacokinetics associated with the combination. Enrollment to the first stage of the Phase 2 study (n=15) is complete and interim data from the study were presented at the 2019 ASCO Annual Meeting in June that support the continued development of CDX-3379.</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Patients had a median of 3 (range of 2-6) prior cancer therapy treatments. All patients had received prior checkpoint inhibitor treatment and 14 of 15 patients were cetuximab refractory. Notable clinical activity was observed in this refractory patient population. A durable confirmed complete response (11+ months) was observed; this response remains ongoing and the patient continues to receive treatment. An unconfirmed partial response (uPR) in a patient that had not received cetuximab was also observed. 7 patients experienced stable disease (47%; includes uPR). A clinical benefit rate of 29% was achieved (objective response or stable disease greater than or equal to 12 weeks). CDX-3379 in combination with cetuximab was generally associated with the expected target-mediated adverse events of diarrhea and rash.</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Emerging data from the Phase 2 study and earlier studies of CDX-3379 suggest that antitumor activity may be associated with somatic mutations in certain genes. Based on these observations, next-generation sequencing was performed on tumor samples from 18 patients with HNSCC treated with CDX-3379 across three clinical studies of CDX-3379 that have enrolled patients with HNSCC. This data set included four patients with clinical responses, eight patients with stable disease and/or tumor shrinkage, and six patients with progressive disease. Key findings are outlined below.</w:t>
      </w:r>
    </w:p>
    <w:p>
      <w:pPr>
        <w:spacing w:after="0" w:line="154"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mutations in the FAT1 gene.</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four clinical responses occurred in patients with a primary tumor site of oral cavity.</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of the four clinical responses occurred in patients who also had mutations in NOTCH1, NOTCH2 or NOTCH3 genes.</w:t>
      </w:r>
    </w:p>
    <w:p>
      <w:pPr>
        <w:spacing w:after="0" w:line="9" w:lineRule="exact"/>
        <w:rPr>
          <w:rFonts w:ascii="Arial" w:cs="Arial" w:eastAsia="Arial" w:hAnsi="Arial"/>
          <w:sz w:val="18"/>
          <w:szCs w:val="18"/>
          <w:color w:val="auto"/>
        </w:rPr>
      </w:pPr>
    </w:p>
    <w:p>
      <w:pPr>
        <w:ind w:left="980" w:right="240" w:hanging="324"/>
        <w:spacing w:after="0" w:line="250"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of note, all patients (n=7 of 18) who experienced clinical benefit (objective response or stable disease greater than or equal to 12 weeks) had FAT1 and/or NOTCH1-3 mutations.</w:t>
      </w:r>
    </w:p>
    <w:p>
      <w:pPr>
        <w:ind w:left="980" w:hanging="324"/>
        <w:spacing w:after="0" w:line="277" w:lineRule="auto"/>
        <w:tabs>
          <w:tab w:leader="none" w:pos="944" w:val="left"/>
        </w:tabs>
        <w:numPr>
          <w:ilvl w:val="0"/>
          <w:numId w:val="7"/>
        </w:numPr>
        <w:rPr>
          <w:rFonts w:ascii="Arial" w:cs="Arial" w:eastAsia="Arial" w:hAnsi="Arial"/>
          <w:sz w:val="17"/>
          <w:szCs w:val="17"/>
          <w:color w:val="auto"/>
        </w:rPr>
      </w:pPr>
      <w:r>
        <w:rPr>
          <w:rFonts w:ascii="Arial" w:cs="Arial" w:eastAsia="Arial" w:hAnsi="Arial"/>
          <w:sz w:val="17"/>
          <w:szCs w:val="17"/>
          <w:color w:val="auto"/>
        </w:rPr>
        <w:t>FAT1 and NOTCH genes are associated with tumor suppression. Inactivating mutations in the FAT1 and NOTCH genes occur in sizeable subsets of HPV negative HNSCC tumors, having been identified in 32% (FAT1) and 26% (NOTCH) of these tumors, respectively. Preclinical studies investigating the association of CDX-3379 sensitivity and inactivating mutations of FAT1 and other genes are ongoing.</w:t>
      </w:r>
    </w:p>
    <w:p>
      <w:pPr>
        <w:spacing w:after="0" w:line="17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Based on these biomarker observations and the notable clinical activity observed in this refractory patient population, the study has been expanded (n= ~45 patients, including at least 15 patients with FAT1 mutations) to allow for an evaluation of the utility of biomarkers for future patient selection. Enrollment is ongoing.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CDX-0159 is a humanized monoclonal antibody that specifically binds the KIT receptor and potently inhibits its activity. The KIT receptor tyrosine kinase is expressed in a variety of cells, including mast cells, and its activation by its ligand SCF regulates mast cell growth, differentiation, survival, chemotaxis and degranulation. In certain inflammatory diseases, such as chronic idiopathic urticaria (CIU), mast cell degranulation plays a central role in the onset and progression of the disease.</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CDX-0159 is a re-engineered variant of CDX-0158, which was specifically designed to block KIT activation by disrupting both SCF binding and KIT dimerization. Preclinical and clinical data with CDX-0158 demonstrated robust inhibition of mast cell activity and decreased mast cell numbers, supporting the concept that targeting KIT can modulate mast cell activity and potentially provide clinical benefit in mast cell related diseases. CDX-0159 was re-designed to ablate Fc receptor interactions and effector function and improve its safety profile, while preserving full KIT inhibitory activity. In addition, CDX-0159 was modified to provide extended half-life following administration.</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plan to submit an Investigational New Drug (IND) Application and initiate a Phase 1a study of CDX-0159 by year end 2019. The study is designed to evaluate the safety profile, pharmacokinetics and pharmacodynamics of single ascending doses of CDX-0159 in healthy subjects. Following completion of this study, we plan to further study CDX-0159 in CIU, a mast cell-related disease. CIU presents as itchy hives, angioedema or both for at least six weeks without a specific trigger; multiple episodes can play out over years or even decades. About 50% of patients with CIU achieve symptomatic control with antihistamines or leukotriene receptor antagonists. Omalizumab, an IgE inhibitor, provides relief for roughly half of the remaining antihistamine/leukotriene refractory patients. Consequently, there is a need for more effective later line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Varlilumab was initially studied as a single-agent to establish a safety profile and assess immunologic and clinical activity in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patients with cancer, but we believe the greatest opportunity for varlilumab is as an immune activator in combination with other agents.</w:t>
      </w:r>
    </w:p>
    <w:p>
      <w:pPr>
        <w:spacing w:after="0" w:line="22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Single-Agent Phase 1 Study: </w:t>
      </w:r>
      <w:r>
        <w:rPr>
          <w:rFonts w:ascii="Arial" w:cs="Arial" w:eastAsia="Arial" w:hAnsi="Arial"/>
          <w:sz w:val="17"/>
          <w:szCs w:val="17"/>
          <w:color w:val="auto"/>
        </w:rPr>
        <w:t>In an open-label Phase 1 study of varlilumab in patients with selected malignant solid tumors or hematologic cancers,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varlilumab demonstrated an acceptable safety profile and induced immunologic activity in patients that is consistent with both its proposed mechanism of action and data in preclinical models. A total of 90 patients received varlilumab in the study at multiple clinical sites in the U.S. In both the solid tumor and hematologic dose escalations, the pre-specified maximum dose level (10 mg/kg) was reached without identification of an MTD. The majority of adverse events, or AEs, related to treatment were mild to moderate (Grade 1/2) in severity, and no significant immune-mediated adverse events typically associated with checkpoint blockade were observed. Durable, multi-year clinical benefit was demonstrated in select patients without additional anti-cancer therapy. Final results from the study in patients with solid tumors were published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April 2017.</w:t>
      </w:r>
    </w:p>
    <w:p>
      <w:pPr>
        <w:spacing w:after="0" w:line="172" w:lineRule="exact"/>
        <w:rPr>
          <w:sz w:val="20"/>
          <w:szCs w:val="20"/>
          <w:color w:val="auto"/>
        </w:rPr>
      </w:pPr>
    </w:p>
    <w:p>
      <w:pPr>
        <w:ind w:right="140" w:firstLine="648"/>
        <w:spacing w:after="0" w:line="292" w:lineRule="auto"/>
        <w:rPr>
          <w:sz w:val="20"/>
          <w:szCs w:val="20"/>
          <w:color w:val="auto"/>
        </w:rPr>
      </w:pPr>
      <w:r>
        <w:rPr>
          <w:rFonts w:ascii="Arial" w:cs="Arial" w:eastAsia="Arial" w:hAnsi="Arial"/>
          <w:sz w:val="16"/>
          <w:szCs w:val="16"/>
          <w:b w:val="1"/>
          <w:bCs w:val="1"/>
          <w:color w:val="auto"/>
        </w:rPr>
        <w:t xml:space="preserve">Phase 1/2 Varlilumab/Opdivo Combination Study: </w:t>
      </w:r>
      <w:r>
        <w:rPr>
          <w:rFonts w:ascii="Arial" w:cs="Arial" w:eastAsia="Arial" w:hAnsi="Arial"/>
          <w:sz w:val="16"/>
          <w:szCs w:val="16"/>
          <w:color w:val="auto"/>
        </w:rPr>
        <w:t>In 2014, we entered into a clinical trial collaboration with Bristol-Myers Squibb, or BMS,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safety, tolerability and preliminary efficacy of varlilumab and Opdivo, BMS’s PD-1 immune checkpoint inhibitor, in a Phase 1/2 study. The Phase 1 portion of the study was initiated in January 2015 and conducted in adult patients with multiple solid tumors to assess the safety and tolerability of varlilumab at varying doses when administered with Opdivo. It was followed by a Phase 2 expansion to evaluate the activity of the combination in disease specific cohorts. Enrollment to the Phase 2 portion of the study was completed in January 2018 with cohorts in colorectal cancer (n=21), ovarian cancer (n=58), head and neck squamous cell carcinoma (HNSCC) (n=24), renal cell carcinoma (RCC) (n=14) and glioblastoma (GBM) (n=22). The primary objective of the Phase 2 cohorts was objective response rate, or ORR, except glioblastoma, where the primary objective was the rate of 12-month OS.</w:t>
      </w:r>
    </w:p>
    <w:p>
      <w:pPr>
        <w:spacing w:after="0" w:line="16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combination of varlilumab and nivolumab was generally well tolerated across indications at all varlilumab dose levels/schedules tested. Clinical data from patients with “cold” tumors with low expectation of response to checkpoint inhibition monotherapy suggested potential benefit from the combination. Uniquely in the ovarian cancer cohort, increased PD-L1 and CD8 TIL were observed in ~ 60% of patients with paired biopsy samples. Patients with increase in PD-L1 and CD8 TIL had good clinical outcome and higher doses of varlilumab trended towards better activity then lower/less frequent dosing. In recurrent GBM, results in the subgroup (n=16) with unmethylated MGMT appeared promising with 2 (14%) partial responses noted and a median overall survival of 12.5 months. Among colorectal cancer patients, durable clinical responses were observed in a patient with MSI-high tumor and one with a high mutational burden. In HNSCC, in the subgroup (n=9) with PD-L1 negative disease, one partial response was observed (13%) and a median OS of 11 months was reported. Given the changing treatment paradigm in RCC, only fourteen patients were treated in the study; 39% of these patients experienced stable disease.</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Future development of varlilumab is focused on inclusion in internal combination studies, including potentially in the ongoing Phase 1 trial of CDX-1140, and several external investigator-initiated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We believe CDX-301 may hold significant opportunity for synergistic development in combination with other proprietary molecules in our portfolio, as well as with approved or investigational therapies for the treatment of cancer.</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CDX-301 is being used as a priming agent to potentially increase the number of cells available to respond to CDX-1140 in the ongoing Phase 1 trial of CDX-1140. CDX-301 is also in clinical development for multiple cancers in ongoing investigator-sponsored and collaborative studies, including in combination with treatments that release tumor antigens, such as radiation therapy.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2018 for a discussion of our critical accounting policies. There have been no material changes to such critical accounting policies except for the adoption of the updated lease accounting standard on January 1, 2019. We believe our most critical accounting policies include accounting for business combinations, revenue recognition, intangible and long-lived assets, research and development expenses and 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with Three Months Ended June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4"/>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(1,472)</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(576)</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(74)%</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10,081</w:t>
            </w:r>
          </w:p>
        </w:tc>
        <w:tc>
          <w:tcPr>
            <w:tcW w:w="5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21,448</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(11,367)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5,621</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(1,713)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02"/>
        </w:trPr>
        <w:tc>
          <w:tcPr>
            <w:tcW w:w="4820" w:type="dxa"/>
            <w:vAlign w:val="bottom"/>
          </w:tcPr>
          <w:p>
            <w:pPr>
              <w:ind w:left="200"/>
              <w:spacing w:after="0" w:line="201" w:lineRule="exact"/>
              <w:rPr>
                <w:sz w:val="20"/>
                <w:szCs w:val="20"/>
                <w:color w:val="auto"/>
              </w:rPr>
            </w:pPr>
            <w:r>
              <w:rPr>
                <w:rFonts w:ascii="Arial" w:cs="Arial" w:eastAsia="Arial" w:hAnsi="Arial"/>
                <w:sz w:val="18"/>
                <w:szCs w:val="18"/>
                <w:color w:val="auto"/>
              </w:rPr>
              <w:t>Gain on Fair Value Remeasurement of Contingent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Consideration</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5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(7,433)</w:t>
            </w:r>
          </w:p>
        </w:tc>
        <w:tc>
          <w:tcPr>
            <w:tcW w:w="32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(6,416)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(12,257)</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(16,873)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(4,616)</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$4.6 million decrease in net loss for the three months ended June 30, 2019, as compared to the three months ended June 30, 2018, was primarily the result of a decrease in research and development expenses, partially offset by the decrease in gain on fair value remeasurement of contingent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$1.5 million decrease in product development and licensing agreements revenue for the three months ended June 30, 2019, as compared to the three months ended June 30, 2018, was primarily due to a decrease in revenue related to our BMS agreement as a result of the completion of our combination clinical study. The $0.6 million decrease in contracts and grants revenue for the three months ended June 30, 2019, as compared to the three months ended June 30, 2018, was primarily related to a decrease in services performed under our contract manufacturing and research and development agreements with Rockefeller University and the International AIDS Vaccine Initiative. We expect revenue to decrease over the next twelve months, although there may be fluctuations on a quarterly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78"/>
              <w:spacing w:after="0"/>
              <w:rPr>
                <w:sz w:val="20"/>
                <w:szCs w:val="20"/>
                <w:color w:val="auto"/>
              </w:rPr>
            </w:pPr>
            <w:r>
              <w:rPr>
                <w:rFonts w:ascii="Arial" w:cs="Arial" w:eastAsia="Arial" w:hAnsi="Arial"/>
                <w:sz w:val="14"/>
                <w:szCs w:val="14"/>
                <w:b w:val="1"/>
                <w:bCs w:val="1"/>
                <w:color w:val="auto"/>
              </w:rPr>
              <w:t>Increase/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(Decrease)</w:t>
            </w:r>
          </w:p>
        </w:tc>
        <w:tc>
          <w:tcPr>
            <w:tcW w:w="9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123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5,408</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(2,311)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1,257</w:t>
            </w:r>
          </w:p>
        </w:tc>
        <w:tc>
          <w:tcPr>
            <w:tcW w:w="6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1,212</w:t>
            </w:r>
          </w:p>
        </w:tc>
        <w:tc>
          <w:tcPr>
            <w:tcW w:w="480" w:type="dxa"/>
            <w:vAlign w:val="bottom"/>
          </w:tcPr>
          <w:p>
            <w:pPr>
              <w:spacing w:after="0"/>
              <w:rPr>
                <w:sz w:val="18"/>
                <w:szCs w:val="18"/>
                <w:color w:val="auto"/>
              </w:rPr>
            </w:pPr>
          </w:p>
        </w:tc>
        <w:tc>
          <w:tcPr>
            <w:tcW w:w="1560" w:type="dxa"/>
            <w:vAlign w:val="bottom"/>
          </w:tcPr>
          <w:p>
            <w:pPr>
              <w:jc w:val="right"/>
              <w:ind w:right="598"/>
              <w:spacing w:after="0"/>
              <w:rPr>
                <w:sz w:val="20"/>
                <w:szCs w:val="20"/>
                <w:color w:val="auto"/>
              </w:rPr>
            </w:pPr>
            <w:r>
              <w:rPr>
                <w:rFonts w:ascii="Arial" w:cs="Arial" w:eastAsia="Arial" w:hAnsi="Arial"/>
                <w:sz w:val="18"/>
                <w:szCs w:val="18"/>
                <w:color w:val="auto"/>
              </w:rPr>
              <w:t>45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1,558</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(461)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827</w:t>
            </w:r>
          </w:p>
        </w:tc>
        <w:tc>
          <w:tcPr>
            <w:tcW w:w="6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7,576</w:t>
            </w:r>
          </w:p>
        </w:tc>
        <w:tc>
          <w:tcPr>
            <w:tcW w:w="480" w:type="dxa"/>
            <w:vAlign w:val="bottom"/>
          </w:tcPr>
          <w:p>
            <w:pPr>
              <w:spacing w:after="0"/>
              <w:rPr>
                <w:sz w:val="20"/>
                <w:szCs w:val="20"/>
                <w:color w:val="auto"/>
              </w:rPr>
            </w:pPr>
          </w:p>
        </w:tc>
        <w:tc>
          <w:tcPr>
            <w:tcW w:w="1560" w:type="dxa"/>
            <w:vAlign w:val="bottom"/>
          </w:tcPr>
          <w:p>
            <w:pPr>
              <w:jc w:val="right"/>
              <w:ind w:right="538"/>
              <w:spacing w:after="0"/>
              <w:rPr>
                <w:sz w:val="20"/>
                <w:szCs w:val="20"/>
                <w:color w:val="auto"/>
              </w:rPr>
            </w:pPr>
            <w:r>
              <w:rPr>
                <w:rFonts w:ascii="Arial" w:cs="Arial" w:eastAsia="Arial" w:hAnsi="Arial"/>
                <w:sz w:val="18"/>
                <w:szCs w:val="18"/>
                <w:color w:val="auto"/>
              </w:rPr>
              <w:t>(6,749)</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r>
    </w:tbl>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$2.3 million decrease in personnel expenses for the three months ended June 30, 2019, as compared to the three months ended June 30, 2018, was primarily due to a decrease in headcount and lower severance expense related to the workforce reduction that occurred in the second quarter of 2018 as a result of the discontinuation of the Glemba program. We expect personnel expenses to remain relatively consistent over the next twelve months, although there may be fluctuations on a quarterly basis.</w:t>
      </w:r>
    </w:p>
    <w:p>
      <w:pPr>
        <w:spacing w:after="0" w:line="154"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Laboratory supply expenses for the three months ended June 30, 2019 were consistent with the three months ended June 30, 2018. We expect laboratory supplies expenses to remain relatively consistent over the next twelve months, although there may be fluctuations on a quarterly basis.</w:t>
      </w:r>
    </w:p>
    <w:p>
      <w:pPr>
        <w:spacing w:after="0" w:line="14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$0.5 million decrease in facility expenses for the three months ended June 30, 2019, as compared to the three months ended June 30, 2018, was primarily due to lower depreciation expense. We expect facility expenses to decrease over the next twelve months as a result of the reduction in leased space in our Hampton, New Jersey facility. In addition, in June 2019, we decided to consolidate our Massachusetts lab and manufacturing facilities to further preserve our financial resources and direct them towards reaching meaningful development milestones across our pipeline. The lease in Needham, MA will not be renewed and most functions and employees will be integrated into our Fall River, MA facility in 2020. We estimate that this consolidation along with the reduction in square footage at our Hampton, NJ facility earlier this year will decrease our facility footprint by over 35% and will save the Company over $3.5 million annually starting in the second half of 2020.</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$6.7 million decrease in product development expenses for the three months ended June 30, 2019, as compared to the three months ended June 30, 2018, was primarily due to a decrease in clinical trial expenses of $3.9 million and a decrease in contract manufacturing expenses of $2.2 million. We expect product development expenses to increase over the next twelve months as a result of increased clinical trial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 $1.7 million decrease in general and administrative expenses for the three months ended June 30, 2019, as compared to the three months ended June 30, 2018, was primarily due to a decrease in headcount, lower commercial planning costs and lower lease restructuring expense. We expect general and administrative expenses to remain relatively consistent over the next twelve months, although there may be fluctuations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$1.0 million gain on fair value remeasurement of contingent consideration for the three months ended June 30, 2019 was primarily due to changes in discount rates and the passage of time. The $7.4 million gain on fair value remeasurement of contingent consideration for the three months ended June 30, 2018 was due to a reduction in fair value as a result of discontinuation of the CDX-014 program and updated assumptions for the varlilumab program.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Investment and other income, net for the three months ended June 30, 2019 was consistent with the three months ended June 30, 2018. We anticipate investment income to decrease over the next twelve months due to lower levels of cash and investment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with Six Months Ended June 30,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8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76"/>
              </w:rPr>
              <w:t>$</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2,662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(2,337)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r>
      <w:tr>
        <w:trPr>
          <w:trHeight w:val="25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3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360" w:type="dxa"/>
            <w:vAlign w:val="bottom"/>
            <w:tcBorders>
              <w:bottom w:val="single" w:sz="8" w:color="CCEEFF"/>
            </w:tcBorders>
            <w:gridSpan w:val="2"/>
          </w:tcPr>
          <w:p>
            <w:pPr>
              <w:spacing w:after="0"/>
              <w:rPr>
                <w:sz w:val="21"/>
                <w:szCs w:val="21"/>
                <w:color w:val="auto"/>
              </w:rPr>
            </w:pPr>
          </w:p>
        </w:tc>
        <w:tc>
          <w:tcPr>
            <w:tcW w:w="15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170"/>
        </w:trPr>
        <w:tc>
          <w:tcPr>
            <w:tcW w:w="48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21,232</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43,323</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(22,091)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8,804</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11,215</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(2,411)</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90,976</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(90,976)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Impairment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(18,677)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Other Asset Impairment</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02"/>
        </w:trPr>
        <w:tc>
          <w:tcPr>
            <w:tcW w:w="4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Loss/(Gain) on Fair Value Remeasurement of Contingent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Consideration</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4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(21,033)</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21,535</w:t>
            </w: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(224)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32,338</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(111,044)</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5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(30,198)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(136,548)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(106,350)</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(135,303)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(106,285)</w:t>
            </w:r>
          </w:p>
        </w:tc>
        <w:tc>
          <w:tcPr>
            <w:tcW w:w="360" w:type="dxa"/>
            <w:vAlign w:val="bottom"/>
            <w:gridSpan w:val="2"/>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(134,538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(105,520</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r>
      <w:tr>
        <w:trPr>
          <w:trHeight w:val="20"/>
        </w:trPr>
        <w:tc>
          <w:tcPr>
            <w:tcW w:w="4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$105.5 million decrease in net loss for the six months ended June 30, 2019, as compared to the six months ended June 30, 2018, was primarily the result of a decrease in non-cash goodwill and intangible asset impairment expense and a decrease in research and development expenses, partially offset by the increase in loss on fair value remeasurement of contingent consideration.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$2.3 million decrease in product development and licensing agreements revenue for the six months ended June 30, 2019, as compared to the six months ended June 30, 2018, was primarily due to a decrease in revenue related to our BMS agreement as a result of the completion of our combination clinical study. The $2.4 million decrease in contracts and grants revenue for the six months ended June 30, 2019, as compared to the six months ended June 30, 2018, was primarily related to a decrease in services performed under our contract manufacturing and research and development agreements with Rockefeller University and the International AIDS Vaccine Initiative, partially offset by an increase in services performed under our manufacturing and research and development agreement with Duke University.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78"/>
              <w:spacing w:after="0"/>
              <w:rPr>
                <w:sz w:val="20"/>
                <w:szCs w:val="20"/>
                <w:color w:val="auto"/>
              </w:rPr>
            </w:pPr>
            <w:r>
              <w:rPr>
                <w:rFonts w:ascii="Arial" w:cs="Arial" w:eastAsia="Arial" w:hAnsi="Arial"/>
                <w:sz w:val="14"/>
                <w:szCs w:val="14"/>
                <w:b w:val="1"/>
                <w:bCs w:val="1"/>
                <w:color w:val="auto"/>
              </w:rPr>
              <w:t>Increase/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(Decrease)</w:t>
            </w:r>
          </w:p>
        </w:tc>
        <w:tc>
          <w:tcPr>
            <w:tcW w:w="9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125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3"/>
          </w:tcPr>
          <w:p>
            <w:pPr>
              <w:jc w:val="right"/>
              <w:ind w:right="105"/>
              <w:spacing w:after="0" w:line="142" w:lineRule="exact"/>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4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7"/>
              </w:rPr>
              <w:t>11,162</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16,776</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(5,614)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2,053</w:t>
            </w:r>
          </w:p>
        </w:tc>
        <w:tc>
          <w:tcPr>
            <w:tcW w:w="6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2,469</w:t>
            </w:r>
          </w:p>
        </w:tc>
        <w:tc>
          <w:tcPr>
            <w:tcW w:w="480" w:type="dxa"/>
            <w:vAlign w:val="bottom"/>
          </w:tcPr>
          <w:p>
            <w:pPr>
              <w:spacing w:after="0"/>
              <w:rPr>
                <w:sz w:val="18"/>
                <w:szCs w:val="18"/>
                <w:color w:val="auto"/>
              </w:rPr>
            </w:pPr>
          </w:p>
        </w:tc>
        <w:tc>
          <w:tcPr>
            <w:tcW w:w="1560" w:type="dxa"/>
            <w:vAlign w:val="bottom"/>
          </w:tcPr>
          <w:p>
            <w:pPr>
              <w:jc w:val="right"/>
              <w:ind w:right="538"/>
              <w:spacing w:after="0"/>
              <w:rPr>
                <w:sz w:val="20"/>
                <w:szCs w:val="20"/>
                <w:color w:val="auto"/>
              </w:rPr>
            </w:pPr>
            <w:r>
              <w:rPr>
                <w:rFonts w:ascii="Arial" w:cs="Arial" w:eastAsia="Arial" w:hAnsi="Arial"/>
                <w:sz w:val="18"/>
                <w:szCs w:val="18"/>
                <w:color w:val="auto"/>
              </w:rPr>
              <w:t>(416)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3,454</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4,082</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8"/>
              <w:spacing w:after="0"/>
              <w:rPr>
                <w:sz w:val="20"/>
                <w:szCs w:val="20"/>
                <w:color w:val="auto"/>
              </w:rPr>
            </w:pPr>
            <w:r>
              <w:rPr>
                <w:rFonts w:ascii="Arial" w:cs="Arial" w:eastAsia="Arial" w:hAnsi="Arial"/>
                <w:sz w:val="18"/>
                <w:szCs w:val="18"/>
                <w:color w:val="auto"/>
              </w:rPr>
              <w:t>(628)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Product Development</w:t>
            </w:r>
          </w:p>
        </w:tc>
        <w:tc>
          <w:tcPr>
            <w:tcW w:w="1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jc w:val="right"/>
              <w:ind w:right="56"/>
              <w:spacing w:after="0"/>
              <w:rPr>
                <w:sz w:val="20"/>
                <w:szCs w:val="20"/>
                <w:color w:val="auto"/>
              </w:rPr>
            </w:pPr>
            <w:r>
              <w:rPr>
                <w:rFonts w:ascii="Arial" w:cs="Arial" w:eastAsia="Arial" w:hAnsi="Arial"/>
                <w:sz w:val="18"/>
                <w:szCs w:val="18"/>
                <w:color w:val="auto"/>
              </w:rPr>
              <w:t>2,522</w:t>
            </w:r>
          </w:p>
        </w:tc>
        <w:tc>
          <w:tcPr>
            <w:tcW w:w="6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14,925</w:t>
            </w:r>
          </w:p>
        </w:tc>
        <w:tc>
          <w:tcPr>
            <w:tcW w:w="480" w:type="dxa"/>
            <w:vAlign w:val="bottom"/>
          </w:tcPr>
          <w:p>
            <w:pPr>
              <w:spacing w:after="0"/>
              <w:rPr>
                <w:sz w:val="20"/>
                <w:szCs w:val="20"/>
                <w:color w:val="auto"/>
              </w:rPr>
            </w:pPr>
          </w:p>
        </w:tc>
        <w:tc>
          <w:tcPr>
            <w:tcW w:w="1560" w:type="dxa"/>
            <w:vAlign w:val="bottom"/>
          </w:tcPr>
          <w:p>
            <w:pPr>
              <w:jc w:val="right"/>
              <w:ind w:right="538"/>
              <w:spacing w:after="0"/>
              <w:rPr>
                <w:sz w:val="20"/>
                <w:szCs w:val="20"/>
                <w:color w:val="auto"/>
              </w:rPr>
            </w:pPr>
            <w:r>
              <w:rPr>
                <w:rFonts w:ascii="Arial" w:cs="Arial" w:eastAsia="Arial" w:hAnsi="Arial"/>
                <w:sz w:val="18"/>
                <w:szCs w:val="18"/>
                <w:color w:val="auto"/>
              </w:rPr>
              <w:t>(12,403)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$5.6 million decrease in personnel expenses for the six months ended June 30, 2019, as compared to the six months ended June 30, 2018, was primarily due to a decrease in headcount, lower stock-based compensation expense and lower severance expense related to the workforce reduction that occurred in the second quarter of 2018 as a result of the discontinuation of the Glemba program.</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$0.4 million decrease in laboratory supply expenses for the six months ended June 30, 2019, as compared to the six months ended June 30, 2018, was primarily due to lower laboratory materials and supplies purchases.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$0.6 million decrease in facility expenses for the six months ended June 30, 2019, as compared to the six months ended June 30, 2018, was primarily due to lower depreciation expense.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$12.4 million decrease in product development expenses for the six months ended June 30, 2019, as compared to the six months ended June 30, 2018, was primarily due to a decrease in clinical trial expenses of $7.2 million and a decrease in contract manufacturing expenses of $4.2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$2.4 million decrease in general and administrative expenses for the six months ended June 30, 2019, as compared to the six months ended June 30, 2018, was primarily due to a decrease in headcount, lower commercial planning costs and lower lease restructuring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 Impairment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Fair Value Remeasurement of Contingent Consideration</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$0.5 million loss on fair value remeasurement of contingent consideration for the six months ended June 30, 2019 was primarily due to changes in discount rates and the passage of time. The $21.0 million gain on fair value remeasurement of contingent consideration for the six months ended June 30, 2018 was due to discontinuation of the Glemba and CDX-014 programs and updated assumptions for the varlilumab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decrease in amortization expense for the six months ended June 30, 2019, as compared to the six months ended June 30, 2018, was the result of impairing the remaining balance of our intangible assets subject to amortization during the first quarter of 2018 due to the discontinuation of the Glemba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$0.1 million decrease in investment and other income, net for the six months ended June 30, 2019, as compared to the six months ended June 30, 2018, was primarily due to lower other income related to our sale of New Jersey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At June 30, 2019, our principal sources of liquidity consisted of cash, cash equivalents and marketable securities of $81.3 million. We have had recurring losses and incurred a loss of $29.0 million for the six months ended June 30, 2019. Net cash used in operations for the six months ended June 30, 2019 was $24.3 million. We believe that the cash, cash equivalents and marketable securities at June 30, 2019, combined with the anticipated proceeds from future sales of our common stock under the Cantor agreement, are sufficient to meet estimated working capital requirements and fund planned operations through 2020, although there is no assurance that future sales under the Cantor agreement will occur. This could be impacted if we elected to pay Kolltan contingent milestones, if any, in cash.</w:t>
      </w:r>
    </w:p>
    <w:p>
      <w:pPr>
        <w:spacing w:after="0" w:line="19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used in operating activities was $24.3 million for the six months ended June 30, 2019 as compared to $45.4 million for the six months ended June 30, 2018. The decrease in net cash used in operating activities was primarily due to decreases in both general and administrative and research and development expenses. We expect that cash used in operating activities will remain relatively consistent over the next twelve months, although there may be fluctuations on a quarterly basis.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Net cash provided by investing activities was $8.3 million for the six months ended June 30, 2019 as compared to $28.7 million for the six months ended June 30, 2018. The decrease in net cash provided by investing activities was primarily due to net sales and maturities of marketable securities for the six months ended June 30, 2019 of $8.8 million as compared to $29.3 million for the six months ended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Net cash provided by financing activities was $11.4 million for the six months ended June 30, 2019 as compared to $20.3 million for the six months ended June 30, 2018. Net proceeds from stock issuances pursuant to employee benefit plans were $0.0 million during the six months ended June 30, 2019 as compared to $0.4 million for the six months ended June 30, 2018.</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six months ended June 30, 2019, we issued 2,856,194 shares of common stock under this controlled equity offering sales agreement with Cantor resulting in net proceeds of $11.4 million after deducting commission and offering expenses. At June 30, 2019, we had $25.8 million remaining in aggregate gross offering price available under the Cantor agreement. In July 2019, we issued 201,687 shares of its common stock resulting in net proceeds to us of $0.5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2018 which was filed with the SEC on March 7, 2019 have not materially changed since we filed that report.</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March 2019, the Company amended its Hampton, New Jersey lease to eliminate 16,200 square feet of space and extend the remaining 33,400 square feet of space for an additional five-year term with an early termination option after three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 fair value at June 30, 2019 due to the short-term maturities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June 30, 2019,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2019.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100" w:firstLine="690"/>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7,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100" w:type="dxa"/>
            <w:vAlign w:val="bottom"/>
            <w:gridSpan w:val="9"/>
          </w:tcPr>
          <w:p>
            <w:pPr>
              <w:ind w:left="1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180" w:type="dxa"/>
            <w:vAlign w:val="bottom"/>
            <w:gridSpan w:val="8"/>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1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600" w:type="dxa"/>
            <w:vAlign w:val="bottom"/>
            <w:tcBorders>
              <w:top w:val="single" w:sz="8" w:color="auto"/>
              <w:bottom w:val="single" w:sz="8" w:color="0000EE"/>
            </w:tcBorders>
            <w:gridSpan w:val="8"/>
          </w:tcPr>
          <w:p>
            <w:pPr>
              <w:spacing w:after="0" w:line="170"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Celldex Therapeutics, Inc. Amended and Restated 2008 Stock Option and Incentive Plan (as amended, effective as of June 19, 2019),</w:t>
              </w:r>
            </w:hyperlink>
          </w:p>
        </w:tc>
        <w:tc>
          <w:tcPr>
            <w:tcW w:w="46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80" w:type="dxa"/>
            <w:vAlign w:val="bottom"/>
            <w:gridSpan w:val="13"/>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incorporated by reference to Exhibit 10.1 to the Company’s current report on Form 8-K, filed on June 20, 2019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Exchange Commission.</w:t>
              </w:r>
            </w:hyperlink>
          </w:p>
        </w:tc>
        <w:tc>
          <w:tcPr>
            <w:tcW w:w="7960" w:type="dxa"/>
            <w:vAlign w:val="bottom"/>
            <w:tcBorders>
              <w:top w:val="single" w:sz="8" w:color="0000EE"/>
            </w:tcBorders>
            <w:gridSpan w:val="7"/>
          </w:tcPr>
          <w:p>
            <w:pPr>
              <w:spacing w:after="0"/>
              <w:rPr>
                <w:sz w:val="17"/>
                <w:szCs w:val="17"/>
                <w:color w:val="auto"/>
              </w:rPr>
            </w:pPr>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gridSpan w:val="2"/>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Celldex Therapeutics, Inc. Amended and Restated 2004 Employee Stock Purchase Plan (effective as of June 19, 2019),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760" w:type="dxa"/>
            <w:vAlign w:val="bottom"/>
            <w:tcBorders>
              <w:top w:val="single" w:sz="8" w:color="0000EE"/>
            </w:tcBorders>
            <w:gridSpan w:val="11"/>
          </w:tcPr>
          <w:p>
            <w:pPr>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reference to Exhibit 10.2 to the Company’s current report on Form 8-K, filed on June 20, 2019 with the Securities and Exchange</w:t>
              </w:r>
            </w:hyperlink>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Commission.</w:t>
              </w:r>
            </w:hyperlink>
          </w:p>
        </w:tc>
        <w:tc>
          <w:tcPr>
            <w:tcW w:w="8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gridSpan w:val="2"/>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9820" w:type="dxa"/>
            <w:vAlign w:val="bottom"/>
            <w:tcBorders>
              <w:bottom w:val="single" w:sz="8" w:color="0000EE"/>
            </w:tcBorders>
            <w:gridSpan w:val="12"/>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Employment Agreement, dated July 8, 2019, by and between Diane Young and Celldex Therapeutics., Inc., incorporated by reference to</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Exhibit 10.1 of the Company’s Current Report on Form 8-K, filed on June 24, 2019 with the Securities and Exchange Commission.</w:t>
              </w:r>
            </w:hyperlink>
          </w:p>
        </w:tc>
        <w:tc>
          <w:tcPr>
            <w:tcW w:w="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gridSpan w:val="2"/>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08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President and Chief Executive Officer</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gridSpan w:val="2"/>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47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Senior Vice President and Chief Financial Officer</w:t>
              </w:r>
            </w:hyperlink>
          </w:p>
        </w:tc>
        <w:tc>
          <w:tcPr>
            <w:tcW w:w="5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0" w:type="dxa"/>
            <w:vAlign w:val="bottom"/>
            <w:gridSpan w:val="2"/>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Section 1350 Certifications</w:t>
              </w:r>
            </w:hyperlink>
          </w:p>
        </w:tc>
        <w:tc>
          <w:tcPr>
            <w:tcW w:w="81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7, 2019</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SAM MARTIN</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7, 2019</w:t>
      </w:r>
      <w:r>
        <w:rPr>
          <w:sz w:val="20"/>
          <w:szCs w:val="20"/>
          <w:color w:val="auto"/>
        </w:rPr>
        <w:tab/>
      </w:r>
      <w:r>
        <w:rPr>
          <w:rFonts w:ascii="Arial" w:cs="Arial" w:eastAsia="Arial" w:hAnsi="Arial"/>
          <w:sz w:val="16"/>
          <w:szCs w:val="16"/>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7, 2019</w:t>
            </w:r>
          </w:p>
        </w:tc>
        <w:tc>
          <w:tcPr>
            <w:tcW w:w="2980" w:type="dxa"/>
            <w:vAlign w:val="bottom"/>
          </w:tcPr>
          <w:p>
            <w:pPr>
              <w:ind w:left="2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98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980" w:type="dxa"/>
            <w:vAlign w:val="bottom"/>
          </w:tcPr>
          <w:p>
            <w:pPr>
              <w:ind w:left="22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98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7, 2019</w:t>
            </w:r>
          </w:p>
        </w:tc>
        <w:tc>
          <w:tcPr>
            <w:tcW w:w="2980" w:type="dxa"/>
            <w:vAlign w:val="bottom"/>
          </w:tcPr>
          <w:p>
            <w:pPr>
              <w:ind w:left="2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98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Sam Martin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980" w:type="dxa"/>
            <w:vAlign w:val="bottom"/>
          </w:tcPr>
          <w:p>
            <w:pPr>
              <w:ind w:left="22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98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7, 2019</w:t>
            </w:r>
          </w:p>
        </w:tc>
        <w:tc>
          <w:tcPr>
            <w:tcW w:w="2900" w:type="dxa"/>
            <w:vAlign w:val="bottom"/>
          </w:tcPr>
          <w:p>
            <w:pPr>
              <w:ind w:left="21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80" w:type="dxa"/>
            <w:vAlign w:val="bottom"/>
          </w:tcPr>
          <w:p>
            <w:pPr>
              <w:spacing w:after="0"/>
              <w:rPr>
                <w:sz w:val="16"/>
                <w:szCs w:val="16"/>
                <w:color w:val="auto"/>
              </w:rPr>
            </w:pPr>
          </w:p>
        </w:tc>
        <w:tc>
          <w:tcPr>
            <w:tcW w:w="29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80" w:type="dxa"/>
            <w:vAlign w:val="bottom"/>
          </w:tcPr>
          <w:p>
            <w:pPr>
              <w:spacing w:after="0"/>
              <w:rPr>
                <w:sz w:val="20"/>
                <w:szCs w:val="20"/>
                <w:color w:val="auto"/>
              </w:rPr>
            </w:pPr>
          </w:p>
        </w:tc>
        <w:tc>
          <w:tcPr>
            <w:tcW w:w="2900" w:type="dxa"/>
            <w:vAlign w:val="bottom"/>
          </w:tcPr>
          <w:p>
            <w:pPr>
              <w:ind w:left="21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7, 2019</w:t>
            </w:r>
          </w:p>
        </w:tc>
        <w:tc>
          <w:tcPr>
            <w:tcW w:w="2900" w:type="dxa"/>
            <w:vAlign w:val="bottom"/>
          </w:tcPr>
          <w:p>
            <w:pPr>
              <w:ind w:left="21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680" w:type="dxa"/>
            <w:vAlign w:val="bottom"/>
          </w:tcPr>
          <w:p>
            <w:pPr>
              <w:spacing w:after="0"/>
              <w:rPr>
                <w:sz w:val="16"/>
                <w:szCs w:val="16"/>
                <w:color w:val="auto"/>
              </w:rPr>
            </w:pPr>
          </w:p>
        </w:tc>
        <w:tc>
          <w:tcPr>
            <w:tcW w:w="29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680" w:type="dxa"/>
            <w:vAlign w:val="bottom"/>
          </w:tcPr>
          <w:p>
            <w:pPr>
              <w:spacing w:after="0"/>
              <w:rPr>
                <w:sz w:val="20"/>
                <w:szCs w:val="20"/>
                <w:color w:val="auto"/>
              </w:rPr>
            </w:pPr>
          </w:p>
        </w:tc>
        <w:tc>
          <w:tcPr>
            <w:tcW w:w="2900" w:type="dxa"/>
            <w:vAlign w:val="bottom"/>
          </w:tcPr>
          <w:p>
            <w:pPr>
              <w:ind w:left="21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47" Type="http://schemas.openxmlformats.org/officeDocument/2006/relationships/hyperlink" Target="http://www.sec.gov/Archives/edgar/data/744218/000110465919036671/a19-11620_3ex10d1.htm" TargetMode="External"/><Relationship Id="rId48" Type="http://schemas.openxmlformats.org/officeDocument/2006/relationships/hyperlink" Target="http://www.sec.gov/Archives/edgar/data/744218/000110465919036671/a19-11620_3ex10d2.htm" TargetMode="External"/><Relationship Id="rId49" Type="http://schemas.openxmlformats.org/officeDocument/2006/relationships/hyperlink" Target="http://www.sec.gov/Archives/edgar/data/744218/000110465919037195/a19-1205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2019-12-28T08:09:03Z</dcterms:created>
  <dcterms:modified xsi:type="dcterms:W3CDTF">2019-12-28T08:09:03Z</dcterms:modified>
</cp:coreProperties>
</file>