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40630x10q.htm"/>
        <w:bookmarkStart w:id="1" w:name="kscldx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60c66569_0c52_4cd5_8d11_3ba736a5ef94"/>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quarterly period ended June 30, 2024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Z6Ur1OWhQEmaRSJeRZREMA_1_2"/>
      <w:bookmarkStart w:id="4" w:name="Tc_K9Wgs7063E29S6f7IO_kMQ_1_0"/>
      <w:bookmarkStart w:id="5" w:name="Tc_vShXrAuug0qaLR80FmrStg_0_2"/>
      <w:bookmarkStart w:id="6" w:name="_d0dca1c5_cfbd_41ee_8326_31c42ddd1388"/>
      <w:bookmarkStart w:id="7" w:name="Tc_Z6Ur1OWhQEmaRSJeRZREMA_1_2"/>
      <w:bookmarkStart w:id="8" w:name="Tc_K9Wgs7063E29S6f7IO_kMQ_1_0"/>
      <w:bookmarkStart w:id="9" w:name="Tc_vShXrAuug0qaLR80FmrStg_0_2"/>
      <w:bookmarkStart w:id="10" w:name="_d0dca1c5_cfbd_41ee_8326_31c42ddd1388"/>
      <w:bookmarkEnd w:id="7"/>
      <w:bookmarkEnd w:id="8"/>
      <w:bookmarkEnd w:id="9"/>
      <w:bookmarkEnd w:id="10"/>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1" w:name="Tc_3T-RUMPH8ky2qfV3g-V5UA_1_4"/>
      <w:bookmarkStart w:id="12" w:name="Tc_7jtY0N92f02eAoevHPfAdg_0_4"/>
      <w:bookmarkStart w:id="13" w:name="Tc_7IbMYuczc0uRKzcpdmeOig_0_2"/>
      <w:bookmarkStart w:id="14" w:name="Tc_I0Qmawsdn0ipPpdv4aumLQ_0_0"/>
      <w:bookmarkStart w:id="15" w:name="_82a80587_f51d_4628_93ff_43a2d7fa089f"/>
      <w:bookmarkStart w:id="16" w:name="Tc_3T-RUMPH8ky2qfV3g-V5UA_1_4"/>
      <w:bookmarkStart w:id="17" w:name="Tc_7jtY0N92f02eAoevHPfAdg_0_4"/>
      <w:bookmarkStart w:id="18" w:name="Tc_7IbMYuczc0uRKzcpdmeOig_0_2"/>
      <w:bookmarkStart w:id="19" w:name="Tc_I0Qmawsdn0ipPpdv4aumLQ_0_0"/>
      <w:bookmarkStart w:id="20" w:name="_82a80587_f51d_4628_93ff_43a2d7fa089f"/>
      <w:bookmarkEnd w:id="16"/>
      <w:bookmarkEnd w:id="17"/>
      <w:bookmarkEnd w:id="18"/>
      <w:bookmarkEnd w:id="19"/>
      <w:bookmarkEnd w:id="20"/>
    </w:p>
    <w:tbl>
      <w:tblPr>
        <w:tblW w:w="8425" w:type="dxa"/>
        <w:jc w:val="left"/>
        <w:tblInd w:w="0" w:type="dxa"/>
        <w:tblLayout w:type="fixed"/>
        <w:tblCellMar>
          <w:top w:w="0" w:type="dxa"/>
          <w:left w:w="0" w:type="dxa"/>
          <w:bottom w:w="28" w:type="dxa"/>
          <w:right w:w="0" w:type="dxa"/>
        </w:tblCellMar>
      </w:tblPr>
      <w:tblGrid>
        <w:gridCol w:w="2731"/>
        <w:gridCol w:w="326"/>
        <w:gridCol w:w="1561"/>
        <w:gridCol w:w="326"/>
        <w:gridCol w:w="3481"/>
      </w:tblGrid>
      <w:tr>
        <w:trPr/>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Calibri;Helvetica;sans-serif" w:hAnsi="Calibri;Helvetica;sans-serif"/>
                <w:sz w:val="22"/>
              </w:rPr>
            </w:pPr>
            <w:r>
              <w:rPr>
                <w:rFonts w:ascii="Times New Roman;Times;serif" w:hAnsi="Times New Roman;Times;serif"/>
                <w:sz w:val="20"/>
              </w:rPr>
              <w:t>Nasdaq</w:t>
            </w:r>
            <w:r>
              <w:rPr>
                <w:rFonts w:ascii="Calibri;Helvetica;sans-serif" w:hAnsi="Calibri;Helvetica;sans-serif"/>
                <w:sz w:val="22"/>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053" w:type="dxa"/>
        <w:jc w:val="left"/>
        <w:tblInd w:w="0" w:type="dxa"/>
        <w:tblLayout w:type="fixed"/>
        <w:tblCellMar>
          <w:top w:w="0" w:type="dxa"/>
          <w:left w:w="0" w:type="dxa"/>
          <w:bottom w:w="0" w:type="dxa"/>
          <w:right w:w="0" w:type="dxa"/>
        </w:tblCellMar>
      </w:tblPr>
      <w:tblGrid>
        <w:gridCol w:w="2146"/>
        <w:gridCol w:w="32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July 31, 2024, 66,287,596 shares of common stock, $.001 par value per share, were outstanding.</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_f6749058_4806_4dc5_81ba_a236d392506c"/>
      <w:bookmarkEnd w:id="21"/>
      <w:r>
        <w:rPr>
          <w:rFonts w:ascii="Times New Roman;Times;serif" w:hAnsi="Times New Roman;Times;serif"/>
          <w:b/>
          <w:sz w:val="20"/>
        </w:rPr>
        <w:t>CELLDEX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2024</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shd w:fill="CCEEFF" w:val="clear"/>
            <w:vAlign w:val="center"/>
          </w:tcPr>
          <w:p>
            <w:pPr>
              <w:pStyle w:val="TableContents"/>
              <w:pBdr/>
              <w:bidi w:val="0"/>
              <w:spacing w:before="0" w:after="0"/>
              <w:ind w:left="0" w:right="0" w:hanging="0"/>
              <w:jc w:val="left"/>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June 30, 2024 and December 31, 2023</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2024 and 2023</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2024 and 2023</w:t>
              </w:r>
            </w:hyperlink>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68"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6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6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68" w:type="dxa"/>
            <w:tcBorders/>
            <w:shd w:fill="CCEEFF" w:val="clear"/>
            <w:vAlign w:val="center"/>
          </w:tcPr>
          <w:p>
            <w:pPr>
              <w:pStyle w:val="TableContents"/>
              <w:pBdr/>
              <w:bidi w:val="0"/>
              <w:spacing w:before="0" w:after="0"/>
              <w:ind w:left="0" w:right="0" w:hanging="0"/>
              <w:jc w:val="left"/>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68" w:type="dxa"/>
            <w:tcBorders/>
            <w:vAlign w:val="center"/>
          </w:tcPr>
          <w:p>
            <w:pPr>
              <w:pStyle w:val="TableContents"/>
              <w:pBdr/>
              <w:bidi w:val="0"/>
              <w:spacing w:before="0" w:after="0"/>
              <w:ind w:left="0" w:right="0" w:hanging="0"/>
              <w:jc w:val="left"/>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shd w:fill="CCEEFF" w:val="clear"/>
            <w:vAlign w:val="center"/>
          </w:tcPr>
          <w:p>
            <w:pPr>
              <w:pStyle w:val="TableContents"/>
              <w:pBdr/>
              <w:bidi w:val="0"/>
              <w:spacing w:before="0" w:after="0"/>
              <w:ind w:left="0" w:right="0" w:hanging="0"/>
              <w:jc w:val="left"/>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vAlign w:val="center"/>
          </w:tcPr>
          <w:p>
            <w:pPr>
              <w:pStyle w:val="TableContents"/>
              <w:pBdr/>
              <w:bidi w:val="0"/>
              <w:spacing w:before="0" w:after="0"/>
              <w:ind w:left="0" w:right="0" w:hanging="0"/>
              <w:jc w:val="left"/>
              <w:rPr/>
            </w:pPr>
            <w:hyperlink w:anchor="Item5OtherInformation_22227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shd w:fill="CCEEFF" w:val="clear"/>
            <w:vAlign w:val="center"/>
          </w:tcPr>
          <w:p>
            <w:pPr>
              <w:pStyle w:val="TableContents"/>
              <w:pBdr/>
              <w:bidi w:val="0"/>
              <w:spacing w:before="0" w:after="0"/>
              <w:ind w:left="0" w:right="0" w:hanging="0"/>
              <w:jc w:val="left"/>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vAlign w:val="center"/>
          </w:tcPr>
          <w:p>
            <w:pPr>
              <w:pStyle w:val="TableContents"/>
              <w:pBdr/>
              <w:bidi w:val="0"/>
              <w:spacing w:before="0" w:after="0"/>
              <w:ind w:left="0" w:right="0" w:hanging="0"/>
              <w:jc w:val="left"/>
              <w:rPr/>
            </w:pPr>
            <w:hyperlink w:anchor="Exhibitindex">
              <w:r>
                <w:rPr>
                  <w:rStyle w:val="InternetLink"/>
                  <w:rFonts w:ascii="Times New Roman;Times;serif" w:hAnsi="Times New Roman;Times;serif"/>
                  <w:b/>
                  <w:i w:val="false"/>
                  <w:caps w:val="false"/>
                  <w:smallCaps w:val="false"/>
                  <w:sz w:val="20"/>
                </w:rPr>
                <w:t>Exhibit Index</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shd w:fill="CCEEFF" w:val="clear"/>
            <w:vAlign w:val="center"/>
          </w:tcPr>
          <w:p>
            <w:pPr>
              <w:pStyle w:val="TableContents"/>
              <w:pBdr/>
              <w:bidi w:val="0"/>
              <w:spacing w:before="0" w:after="0"/>
              <w:ind w:left="0" w:right="0" w:hanging="0"/>
              <w:jc w:val="left"/>
              <w:rPr/>
            </w:pPr>
            <w:hyperlink w:anchor="SIGNATURES_933986">
              <w:r>
                <w:rPr>
                  <w:rStyle w:val="InternetLink"/>
                  <w:rFonts w:ascii="Times New Roman;Times;serif" w:hAnsi="Times New Roman;Times;serif"/>
                  <w:b/>
                  <w:i w:val="false"/>
                  <w:caps w:val="false"/>
                  <w:smallCaps w:val="false"/>
                  <w:sz w:val="20"/>
                </w:rPr>
                <w:t>Signatures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pBdr/>
              <w:bidi w:val="0"/>
              <w:spacing w:before="0" w:after="0"/>
              <w:ind w:left="0" w:right="0" w:hanging="144"/>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722713"/>
      <w:bookmarkStart w:id="24" w:name="_d6387801_7a28_45fe_8479_1479b42746b8"/>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3JGwtAjxb0CkyzvsViyIAw_33_5"/>
      <w:bookmarkStart w:id="28" w:name="Tc_6xTKw2aNikSC5Dfl69DBtw_33_2"/>
      <w:bookmarkStart w:id="29" w:name="Tc_VpW-GAwWc0-vXDBLO60Baw_33_0"/>
      <w:bookmarkStart w:id="30" w:name="Tc_qqTM_fs9A0C4vAYp7Znu0g_32_0"/>
      <w:bookmarkStart w:id="31" w:name="Tc_zhLukermEUuIt72Nhegc4A_31_0"/>
      <w:bookmarkStart w:id="32" w:name="Tc_BTDX0dg2jEerxaRljroLVQ_30_0"/>
      <w:bookmarkStart w:id="33" w:name="Tc_hckFrHjkG0uqF4KMiZIrbw_29_0"/>
      <w:bookmarkStart w:id="34" w:name="Tc_eupinjNYT0WK5tdD82RaAg_28_0"/>
      <w:bookmarkStart w:id="35" w:name="_f945a6e9_adcb_42d0_94c6_056dbb4cce1a_3"/>
      <w:bookmarkStart w:id="36" w:name="_f945a6e9_adcb_42d0_94c6_056dbb4cce1a_2"/>
      <w:bookmarkStart w:id="37" w:name="_f945a6e9_adcb_42d0_94c6_056dbb4cce1a"/>
      <w:bookmarkStart w:id="38" w:name="_4a07d2f9_41ac_4e95_be11_10d246e0d40f_3"/>
      <w:bookmarkStart w:id="39" w:name="_4a07d2f9_41ac_4e95_be11_10d246e0d40f_2"/>
      <w:bookmarkStart w:id="40" w:name="_4a07d2f9_41ac_4e95_be11_10d246e0d40f"/>
      <w:bookmarkStart w:id="41" w:name="Tc_d8pBkWczAEKU17iqllEPAQ_27_0"/>
      <w:bookmarkStart w:id="42" w:name="Tc_PmO57BGsBk2Ya_T9hdDg9g_26_0"/>
      <w:bookmarkStart w:id="43" w:name="Tc_KoFE1Xi5jEeaLEyu9fg_hQ_25_0"/>
      <w:bookmarkStart w:id="44" w:name="Tc_FX7EdLS43EaDT9EueHuPiA_24_0"/>
      <w:bookmarkStart w:id="45" w:name="Tc_pX7FhbnDgkeS4QAJUqx8tA_23_0"/>
      <w:bookmarkStart w:id="46" w:name="Tc_PZG6kDH6E0iWBPBA3uk4WA_22_0"/>
      <w:bookmarkStart w:id="47" w:name="Tc_Y_jHAr71xkOwYjnxAzH4Dw_21_0"/>
      <w:bookmarkStart w:id="48" w:name="Tc_VNCuc4zMVUWLxnZODpKLSg_20_0"/>
      <w:bookmarkStart w:id="49" w:name="Tc_VoNUs_lg60iGU-91xYcLUQ_19_0"/>
      <w:bookmarkStart w:id="50" w:name="Tc_i8rndGY7uk2-fbC0UGxW7A_18_0"/>
      <w:bookmarkStart w:id="51" w:name="Tc_2yeYC0ciZkiIE10GoZERJw_17_5"/>
      <w:bookmarkStart w:id="52" w:name="Tc_O-hENaFlE0i3VGdESzraSQ_17_2"/>
      <w:bookmarkStart w:id="53" w:name="Tc_tM4bfO4WCkCQRYsUassalg_17_0"/>
      <w:bookmarkStart w:id="54" w:name="Tc_4XDizYEwK0KQ3N9-gaVOxA_16_0"/>
      <w:bookmarkStart w:id="55" w:name="Tc_dhawVAWOGEqCMN4GW2X87g_15_0"/>
      <w:bookmarkStart w:id="56" w:name="Tc_liBWxnijG0Ci1qSZi7FP7A_14_5"/>
      <w:bookmarkStart w:id="57" w:name="Tc_4fjeJ6H8bUGbfm8QVdAIhQ_14_2"/>
      <w:bookmarkStart w:id="58" w:name="Tc_F41227hhV0eKVP1ajW5thw_14_0"/>
      <w:bookmarkStart w:id="59" w:name="Tc_uGUEBzh9nUmfj-oOdM1toQ_13_0"/>
      <w:bookmarkStart w:id="60" w:name="Tc_ijk4q0TkLESbeMQZ9L65og_12_0"/>
      <w:bookmarkStart w:id="61" w:name="Tc_qHPG_J10sUWNNrhv5H_l8Q_11_0"/>
      <w:bookmarkStart w:id="62" w:name="Tc_LOVIGh6DnUSsERikKe_Gog_10_0"/>
      <w:bookmarkStart w:id="63" w:name="Tc_EZYGuC1szEaaHcIrpb33Mg_9_0"/>
      <w:bookmarkStart w:id="64" w:name="Tc_1UVXAkl7kEaPW1K0yD6r_w_8_0"/>
      <w:bookmarkStart w:id="65" w:name="Tc_8mevpKLUhUGaqJDYJMJ3vQ_7_0"/>
      <w:bookmarkStart w:id="66" w:name="Tc_5dXEyXKW3kun7TrZLFVQ2A_6_0"/>
      <w:bookmarkStart w:id="67" w:name="Tc_U71bzMh6Pkq7cM9x0zsZgg_5_5"/>
      <w:bookmarkStart w:id="68" w:name="Tc_rVWgqIVBv0Oq2xgC3qtzMA_5_2"/>
      <w:bookmarkStart w:id="69" w:name="Tc_c8VbAR2X8UK4Z7wLFvdD4A_5_0"/>
      <w:bookmarkStart w:id="70" w:name="Tc_qXvxngEcR0CB9xksQ3rhGw_4_0"/>
      <w:bookmarkStart w:id="71" w:name="Tc_KGF1QD6Tak2evhdhkqWVBA_3_0"/>
      <w:bookmarkStart w:id="72" w:name="Tc_224YY0iBmUexWNbL8DNuPg_2_5"/>
      <w:bookmarkStart w:id="73" w:name="Tc_NDrZfUW3f0eR6Jw-7DeKwg_2_2"/>
      <w:bookmarkStart w:id="74" w:name="Tc_Srbn3YEcZU-lycs_CQr84A_1_5"/>
      <w:bookmarkStart w:id="75" w:name="Tc_oIJj4UpZsUOZjQmI6EHw3w_1_2"/>
      <w:bookmarkStart w:id="76" w:name="_1a341834_fd8a_4ea7_8c9b_3c4775173112"/>
      <w:bookmarkStart w:id="77" w:name="Tc_3JGwtAjxb0CkyzvsViyIAw_33_5"/>
      <w:bookmarkStart w:id="78" w:name="Tc_6xTKw2aNikSC5Dfl69DBtw_33_2"/>
      <w:bookmarkStart w:id="79" w:name="Tc_VpW-GAwWc0-vXDBLO60Baw_33_0"/>
      <w:bookmarkStart w:id="80" w:name="Tc_qqTM_fs9A0C4vAYp7Znu0g_32_0"/>
      <w:bookmarkStart w:id="81" w:name="Tc_zhLukermEUuIt72Nhegc4A_31_0"/>
      <w:bookmarkStart w:id="82" w:name="Tc_BTDX0dg2jEerxaRljroLVQ_30_0"/>
      <w:bookmarkStart w:id="83" w:name="Tc_hckFrHjkG0uqF4KMiZIrbw_29_0"/>
      <w:bookmarkStart w:id="84" w:name="Tc_eupinjNYT0WK5tdD82RaAg_28_0"/>
      <w:bookmarkStart w:id="85" w:name="_f945a6e9_adcb_42d0_94c6_056dbb4cce1a_3"/>
      <w:bookmarkStart w:id="86" w:name="_f945a6e9_adcb_42d0_94c6_056dbb4cce1a_2"/>
      <w:bookmarkStart w:id="87" w:name="_f945a6e9_adcb_42d0_94c6_056dbb4cce1a"/>
      <w:bookmarkStart w:id="88" w:name="_4a07d2f9_41ac_4e95_be11_10d246e0d40f_3"/>
      <w:bookmarkStart w:id="89" w:name="_4a07d2f9_41ac_4e95_be11_10d246e0d40f_2"/>
      <w:bookmarkStart w:id="90" w:name="_4a07d2f9_41ac_4e95_be11_10d246e0d40f"/>
      <w:bookmarkStart w:id="91" w:name="Tc_d8pBkWczAEKU17iqllEPAQ_27_0"/>
      <w:bookmarkStart w:id="92" w:name="Tc_PmO57BGsBk2Ya_T9hdDg9g_26_0"/>
      <w:bookmarkStart w:id="93" w:name="Tc_KoFE1Xi5jEeaLEyu9fg_hQ_25_0"/>
      <w:bookmarkStart w:id="94" w:name="Tc_FX7EdLS43EaDT9EueHuPiA_24_0"/>
      <w:bookmarkStart w:id="95" w:name="Tc_pX7FhbnDgkeS4QAJUqx8tA_23_0"/>
      <w:bookmarkStart w:id="96" w:name="Tc_PZG6kDH6E0iWBPBA3uk4WA_22_0"/>
      <w:bookmarkStart w:id="97" w:name="Tc_Y_jHAr71xkOwYjnxAzH4Dw_21_0"/>
      <w:bookmarkStart w:id="98" w:name="Tc_VNCuc4zMVUWLxnZODpKLSg_20_0"/>
      <w:bookmarkStart w:id="99" w:name="Tc_VoNUs_lg60iGU-91xYcLUQ_19_0"/>
      <w:bookmarkStart w:id="100" w:name="Tc_i8rndGY7uk2-fbC0UGxW7A_18_0"/>
      <w:bookmarkStart w:id="101" w:name="Tc_2yeYC0ciZkiIE10GoZERJw_17_5"/>
      <w:bookmarkStart w:id="102" w:name="Tc_O-hENaFlE0i3VGdESzraSQ_17_2"/>
      <w:bookmarkStart w:id="103" w:name="Tc_tM4bfO4WCkCQRYsUassalg_17_0"/>
      <w:bookmarkStart w:id="104" w:name="Tc_4XDizYEwK0KQ3N9-gaVOxA_16_0"/>
      <w:bookmarkStart w:id="105" w:name="Tc_dhawVAWOGEqCMN4GW2X87g_15_0"/>
      <w:bookmarkStart w:id="106" w:name="Tc_liBWxnijG0Ci1qSZi7FP7A_14_5"/>
      <w:bookmarkStart w:id="107" w:name="Tc_4fjeJ6H8bUGbfm8QVdAIhQ_14_2"/>
      <w:bookmarkStart w:id="108" w:name="Tc_F41227hhV0eKVP1ajW5thw_14_0"/>
      <w:bookmarkStart w:id="109" w:name="Tc_uGUEBzh9nUmfj-oOdM1toQ_13_0"/>
      <w:bookmarkStart w:id="110" w:name="Tc_ijk4q0TkLESbeMQZ9L65og_12_0"/>
      <w:bookmarkStart w:id="111" w:name="Tc_qHPG_J10sUWNNrhv5H_l8Q_11_0"/>
      <w:bookmarkStart w:id="112" w:name="Tc_LOVIGh6DnUSsERikKe_Gog_10_0"/>
      <w:bookmarkStart w:id="113" w:name="Tc_EZYGuC1szEaaHcIrpb33Mg_9_0"/>
      <w:bookmarkStart w:id="114" w:name="Tc_1UVXAkl7kEaPW1K0yD6r_w_8_0"/>
      <w:bookmarkStart w:id="115" w:name="Tc_8mevpKLUhUGaqJDYJMJ3vQ_7_0"/>
      <w:bookmarkStart w:id="116" w:name="Tc_5dXEyXKW3kun7TrZLFVQ2A_6_0"/>
      <w:bookmarkStart w:id="117" w:name="Tc_U71bzMh6Pkq7cM9x0zsZgg_5_5"/>
      <w:bookmarkStart w:id="118" w:name="Tc_rVWgqIVBv0Oq2xgC3qtzMA_5_2"/>
      <w:bookmarkStart w:id="119" w:name="Tc_c8VbAR2X8UK4Z7wLFvdD4A_5_0"/>
      <w:bookmarkStart w:id="120" w:name="Tc_qXvxngEcR0CB9xksQ3rhGw_4_0"/>
      <w:bookmarkStart w:id="121" w:name="Tc_KGF1QD6Tak2evhdhkqWVBA_3_0"/>
      <w:bookmarkStart w:id="122" w:name="Tc_224YY0iBmUexWNbL8DNuPg_2_5"/>
      <w:bookmarkStart w:id="123" w:name="Tc_NDrZfUW3f0eR6Jw-7DeKwg_2_2"/>
      <w:bookmarkStart w:id="124" w:name="Tc_Srbn3YEcZU-lycs_CQr84A_1_5"/>
      <w:bookmarkStart w:id="125" w:name="Tc_oIJj4UpZsUOZjQmI6EHw3w_1_2"/>
      <w:bookmarkStart w:id="126" w:name="_1a341834_fd8a_4ea7_8c9b_3c4775173112"/>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10205" w:type="dxa"/>
        <w:jc w:val="left"/>
        <w:tblInd w:w="0" w:type="dxa"/>
        <w:tblLayout w:type="fixed"/>
        <w:tblCellMar>
          <w:top w:w="0" w:type="dxa"/>
          <w:left w:w="0" w:type="dxa"/>
          <w:bottom w:w="0" w:type="dxa"/>
          <w:right w:w="0" w:type="dxa"/>
        </w:tblCellMar>
      </w:tblPr>
      <w:tblGrid>
        <w:gridCol w:w="7052"/>
        <w:gridCol w:w="326"/>
        <w:gridCol w:w="211"/>
        <w:gridCol w:w="1016"/>
        <w:gridCol w:w="326"/>
        <w:gridCol w:w="211"/>
        <w:gridCol w:w="1063"/>
      </w:tblGrid>
      <w:tr>
        <w:trPr/>
        <w:tc>
          <w:tcPr>
            <w:tcW w:w="7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78020" cy="175260"/>
                      <wp:effectExtent l="0" t="0" r="0" b="0"/>
                      <wp:wrapNone/>
                      <wp:docPr id="1" name="Frame1"/>
                      <a:graphic xmlns:a="http://schemas.openxmlformats.org/drawingml/2006/main">
                        <a:graphicData uri="http://schemas.microsoft.com/office/word/2010/wordprocessingShape">
                          <wps:wsp>
                            <wps:cNvSpPr txBox="1"/>
                            <wps:spPr>
                              <a:xfrm>
                                <a:off x="0" y="0"/>
                                <a:ext cx="447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5005" cy="175260"/>
                      <wp:effectExtent l="0" t="0" r="0" b="0"/>
                      <wp:wrapNone/>
                      <wp:docPr id="7" name="Frame7"/>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12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388,784</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and other receivables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and other current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5,467</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current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811,975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431,693</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845,586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465,627</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22,029</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31,125</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36,456</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June 30, 2024 and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$.001 par value; 297,000,000 shares authorized; 66,280,667 and 55,883,377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2024 and December 31, 2023,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2,277,824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1,823,168</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(1,466,011)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(1,397,361)</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813,659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429,171</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465,627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 w:name="_ccb77b54_3091_4689_9831_daf7b24574b8"/>
      <w:bookmarkEnd w:id="127"/>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28" w:name="CONDENSEDCONSOLIDATEDSTATEMENTSOFOPERATI"/>
      <w:bookmarkEnd w:id="128"/>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29" w:name="Tc_5CqfKO6XAE6ONRllSFH8_w_25_11"/>
      <w:bookmarkStart w:id="130" w:name="Tc_zMqbXN_eukme1HON6KP_8A_25_8"/>
      <w:bookmarkStart w:id="131" w:name="Tc_RjyTiwQOwkCR-5L-wj5S7g_25_5"/>
      <w:bookmarkStart w:id="132" w:name="Tc_x2QvDV5U9kiaKGakTpW_ng_25_2"/>
      <w:bookmarkStart w:id="133" w:name="Tc_b8ou-IZ8vkqx9rq4qHnyew_25_0"/>
      <w:bookmarkStart w:id="134" w:name="Tc_d_VKjqiATUSkiSELCrxCrw_24_0"/>
      <w:bookmarkStart w:id="135" w:name="Tc__OiW1UqFpkKiyKfn7F8q8w_23_0"/>
      <w:bookmarkStart w:id="136" w:name="Tc_pjab01SXkk6bI-FASKq3HQ_22_11"/>
      <w:bookmarkStart w:id="137" w:name="Tc_xHrtQouLKkSidrKzEK-MbQ_22_8"/>
      <w:bookmarkStart w:id="138" w:name="Tc_CyBNxQTFXUGJ3pf5xqPu4w_22_5"/>
      <w:bookmarkStart w:id="139" w:name="Tc_z44NE_5QYk2SNoGeFwKRRQ_22_2"/>
      <w:bookmarkStart w:id="140" w:name="Tc_O0bs3MGJLkukMOx7nM19ag_22_0"/>
      <w:bookmarkStart w:id="141" w:name="Tc_89hUXh8qSkWlOyAIO4zYLw_21_0"/>
      <w:bookmarkStart w:id="142" w:name="Tc_K_Tl6AyAnUyf5r07RpXsHA_19_0"/>
      <w:bookmarkStart w:id="143" w:name="Tc_GLsuX13L10CWeCmheZHkOw_17_11"/>
      <w:bookmarkStart w:id="144" w:name="Tc_08xfSGKGeEew4RNH97k2Ow_17_8"/>
      <w:bookmarkStart w:id="145" w:name="Tc_bwhiItk75UiX9WEyfTEimg_17_5"/>
      <w:bookmarkStart w:id="146" w:name="Tc_Ttaj3yg7ck-WzvbxNYRtrw_17_2"/>
      <w:bookmarkStart w:id="147" w:name="Tc_3WVpAwoiokOFIX0gfeohxw_17_0"/>
      <w:bookmarkStart w:id="148" w:name="Tc_237qkQ9bh0eqeXG0f_Vo9g_15_11"/>
      <w:bookmarkStart w:id="149" w:name="Tc_sjzRPk8Nhk-uVMlqxZigxg_15_8"/>
      <w:bookmarkStart w:id="150" w:name="Tc_stUsow21LEGo8Ks4T-4BGA_15_5"/>
      <w:bookmarkStart w:id="151" w:name="Tc_9n1rQYAvq0-hQKgAtv8Sag_15_2"/>
      <w:bookmarkStart w:id="152" w:name="Tc_zMCJgOuz6UOg_F9iArKYSA_15_0"/>
      <w:bookmarkStart w:id="153" w:name="Tc_rbQeDsyO9Ea3lEKQB-8LOg_14_0"/>
      <w:bookmarkStart w:id="154" w:name="Tc_UVC4XUmQa0iQm4MAw8D1pw_13_0"/>
      <w:bookmarkStart w:id="155" w:name="Tc_k2dAvqfYokmN-Tdll3F3Sw_11_0"/>
      <w:bookmarkStart w:id="156" w:name="Tc_M6BQEpIZY0mf82zibzQobA_10_0"/>
      <w:bookmarkStart w:id="157" w:name="Tc_njqoHDy2vUacSjfoub8JXg_9_0"/>
      <w:bookmarkStart w:id="158" w:name="Tc_tE3tPvppl0GgYbKLzfjplw_8_0"/>
      <w:bookmarkStart w:id="159" w:name="Tc_j_sv5E0y-0OaZA8b2D3dxQ_6_0"/>
      <w:bookmarkStart w:id="160" w:name="Tc_n7q6sngLJ02AN6JZKf12GA_5_0"/>
      <w:bookmarkStart w:id="161" w:name="Tc_KpRLriOCdUOag_oRUqvpRg_4_11"/>
      <w:bookmarkStart w:id="162" w:name="Tc_zZ79NJUC80iZ4JWBMzjofw_4_8"/>
      <w:bookmarkStart w:id="163" w:name="Tc_ZP5bx63gdki-kanbHXdLNQ_4_5"/>
      <w:bookmarkStart w:id="164" w:name="Tc_O9rrkwcECU24a1dQO8lLqA_4_3"/>
      <w:bookmarkStart w:id="165" w:name="Tc_6fXDpGZlI02FtuilyzwuYA_4_2"/>
      <w:bookmarkStart w:id="166" w:name="Tc_21y9fs5CfEy2KpCcZrfDOA_4_0"/>
      <w:bookmarkStart w:id="167" w:name="Tc_9RZQbyoRaUmaeobhqxl4qg_3_0"/>
      <w:bookmarkStart w:id="168" w:name="Tc_MaJRPzw3lUe8lFZtaCoLrQ_2_11"/>
      <w:bookmarkStart w:id="169" w:name="Tc_SczVGb_0cku4H3sa4tYdyQ_2_8"/>
      <w:bookmarkStart w:id="170" w:name="Tc_9nf_DHDuv0GrnKHp0L-xQw_2_5"/>
      <w:bookmarkStart w:id="171" w:name="Tc_hCdGKZCAKUy5EFD8WxNDew_2_2"/>
      <w:bookmarkStart w:id="172" w:name="Tc_FjOQtE5n8UOjmniSPzBjhQ_1_11"/>
      <w:bookmarkStart w:id="173" w:name="Tc_Tw1Q5ohN8kGBUp7kyr7FnA_1_8"/>
      <w:bookmarkStart w:id="174" w:name="Tc_e1kPDe9QcUWr11Cd9IHdBg_1_5"/>
      <w:bookmarkStart w:id="175" w:name="Tc_BwV9eXtO60yfYjQVn4m9_Q_1_2"/>
      <w:bookmarkStart w:id="176" w:name="_be025735_3b83_40c4_9871_d6089a032502"/>
      <w:bookmarkStart w:id="177" w:name="_d47e9ac3_9f28_48aa_849a_efdebf818e65"/>
      <w:bookmarkStart w:id="178" w:name="Tc_5CqfKO6XAE6ONRllSFH8_w_25_11"/>
      <w:bookmarkStart w:id="179" w:name="Tc_zMqbXN_eukme1HON6KP_8A_25_8"/>
      <w:bookmarkStart w:id="180" w:name="Tc_RjyTiwQOwkCR-5L-wj5S7g_25_5"/>
      <w:bookmarkStart w:id="181" w:name="Tc_x2QvDV5U9kiaKGakTpW_ng_25_2"/>
      <w:bookmarkStart w:id="182" w:name="Tc_b8ou-IZ8vkqx9rq4qHnyew_25_0"/>
      <w:bookmarkStart w:id="183" w:name="Tc_d_VKjqiATUSkiSELCrxCrw_24_0"/>
      <w:bookmarkStart w:id="184" w:name="Tc__OiW1UqFpkKiyKfn7F8q8w_23_0"/>
      <w:bookmarkStart w:id="185" w:name="Tc_pjab01SXkk6bI-FASKq3HQ_22_11"/>
      <w:bookmarkStart w:id="186" w:name="Tc_xHrtQouLKkSidrKzEK-MbQ_22_8"/>
      <w:bookmarkStart w:id="187" w:name="Tc_CyBNxQTFXUGJ3pf5xqPu4w_22_5"/>
      <w:bookmarkStart w:id="188" w:name="Tc_z44NE_5QYk2SNoGeFwKRRQ_22_2"/>
      <w:bookmarkStart w:id="189" w:name="Tc_O0bs3MGJLkukMOx7nM19ag_22_0"/>
      <w:bookmarkStart w:id="190" w:name="Tc_89hUXh8qSkWlOyAIO4zYLw_21_0"/>
      <w:bookmarkStart w:id="191" w:name="Tc_K_Tl6AyAnUyf5r07RpXsHA_19_0"/>
      <w:bookmarkStart w:id="192" w:name="Tc_GLsuX13L10CWeCmheZHkOw_17_11"/>
      <w:bookmarkStart w:id="193" w:name="Tc_08xfSGKGeEew4RNH97k2Ow_17_8"/>
      <w:bookmarkStart w:id="194" w:name="Tc_bwhiItk75UiX9WEyfTEimg_17_5"/>
      <w:bookmarkStart w:id="195" w:name="Tc_Ttaj3yg7ck-WzvbxNYRtrw_17_2"/>
      <w:bookmarkStart w:id="196" w:name="Tc_3WVpAwoiokOFIX0gfeohxw_17_0"/>
      <w:bookmarkStart w:id="197" w:name="Tc_237qkQ9bh0eqeXG0f_Vo9g_15_11"/>
      <w:bookmarkStart w:id="198" w:name="Tc_sjzRPk8Nhk-uVMlqxZigxg_15_8"/>
      <w:bookmarkStart w:id="199" w:name="Tc_stUsow21LEGo8Ks4T-4BGA_15_5"/>
      <w:bookmarkStart w:id="200" w:name="Tc_9n1rQYAvq0-hQKgAtv8Sag_15_2"/>
      <w:bookmarkStart w:id="201" w:name="Tc_zMCJgOuz6UOg_F9iArKYSA_15_0"/>
      <w:bookmarkStart w:id="202" w:name="Tc_rbQeDsyO9Ea3lEKQB-8LOg_14_0"/>
      <w:bookmarkStart w:id="203" w:name="Tc_UVC4XUmQa0iQm4MAw8D1pw_13_0"/>
      <w:bookmarkStart w:id="204" w:name="Tc_k2dAvqfYokmN-Tdll3F3Sw_11_0"/>
      <w:bookmarkStart w:id="205" w:name="Tc_M6BQEpIZY0mf82zibzQobA_10_0"/>
      <w:bookmarkStart w:id="206" w:name="Tc_njqoHDy2vUacSjfoub8JXg_9_0"/>
      <w:bookmarkStart w:id="207" w:name="Tc_tE3tPvppl0GgYbKLzfjplw_8_0"/>
      <w:bookmarkStart w:id="208" w:name="Tc_j_sv5E0y-0OaZA8b2D3dxQ_6_0"/>
      <w:bookmarkStart w:id="209" w:name="Tc_n7q6sngLJ02AN6JZKf12GA_5_0"/>
      <w:bookmarkStart w:id="210" w:name="Tc_KpRLriOCdUOag_oRUqvpRg_4_11"/>
      <w:bookmarkStart w:id="211" w:name="Tc_zZ79NJUC80iZ4JWBMzjofw_4_8"/>
      <w:bookmarkStart w:id="212" w:name="Tc_ZP5bx63gdki-kanbHXdLNQ_4_5"/>
      <w:bookmarkStart w:id="213" w:name="Tc_O9rrkwcECU24a1dQO8lLqA_4_3"/>
      <w:bookmarkStart w:id="214" w:name="Tc_6fXDpGZlI02FtuilyzwuYA_4_2"/>
      <w:bookmarkStart w:id="215" w:name="Tc_21y9fs5CfEy2KpCcZrfDOA_4_0"/>
      <w:bookmarkStart w:id="216" w:name="Tc_9RZQbyoRaUmaeobhqxl4qg_3_0"/>
      <w:bookmarkStart w:id="217" w:name="Tc_MaJRPzw3lUe8lFZtaCoLrQ_2_11"/>
      <w:bookmarkStart w:id="218" w:name="Tc_SczVGb_0cku4H3sa4tYdyQ_2_8"/>
      <w:bookmarkStart w:id="219" w:name="Tc_9nf_DHDuv0GrnKHp0L-xQw_2_5"/>
      <w:bookmarkStart w:id="220" w:name="Tc_hCdGKZCAKUy5EFD8WxNDew_2_2"/>
      <w:bookmarkStart w:id="221" w:name="Tc_FjOQtE5n8UOjmniSPzBjhQ_1_11"/>
      <w:bookmarkStart w:id="222" w:name="Tc_Tw1Q5ohN8kGBUp7kyr7FnA_1_8"/>
      <w:bookmarkStart w:id="223" w:name="Tc_e1kPDe9QcUWr11Cd9IHdBg_1_5"/>
      <w:bookmarkStart w:id="224" w:name="Tc_BwV9eXtO60yfYjQVn4m9_Q_1_2"/>
      <w:bookmarkStart w:id="225" w:name="_be025735_3b83_40c4_9871_d6089a032502"/>
      <w:bookmarkStart w:id="226" w:name="_d47e9ac3_9f28_48aa_849a_efdebf818e65"/>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4477"/>
        <w:gridCol w:w="326"/>
        <w:gridCol w:w="230"/>
        <w:gridCol w:w="863"/>
        <w:gridCol w:w="326"/>
        <w:gridCol w:w="230"/>
        <w:gridCol w:w="863"/>
        <w:gridCol w:w="326"/>
        <w:gridCol w:w="230"/>
        <w:gridCol w:w="863"/>
        <w:gridCol w:w="326"/>
        <w:gridCol w:w="230"/>
        <w:gridCol w:w="915"/>
      </w:tblGrid>
      <w:tr>
        <w:trPr/>
        <w:tc>
          <w:tcPr>
            <w:tcW w:w="4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842895" cy="175260"/>
                      <wp:effectExtent l="0" t="0" r="0" b="0"/>
                      <wp:wrapNone/>
                      <wp:docPr id="8" name="Frame8"/>
                      <a:graphic xmlns:a="http://schemas.openxmlformats.org/drawingml/2006/main">
                        <a:graphicData uri="http://schemas.microsoft.com/office/word/2010/wordprocessingShape">
                          <wps:wsp>
                            <wps:cNvSpPr txBox="1"/>
                            <wps:spPr>
                              <a:xfrm>
                                <a:off x="0" y="0"/>
                                <a:ext cx="284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6050" cy="175260"/>
                      <wp:effectExtent l="0" t="0" r="0" b="0"/>
                      <wp:wrapNone/>
                      <wp:docPr id="10" name="Frame1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48005" cy="175260"/>
                      <wp:effectExtent l="0" t="0" r="0" b="0"/>
                      <wp:wrapNone/>
                      <wp:docPr id="11" name="Frame11"/>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6050" cy="175260"/>
                      <wp:effectExtent l="0" t="0" r="0" b="0"/>
                      <wp:wrapNone/>
                      <wp:docPr id="13" name="Frame1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48005" cy="175260"/>
                      <wp:effectExtent l="0" t="0" r="0" b="0"/>
                      <wp:wrapNone/>
                      <wp:docPr id="14" name="Frame14"/>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6050" cy="175260"/>
                      <wp:effectExtent l="0" t="0" r="0" b="0"/>
                      <wp:wrapNone/>
                      <wp:docPr id="16" name="Frame1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48005" cy="175260"/>
                      <wp:effectExtent l="0" t="0" r="0" b="0"/>
                      <wp:wrapNone/>
                      <wp:docPr id="17" name="Frame17"/>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6050" cy="175260"/>
                      <wp:effectExtent l="0" t="0" r="0" b="0"/>
                      <wp:wrapNone/>
                      <wp:docPr id="19" name="Frame1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025" cy="175260"/>
                      <wp:effectExtent l="0" t="0" r="0" b="0"/>
                      <wp:wrapNone/>
                      <wp:docPr id="20" name="Frame20"/>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vAlign w:val="center"/>
          </w:tcPr>
          <w:p>
            <w:pPr>
              <w:pStyle w:val="TableContents"/>
              <w:bidi w:val="0"/>
              <w:spacing w:before="0" w:after="0"/>
              <w:ind w:left="0" w:right="0" w:hanging="0"/>
              <w:jc w:val="left"/>
              <w:rPr/>
            </w:pPr>
            <w:r>
              <w:rPr/>
              <w:t>​</w:t>
            </w:r>
          </w:p>
        </w:tc>
        <w:tc>
          <w:tcPr>
            <w:tcW w:w="10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vAlign w:val="center"/>
          </w:tcPr>
          <w:p>
            <w:pPr>
              <w:pStyle w:val="TableContents"/>
              <w:bidi w:val="0"/>
              <w:spacing w:before="0" w:after="0"/>
              <w:ind w:left="0" w:right="0" w:hanging="0"/>
              <w:jc w:val="left"/>
              <w:rPr/>
            </w:pPr>
            <w:r>
              <w:rPr/>
              <w:t>​</w:t>
            </w:r>
          </w:p>
        </w:tc>
        <w:tc>
          <w:tcPr>
            <w:tcW w:w="10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c>
          <w:tcPr>
            <w:tcW w:w="326" w:type="dxa"/>
            <w:tcBorders/>
            <w:vAlign w:val="center"/>
          </w:tcPr>
          <w:p>
            <w:pPr>
              <w:pStyle w:val="TableContents"/>
              <w:bidi w:val="0"/>
              <w:spacing w:before="0" w:after="0"/>
              <w:ind w:left="0" w:right="0" w:hanging="0"/>
              <w:jc w:val="left"/>
              <w:rPr/>
            </w:pPr>
            <w:r>
              <w:rPr/>
              <w:t>​</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r>
      <w:tr>
        <w:trPr/>
        <w:tc>
          <w:tcPr>
            <w:tcW w:w="4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r>
      <w:tr>
        <w:trPr/>
        <w:tc>
          <w:tcPr>
            <w:tcW w:w="44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r>
      <w:tr>
        <w:trPr/>
        <w:tc>
          <w:tcPr>
            <w:tcW w:w="44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r>
      <w:tr>
        <w:trPr/>
        <w:tc>
          <w:tcPr>
            <w:tcW w:w="44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r>
      <w:tr>
        <w:trPr/>
        <w:tc>
          <w:tcPr>
            <w:tcW w:w="447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71,348</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53,049</w:t>
            </w:r>
          </w:p>
        </w:tc>
      </w:tr>
      <w:tr>
        <w:trPr/>
        <w:tc>
          <w:tcPr>
            <w:tcW w:w="44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9,128</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13,861</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89,579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66,910</w:t>
            </w:r>
          </w:p>
        </w:tc>
      </w:tr>
      <w:tr>
        <w:trPr/>
        <w:tc>
          <w:tcPr>
            <w:tcW w:w="4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(46,317)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(86,925)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(65,676)</w:t>
            </w:r>
          </w:p>
        </w:tc>
      </w:tr>
      <w:tr>
        <w:trPr/>
        <w:tc>
          <w:tcPr>
            <w:tcW w:w="44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10,475</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18,275</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r>
      <w:tr>
        <w:trPr/>
        <w:tc>
          <w:tcPr>
            <w:tcW w:w="4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4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66,019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47,233</w:t>
            </w:r>
          </w:p>
        </w:tc>
      </w:tr>
      <w:tr>
        <w:trPr/>
        <w:tc>
          <w:tcPr>
            <w:tcW w:w="44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r>
      <w:tr>
        <w:trPr/>
        <w:tc>
          <w:tcPr>
            <w:tcW w:w="44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r>
      <w:tr>
        <w:trPr/>
        <w:tc>
          <w:tcPr>
            <w:tcW w:w="44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marketable securities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44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(70,178)</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(59,051)</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7" w:name="_0a4292fd_1f67_4951_9a6b_1843402ceeea"/>
      <w:bookmarkEnd w:id="227"/>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28" w:name="CONDENSEDCONSOLIDATEDSTATEMENTSOFCASHFLO"/>
      <w:bookmarkEnd w:id="228"/>
      <w:r>
        <w:rPr>
          <w:rFonts w:ascii="Times New Roman;Times;serif" w:hAnsi="Times New Roman;Times;serif"/>
          <w:b/>
          <w:sz w:val="20"/>
        </w:rPr>
        <w:t>CONDENSED CONSOLIDATED STATEMENTS OF CASH FLOW</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9" w:name="Tc_zjG4I2O8VUuUUbGZBZJV9A_32_5"/>
      <w:bookmarkStart w:id="230" w:name="Tc_7iucguf2D067F_Vph2N85w_32_2"/>
      <w:bookmarkStart w:id="231" w:name="Tc_dVOgqqqkJUOscitiV8yg8w_32_0"/>
      <w:bookmarkStart w:id="232" w:name="Tc_F5FLtGrnkEaovDD3Su5AnQ_31_0"/>
      <w:bookmarkStart w:id="233" w:name="Tc__QwHZjlWK0KjDfv1_rvFww_29_5"/>
      <w:bookmarkStart w:id="234" w:name="Tc_5gtYFbHTHEaECox34AAXjQ_29_2"/>
      <w:bookmarkStart w:id="235" w:name="Tc_JaJyzbpREkSiJ_IuwcO75w_29_0"/>
      <w:bookmarkStart w:id="236" w:name="Tc_oQFsetd-vEqTqmsDC0N2Pw_28_0"/>
      <w:bookmarkStart w:id="237" w:name="Tc_rSUb-wUESEWAf5ENEEpWkQ_27_0"/>
      <w:bookmarkStart w:id="238" w:name="Tc_65aZYg6HeUyqmSb3XGisrg_25_0"/>
      <w:bookmarkStart w:id="239" w:name="Tc_nBskf9wcvUqnPo8FQfBY5g_24_0"/>
      <w:bookmarkStart w:id="240" w:name="Tc_CoqPKMnlx0aSW_xFZ8P0Lw_23_6"/>
      <w:bookmarkStart w:id="241" w:name="Tc_rJ-K_px-dUCsbTgZVAFvTg_23_0"/>
      <w:bookmarkStart w:id="242" w:name="Tc_aaZj9TQ240KSxdeyjkjyVA_22_0"/>
      <w:bookmarkStart w:id="243" w:name="Tc_ZGN9iPI7KkeTqjeoPIpm8g_21_0"/>
      <w:bookmarkStart w:id="244" w:name="Tc_brVxuzEbOkyFIWxutIq8_Q_20_0"/>
      <w:bookmarkStart w:id="245" w:name="Tc_Fu4LpNw3T0aMqWCKqj3wSw_19_0"/>
      <w:bookmarkStart w:id="246" w:name="Tc_1NuzOCczC0iQr7Q1h4iNyA_18_0"/>
      <w:bookmarkStart w:id="247" w:name="Tc_dt7n0tz8K0WKFnpdNFPCgQ_17_0"/>
      <w:bookmarkStart w:id="248" w:name="Tc_Nrt9bp_dgESedUU-BHmNOw_16_0"/>
      <w:bookmarkStart w:id="249" w:name="Tc_qWYwNEVdpEazyh8ylzQgRA_15_0"/>
      <w:bookmarkStart w:id="250" w:name="Tc_U3jV6mSBbkG22TZ4a2s7Rg_14_0"/>
      <w:bookmarkStart w:id="251" w:name="Tc_MzcZAyxf6Uez1hR6Uv-frQ_13_3"/>
      <w:bookmarkStart w:id="252" w:name="Tc_RcN-2npKFUO_xc1jClUgow_13_0"/>
      <w:bookmarkStart w:id="253" w:name="Tc_kvanbtG-gU6ZtuMhj1iAAA_12_0"/>
      <w:bookmarkStart w:id="254" w:name="Tc_A1O_QF4Vj0O7Pg0ZkkReCw_11_0"/>
      <w:bookmarkStart w:id="255" w:name="Tc_L_QbPmMJb0a7AtjEIstshg_10_0"/>
      <w:bookmarkStart w:id="256" w:name="Tc_PW9YuuAY4kiY-ykjrS0I-A_9_0"/>
      <w:bookmarkStart w:id="257" w:name="Tc_als5wwJbA0yTyNQ-bXVdhw_8_6"/>
      <w:bookmarkStart w:id="258" w:name="Tc_5XZB3KlxxEm98OCETuNvyQ_8_0"/>
      <w:bookmarkStart w:id="259" w:name="Tc_YNUmFz5RzEmp3gq1TU8cHQ_7_0"/>
      <w:bookmarkStart w:id="260" w:name="Tc_m_p2M19Uokqvanc66b0OKA_6_0"/>
      <w:bookmarkStart w:id="261" w:name="Tc_dIR9huuhH0uGBhI71wxDGg_5_0"/>
      <w:bookmarkStart w:id="262" w:name="Tc_G-st36apKUukjdHXZnIr5Q_4_5"/>
      <w:bookmarkStart w:id="263" w:name="Tc_5vllzj54dEmbNcyaXrNj_Q_4_2"/>
      <w:bookmarkStart w:id="264" w:name="Tc_VguG3sOKFUmlZMrrjhcwqA_4_0"/>
      <w:bookmarkStart w:id="265" w:name="Tc_cBpRrEcWjkejtYfuZ0P_-Q_3_0"/>
      <w:bookmarkStart w:id="266" w:name="Tc_4ZqCK5ZMlUerYWbHLAgPOA_2_5"/>
      <w:bookmarkStart w:id="267" w:name="Tc_TTh5-KEx6Ee7nchGZY7Xiw_2_2"/>
      <w:bookmarkStart w:id="268" w:name="Tc_kbssSgnvAkSGV0bR8ojAvQ_1_5"/>
      <w:bookmarkStart w:id="269" w:name="Tc_ekYpjtr510e6cjV_WuZyJw_1_2"/>
      <w:bookmarkStart w:id="270" w:name="_9e3ec5e0_fdee_406d_b344_18d05335fb2c"/>
      <w:bookmarkStart w:id="271" w:name="Tc_zjG4I2O8VUuUUbGZBZJV9A_32_5"/>
      <w:bookmarkStart w:id="272" w:name="Tc_7iucguf2D067F_Vph2N85w_32_2"/>
      <w:bookmarkStart w:id="273" w:name="Tc_dVOgqqqkJUOscitiV8yg8w_32_0"/>
      <w:bookmarkStart w:id="274" w:name="Tc_F5FLtGrnkEaovDD3Su5AnQ_31_0"/>
      <w:bookmarkStart w:id="275" w:name="Tc__QwHZjlWK0KjDfv1_rvFww_29_5"/>
      <w:bookmarkStart w:id="276" w:name="Tc_5gtYFbHTHEaECox34AAXjQ_29_2"/>
      <w:bookmarkStart w:id="277" w:name="Tc_JaJyzbpREkSiJ_IuwcO75w_29_0"/>
      <w:bookmarkStart w:id="278" w:name="Tc_oQFsetd-vEqTqmsDC0N2Pw_28_0"/>
      <w:bookmarkStart w:id="279" w:name="Tc_rSUb-wUESEWAf5ENEEpWkQ_27_0"/>
      <w:bookmarkStart w:id="280" w:name="Tc_65aZYg6HeUyqmSb3XGisrg_25_0"/>
      <w:bookmarkStart w:id="281" w:name="Tc_nBskf9wcvUqnPo8FQfBY5g_24_0"/>
      <w:bookmarkStart w:id="282" w:name="Tc_CoqPKMnlx0aSW_xFZ8P0Lw_23_6"/>
      <w:bookmarkStart w:id="283" w:name="Tc_rJ-K_px-dUCsbTgZVAFvTg_23_0"/>
      <w:bookmarkStart w:id="284" w:name="Tc_aaZj9TQ240KSxdeyjkjyVA_22_0"/>
      <w:bookmarkStart w:id="285" w:name="Tc_ZGN9iPI7KkeTqjeoPIpm8g_21_0"/>
      <w:bookmarkStart w:id="286" w:name="Tc_brVxuzEbOkyFIWxutIq8_Q_20_0"/>
      <w:bookmarkStart w:id="287" w:name="Tc_Fu4LpNw3T0aMqWCKqj3wSw_19_0"/>
      <w:bookmarkStart w:id="288" w:name="Tc_1NuzOCczC0iQr7Q1h4iNyA_18_0"/>
      <w:bookmarkStart w:id="289" w:name="Tc_dt7n0tz8K0WKFnpdNFPCgQ_17_0"/>
      <w:bookmarkStart w:id="290" w:name="Tc_Nrt9bp_dgESedUU-BHmNOw_16_0"/>
      <w:bookmarkStart w:id="291" w:name="Tc_qWYwNEVdpEazyh8ylzQgRA_15_0"/>
      <w:bookmarkStart w:id="292" w:name="Tc_U3jV6mSBbkG22TZ4a2s7Rg_14_0"/>
      <w:bookmarkStart w:id="293" w:name="Tc_MzcZAyxf6Uez1hR6Uv-frQ_13_3"/>
      <w:bookmarkStart w:id="294" w:name="Tc_RcN-2npKFUO_xc1jClUgow_13_0"/>
      <w:bookmarkStart w:id="295" w:name="Tc_kvanbtG-gU6ZtuMhj1iAAA_12_0"/>
      <w:bookmarkStart w:id="296" w:name="Tc_A1O_QF4Vj0O7Pg0ZkkReCw_11_0"/>
      <w:bookmarkStart w:id="297" w:name="Tc_L_QbPmMJb0a7AtjEIstshg_10_0"/>
      <w:bookmarkStart w:id="298" w:name="Tc_PW9YuuAY4kiY-ykjrS0I-A_9_0"/>
      <w:bookmarkStart w:id="299" w:name="Tc_als5wwJbA0yTyNQ-bXVdhw_8_6"/>
      <w:bookmarkStart w:id="300" w:name="Tc_5XZB3KlxxEm98OCETuNvyQ_8_0"/>
      <w:bookmarkStart w:id="301" w:name="Tc_YNUmFz5RzEmp3gq1TU8cHQ_7_0"/>
      <w:bookmarkStart w:id="302" w:name="Tc_m_p2M19Uokqvanc66b0OKA_6_0"/>
      <w:bookmarkStart w:id="303" w:name="Tc_dIR9huuhH0uGBhI71wxDGg_5_0"/>
      <w:bookmarkStart w:id="304" w:name="Tc_G-st36apKUukjdHXZnIr5Q_4_5"/>
      <w:bookmarkStart w:id="305" w:name="Tc_5vllzj54dEmbNcyaXrNj_Q_4_2"/>
      <w:bookmarkStart w:id="306" w:name="Tc_VguG3sOKFUmlZMrrjhcwqA_4_0"/>
      <w:bookmarkStart w:id="307" w:name="Tc_cBpRrEcWjkejtYfuZ0P_-Q_3_0"/>
      <w:bookmarkStart w:id="308" w:name="Tc_4ZqCK5ZMlUerYWbHLAgPOA_2_5"/>
      <w:bookmarkStart w:id="309" w:name="Tc_TTh5-KEx6Ee7nchGZY7Xiw_2_2"/>
      <w:bookmarkStart w:id="310" w:name="Tc_kbssSgnvAkSGV0bR8ojAvQ_1_5"/>
      <w:bookmarkStart w:id="311" w:name="Tc_ekYpjtr510e6cjV_WuZyJw_1_2"/>
      <w:bookmarkStart w:id="312" w:name="_9e3ec5e0_fdee_406d_b344_18d05335fb2c"/>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tbl>
      <w:tblPr>
        <w:tblW w:w="8978" w:type="dxa"/>
        <w:jc w:val="left"/>
        <w:tblInd w:w="0" w:type="dxa"/>
        <w:tblLayout w:type="fixed"/>
        <w:tblCellMar>
          <w:top w:w="0" w:type="dxa"/>
          <w:left w:w="0" w:type="dxa"/>
          <w:bottom w:w="0" w:type="dxa"/>
          <w:right w:w="0" w:type="dxa"/>
        </w:tblCellMar>
      </w:tblPr>
      <w:tblGrid>
        <w:gridCol w:w="6031"/>
        <w:gridCol w:w="326"/>
        <w:gridCol w:w="213"/>
        <w:gridCol w:w="912"/>
        <w:gridCol w:w="326"/>
        <w:gridCol w:w="213"/>
        <w:gridCol w:w="957"/>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29685" cy="175260"/>
                      <wp:effectExtent l="0" t="0" r="0" b="0"/>
                      <wp:wrapNone/>
                      <wp:docPr id="21" name="Frame21"/>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5255" cy="175260"/>
                      <wp:effectExtent l="0" t="0" r="0" b="0"/>
                      <wp:wrapNone/>
                      <wp:docPr id="23" name="Frame2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9120" cy="175260"/>
                      <wp:effectExtent l="0" t="0" r="0" b="0"/>
                      <wp:wrapNone/>
                      <wp:docPr id="24" name="Frame2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5255" cy="175260"/>
                      <wp:effectExtent l="0" t="0" r="0" b="0"/>
                      <wp:wrapNone/>
                      <wp:docPr id="26" name="Frame2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07695" cy="175260"/>
                      <wp:effectExtent l="0" t="0" r="0" b="0"/>
                      <wp:wrapNone/>
                      <wp:docPr id="27" name="Frame2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disposal of assets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9,557</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(69,965)</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(55,765)</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199,370</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210,150</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(560,686)</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(155,422)</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(361,934)</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53,733</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issuances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7,526</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439,824</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7,925</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28,224</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3" w:name="_b5143ac9_ed3f_4f7b_8bc6_9f9d2e260069"/>
      <w:bookmarkEnd w:id="313"/>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314" w:name="NotestoUnaudited"/>
      <w:bookmarkStart w:id="315" w:name="NotestoUnauditedCondensedConsolidatedFin"/>
      <w:bookmarkEnd w:id="314"/>
      <w:bookmarkEnd w:id="315"/>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2023, which are included in the Company’s Annual Report on Form 10-K filed with the Securities and Exchange Commission (the “SEC”) on February 26, 2024.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2024, the Company had cash, cash equivalents and marketable securities of $802.3 million. The Company has had recurring losses and incurred a loss of $68.7 million for the six months ended June 30, 2024. Net cash used in operations for the six months ended June 30, 2024 was $70.0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financings,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13),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and six months ended June 30, 2024 are consistent with those discussed in Note 2 to the financial statements in the Company’s Annual Report on Form 10-K for the year ended December 31,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 Improvements to Reportable Segment Disclosures</w:t>
      </w:r>
      <w:r>
        <w:rPr>
          <w:rFonts w:ascii="Times New Roman;Times;serif" w:hAnsi="Times New Roman;Times;serif"/>
          <w:sz w:val="20"/>
        </w:rPr>
        <w:t>, which improves reportable segment disclosure requirements, primarily through enhanced disclosure of significant segment expenses. The amendments in ASU 2023-07 apply to public entities, including those with a single reportable segment, and are effective for fiscal years beginning after December 15, 2023, and interim periods within fiscal years beginning after December 15, 2024, with early adoption permitted. The Company does not expect the adoption of this guidance to have a material impact on its consolidated financial statements and related disclosures.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that the adoption of ASU 2023-09 may have on its consolidated financial statements and related disclosures.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March 2024, the SEC adopted final rules requiring public entities to provide certain climate-related information in their registration statements and annual reports. The rules require disclosure of, among other things: material climate-related risks; activities to mitigate or adapt to such risks; governance and management of such risks; and material greenhouse gas (GHG) emissions from operations owned or controlled (Scope 1) and/or indirect emissions from purchased energy consumed in operations (Scope 2). Additionally, the rules require disclosure in the notes to the financial statements of the effects of severe weather events and other natural conditions, subject to certain materiality thresholds. In April 2024, the SEC voluntarily stayed the new rules as a result of pending legal challenges. Absent the result of pending legal challenges, and the removal of the stay, the rules were to become effective on a phased-in timeline, with the first requirements to be adopted for the Company’s fiscal year beginning in 2025. The Company is assessing the effect of the new rules on its consolidated financial statements and related disclosures.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16" w:name="Tc_EUVF-gDIrkaN9b4WpRSK3g_7_12"/>
      <w:bookmarkStart w:id="317" w:name="Tc_mZXW_BPRcUSYoHu1yd8Gjg_7_8"/>
      <w:bookmarkStart w:id="318" w:name="Tc_R6dKsvmlMkyCuqc3l5Rm3w_7_6"/>
      <w:bookmarkStart w:id="319" w:name="Tc_UEGzDLpyVE2Fbmb7_NuAlQ_7_2"/>
      <w:bookmarkStart w:id="320" w:name="Tc_4dSsBDu9HEmDNIvWmu9PvA_6_12"/>
      <w:bookmarkStart w:id="321" w:name="Tc_yLuu85hnPUSN2qinemm_tw_6_6"/>
      <w:bookmarkStart w:id="322" w:name="Tc_68o8P5XM3EWKjccB5g06LA_6_0"/>
      <w:bookmarkStart w:id="323" w:name="Tc_4sTYtLMenEqZBZP9Phd7Zg_5_12"/>
      <w:bookmarkStart w:id="324" w:name="Tc_90mhy2CK3EOrRArq4tgOsA_5_8"/>
      <w:bookmarkStart w:id="325" w:name="Tc_Mmum3gd7uUeKAGs_lMse4Q_5_6"/>
      <w:bookmarkStart w:id="326" w:name="Tc_cVBqo180U0Ce_BNAODT4pA_5_2"/>
      <w:bookmarkStart w:id="327" w:name="Tc_cBpQcXw9JUu3nNm2rF1W1A_5_0"/>
      <w:bookmarkStart w:id="328" w:name="Tc_MPzhx1Bu8U2-yq-AblUgEg_4_0"/>
      <w:bookmarkStart w:id="329" w:name="Tc_T0f0FXJig0GG_p4safNPLQ_3_2"/>
      <w:bookmarkStart w:id="330" w:name="Tc_PVGgwhs82ES9DMuwvLhTSA_2_11"/>
      <w:bookmarkStart w:id="331" w:name="Tc_T17XIKr51ku0IFNoS4q7eA_2_8"/>
      <w:bookmarkStart w:id="332" w:name="Tc_WihBAJXk1EyMg5A53JDNig_2_5"/>
      <w:bookmarkStart w:id="333" w:name="Tc_8n22UbrCmUie_WzOz0IDXQ_2_2"/>
      <w:bookmarkStart w:id="334" w:name="Tc_15dkOHdRAU2yoMIxSNd11w_1_2"/>
      <w:bookmarkStart w:id="335" w:name="_0e5afe75_0642_4fdb_a720_2952027a1163"/>
      <w:bookmarkStart w:id="336" w:name="Tc_dwEKrkp7Z06RCKuQc0W8vg_7_12"/>
      <w:bookmarkStart w:id="337" w:name="Tc_HPBQZXn3vUWe33bzAevgPA_7_8"/>
      <w:bookmarkStart w:id="338" w:name="Tc_aq9rBqXS-kmp2I3XdYbGSg_7_6"/>
      <w:bookmarkStart w:id="339" w:name="Tc_XzT-nEbFN0-3vW4Ei5yn6Q_7_2"/>
      <w:bookmarkStart w:id="340" w:name="Tc_ysVp2Qg5KkiSJjT7pC2prA_6_12"/>
      <w:bookmarkStart w:id="341" w:name="Tc_zbP4sutAYUm51vp8po4Ylg_6_6"/>
      <w:bookmarkStart w:id="342" w:name="Tc_hEELC6227kW4ECwF3F1oKA_6_0"/>
      <w:bookmarkStart w:id="343" w:name="Tc_RgvDz3ZxTEOVfRM1_Zl1sQ_5_12"/>
      <w:bookmarkStart w:id="344" w:name="Tc_gYInp2mCdkGMMO9aJKL9Hw_5_8"/>
      <w:bookmarkStart w:id="345" w:name="Tc_zXcojmhuKE2loiAUYMCY7Q_5_6"/>
      <w:bookmarkStart w:id="346" w:name="Tc_LtxeCJmqCEWJx3MYXVp66g_5_2"/>
      <w:bookmarkStart w:id="347" w:name="Tc_jMfm1R3VAkSj6A4wck9vpw_5_0"/>
      <w:bookmarkStart w:id="348" w:name="Tc_tNzBHM9mwEmmwv_wIfWv8w_4_0"/>
      <w:bookmarkStart w:id="349" w:name="Tc_5xa2ZEVdzkGe035bomzafw_3_2"/>
      <w:bookmarkStart w:id="350" w:name="Tc_OmkFhhByZ0KnC_HIBXuSuQ_2_11"/>
      <w:bookmarkStart w:id="351" w:name="Tc_WurH6BwxsUKUyLQ1ZKlzkA_2_8"/>
      <w:bookmarkStart w:id="352" w:name="Tc_lnF6IFNNzUST-oRr-KdLdQ_2_5"/>
      <w:bookmarkStart w:id="353" w:name="Tc_owmYfU-Fm0mvgGTwtWUWWg_2_2"/>
      <w:bookmarkStart w:id="354" w:name="Tc_7XK3Xo2aEkqgCn--uR1Brg_1_2"/>
      <w:bookmarkStart w:id="355" w:name="_92faa322_03c3_45a8_81bb_24d6129864cc"/>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Pr>
          <w:rFonts w:ascii="Times New Roman;Times;serif" w:hAnsi="Times New Roman;Times;serif"/>
          <w:b/>
          <w:sz w:val="20"/>
        </w:rPr>
        <w:t>(3)  Fair Value Measurements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pPr>
      <w:r>
        <w:rPr/>
        <w:t>​</w:t>
      </w:r>
    </w:p>
    <w:tbl>
      <w:tblPr>
        <w:tblW w:w="8314" w:type="dxa"/>
        <w:jc w:val="left"/>
        <w:tblInd w:w="0" w:type="dxa"/>
        <w:tblLayout w:type="fixed"/>
        <w:tblCellMar>
          <w:top w:w="0" w:type="dxa"/>
          <w:left w:w="0" w:type="dxa"/>
          <w:bottom w:w="0" w:type="dxa"/>
          <w:right w:w="0" w:type="dxa"/>
        </w:tblCellMar>
      </w:tblPr>
      <w:tblGrid>
        <w:gridCol w:w="3586"/>
        <w:gridCol w:w="326"/>
        <w:gridCol w:w="239"/>
        <w:gridCol w:w="886"/>
        <w:gridCol w:w="326"/>
        <w:gridCol w:w="151"/>
        <w:gridCol w:w="480"/>
        <w:gridCol w:w="326"/>
        <w:gridCol w:w="211"/>
        <w:gridCol w:w="781"/>
        <w:gridCol w:w="326"/>
        <w:gridCol w:w="131"/>
        <w:gridCol w:w="545"/>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77110" cy="175260"/>
                      <wp:effectExtent l="0" t="0" r="0" b="0"/>
                      <wp:wrapNone/>
                      <wp:docPr id="28" name="Frame28"/>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1765" cy="175260"/>
                      <wp:effectExtent l="0" t="0" r="0" b="0"/>
                      <wp:wrapNone/>
                      <wp:docPr id="30" name="Frame3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62610" cy="175260"/>
                      <wp:effectExtent l="0" t="0" r="0" b="0"/>
                      <wp:wrapNone/>
                      <wp:docPr id="31" name="Frame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5885" cy="175260"/>
                      <wp:effectExtent l="0" t="0" r="0" b="0"/>
                      <wp:wrapNone/>
                      <wp:docPr id="33" name="Frame33"/>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4800" cy="175260"/>
                      <wp:effectExtent l="0" t="0" r="0" b="0"/>
                      <wp:wrapNone/>
                      <wp:docPr id="34" name="Frame3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95935" cy="175260"/>
                      <wp:effectExtent l="0" t="0" r="0" b="0"/>
                      <wp:wrapNone/>
                      <wp:docPr id="37"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83185" cy="175260"/>
                      <wp:effectExtent l="0" t="0" r="0" b="0"/>
                      <wp:wrapNone/>
                      <wp:docPr id="39" name="Frame39"/>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6075" cy="175260"/>
                      <wp:effectExtent l="0" t="0" r="0" b="0"/>
                      <wp:wrapNone/>
                      <wp:docPr id="40" name="Frame40"/>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31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0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and cash equivalents </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26,826</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26,826</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759,578</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759,578</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786,404</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786,404</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645" w:type="dxa"/>
        <w:jc w:val="left"/>
        <w:tblInd w:w="0" w:type="dxa"/>
        <w:tblLayout w:type="fixed"/>
        <w:tblCellMar>
          <w:top w:w="0" w:type="dxa"/>
          <w:left w:w="0" w:type="dxa"/>
          <w:bottom w:w="0" w:type="dxa"/>
          <w:right w:w="0" w:type="dxa"/>
        </w:tblCellMar>
      </w:tblPr>
      <w:tblGrid>
        <w:gridCol w:w="3541"/>
        <w:gridCol w:w="326"/>
        <w:gridCol w:w="319"/>
        <w:gridCol w:w="1182"/>
        <w:gridCol w:w="326"/>
        <w:gridCol w:w="151"/>
        <w:gridCol w:w="480"/>
        <w:gridCol w:w="326"/>
        <w:gridCol w:w="211"/>
        <w:gridCol w:w="781"/>
        <w:gridCol w:w="32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48535" cy="175260"/>
                      <wp:effectExtent l="0" t="0" r="0" b="0"/>
                      <wp:wrapNone/>
                      <wp:docPr id="41" name="Frame41"/>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2565" cy="175260"/>
                      <wp:effectExtent l="0" t="0" r="0" b="0"/>
                      <wp:wrapNone/>
                      <wp:docPr id="43" name="Frame4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50570" cy="175260"/>
                      <wp:effectExtent l="0" t="0" r="0" b="0"/>
                      <wp:wrapNone/>
                      <wp:docPr id="44" name="Frame4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5885" cy="175260"/>
                      <wp:effectExtent l="0" t="0" r="0" b="0"/>
                      <wp:wrapNone/>
                      <wp:docPr id="46" name="Frame46"/>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04800" cy="175260"/>
                      <wp:effectExtent l="0" t="0" r="0" b="0"/>
                      <wp:wrapNone/>
                      <wp:docPr id="47" name="Frame47"/>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3185" cy="175260"/>
                      <wp:effectExtent l="0" t="0" r="0" b="0"/>
                      <wp:wrapNone/>
                      <wp:docPr id="52" name="Frame52"/>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46075" cy="175260"/>
                      <wp:effectExtent l="0" t="0" r="0" b="0"/>
                      <wp:wrapNone/>
                      <wp:docPr id="53" name="Frame5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6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center"/>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19,803</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19,803</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388,784</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388,784</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408,587</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408,587</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June 30, 2024 and December 31, 2023.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was no gain or loss on fair value remeasurement of contingent consideration recorded during the three and six months ended June 30, 2024 or June 30, 2023.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any transfers in or out of Level 3 </w:t>
      </w:r>
      <w:r>
        <w:rPr>
          <w:rFonts w:ascii="Times New Roman;Times;serif" w:hAnsi="Times New Roman;Times;serif"/>
          <w:b w:val="false"/>
          <w:i w:val="false"/>
          <w:caps w:val="false"/>
          <w:smallCaps w:val="false"/>
          <w:sz w:val="20"/>
        </w:rPr>
        <w:t>assets</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during</w:t>
      </w:r>
      <w:r>
        <w:rPr>
          <w:rFonts w:ascii="Times New Roman;Times;serif" w:hAnsi="Times New Roman;Times;serif"/>
          <w:sz w:val="20"/>
        </w:rPr>
        <w:t xml:space="preserve"> the six months ended June 30,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56" w:name="Tc_IWenM9kK0U2dyvx-WCifww_30_11"/>
      <w:bookmarkStart w:id="357" w:name="Tc_4ibl9RyTS0W3T63_3bsHFg_30_8"/>
      <w:bookmarkStart w:id="358" w:name="Tc_74fmOurt80Gl0iGt9NFFUg_30_5"/>
      <w:bookmarkStart w:id="359" w:name="Tc_mnYmtn57vUOAmPEtwterWg_30_2"/>
      <w:bookmarkStart w:id="360" w:name="Tc_q7ZpyZNjG06BOJdJsEifvA_30_0"/>
      <w:bookmarkStart w:id="361" w:name="Tc_IH7lxvO5sUqji_ss1VuBaQ_29_11"/>
      <w:bookmarkStart w:id="362" w:name="Tc_6-7EJnIkq02BUFvl2UYs2Q_29_8"/>
      <w:bookmarkStart w:id="363" w:name="Tc_YJK-0hJl0EmX6NjR0XW-HQ_29_5"/>
      <w:bookmarkStart w:id="364" w:name="Tc_pM3UGyUgFUmxrfsClMq4PA_29_2"/>
      <w:bookmarkStart w:id="365" w:name="Tc_clCC9wkqpECGi1o0Sjvfpw_29_0"/>
      <w:bookmarkStart w:id="366" w:name="Tc_QyqbQXPxlE-NCOvGWXnW8Q_28_9"/>
      <w:bookmarkStart w:id="367" w:name="Tc_47_0lrf6v0ycIi-_qoluOg_28_0"/>
      <w:bookmarkStart w:id="368" w:name="Tc_JgWva9UdQkK2yPZCVvTtiA_27_11"/>
      <w:bookmarkStart w:id="369" w:name="Tc_pDYBeLS3Ik-XnqrOjCcyVA_27_8"/>
      <w:bookmarkStart w:id="370" w:name="Tc_oNTZYb5hvUq1pFYtqcFaIw_27_5"/>
      <w:bookmarkStart w:id="371" w:name="Tc_SkClP1STMUazkzN6DsC3Hw_27_2"/>
      <w:bookmarkStart w:id="372" w:name="Tc_cUQM5vgmakisSMQ-lgVaEw_27_0"/>
      <w:bookmarkStart w:id="373" w:name="Tc_bglvEy0xRkGZdZVBKUZlxg_26_0"/>
      <w:bookmarkStart w:id="374" w:name="Tc_v_V12F5z0USTRvSJXs_JJw_25_11"/>
      <w:bookmarkStart w:id="375" w:name="Tc_Yjjs9_BIW0WuAyRed8SG3A_25_8"/>
      <w:bookmarkStart w:id="376" w:name="Tc_tm53GywLa0icZOmj2u_XLw_25_5"/>
      <w:bookmarkStart w:id="377" w:name="Tc_LXLIbv48_ES0OZyoDCEVKQ_25_2"/>
      <w:bookmarkStart w:id="378" w:name="Tc_9kbnF4Z9tkuOxygvE5s3-A_25_0"/>
      <w:bookmarkStart w:id="379" w:name="Tc_E1U5erdBPEafFLjUkHogxA_24_9"/>
      <w:bookmarkStart w:id="380" w:name="Tc_he0Jo4h5c02pxF_Vt3YsfA_24_0"/>
      <w:bookmarkStart w:id="381" w:name="Tc_WSwzH-IxTUaQctkGwKnO-Q_23_11"/>
      <w:bookmarkStart w:id="382" w:name="Tc_9O5_Kb5xkE-NUjz-Y8XkBQ_23_8"/>
      <w:bookmarkStart w:id="383" w:name="Tc_F08i4R3KrU6S-Zqtfpz9Fg_23_5"/>
      <w:bookmarkStart w:id="384" w:name="Tc_3wwBu6eZd0-u9-kzzIjHjQ_23_2"/>
      <w:bookmarkStart w:id="385" w:name="Tc_R2uH8aYTV0G94qWORFlgCA_23_0"/>
      <w:bookmarkStart w:id="386" w:name="Tc_8pKqvxKSxU-AD5-t4WeALA_22_0"/>
      <w:bookmarkStart w:id="387" w:name="Tc_-qMi7V8jvEG3ky2Z0HRa2A_21_0"/>
      <w:bookmarkStart w:id="388" w:name="Tc_-Nt72nO42E-QUsmNbz2zgA_20_0"/>
      <w:bookmarkStart w:id="389" w:name="Tc_laVT3lL0rU-8oKGngEfoeQ_19_2"/>
      <w:bookmarkStart w:id="390" w:name="Tc_2_mEc4Z4EUCw_otZ83l4zQ_18_11"/>
      <w:bookmarkStart w:id="391" w:name="Tc_-H5iw1scbUmtt6AIkbT0oQ_18_8"/>
      <w:bookmarkStart w:id="392" w:name="Tc_--Li3T0S506R7SlPfXPLTw_18_5"/>
      <w:bookmarkStart w:id="393" w:name="Tc_yRD-hfewaE-qgpR_QZAR-g_18_2"/>
      <w:bookmarkStart w:id="394" w:name="Tc_73Xp2L6GNEq4ZHcA6bjXLA_17_11"/>
      <w:bookmarkStart w:id="395" w:name="Tc_V0sWmHU_C0KINfZebypxnQ_17_8"/>
      <w:bookmarkStart w:id="396" w:name="Tc_TKfr8BOfBk-2cqbNxCjUqw_17_5"/>
      <w:bookmarkStart w:id="397" w:name="Tc_jZ9jjxH7jkq8Bemuc4mVrQ_17_2"/>
      <w:bookmarkStart w:id="398" w:name="Tc_jS-nUyzc70qwBykX2suv9Q_14_11"/>
      <w:bookmarkStart w:id="399" w:name="Tc_kKnnuG3gA0uw5Cp3TI0qGQ_14_8"/>
      <w:bookmarkStart w:id="400" w:name="Tc_zbBU7by4zE22I80Tmj1frw_14_5"/>
      <w:bookmarkStart w:id="401" w:name="Tc_BcXpewETKUOnwNdFdyF2mA_14_2"/>
      <w:bookmarkStart w:id="402" w:name="Tc_CzAsuG3_dk2mEByQs1AYHA_14_0"/>
      <w:bookmarkStart w:id="403" w:name="Tc_5nRMFbewvky2qIVWRxYjIQ_13_11"/>
      <w:bookmarkStart w:id="404" w:name="Tc_hTNZHddtZ0mmi-KrgM_uNw_13_8"/>
      <w:bookmarkStart w:id="405" w:name="Tc_XCa4lmeJ5EyvS8QFdZCFzA_13_5"/>
      <w:bookmarkStart w:id="406" w:name="Tc_5bCAjv6pwEWRDdmsp65PMQ_13_2"/>
      <w:bookmarkStart w:id="407" w:name="Tc_UzWL2IgjGUmGAdbGFGbpDw_13_0"/>
      <w:bookmarkStart w:id="408" w:name="Tc_IHy5eynUhk6ndsvryi4fGg_12_0"/>
      <w:bookmarkStart w:id="409" w:name="Tc_u3ZlY0GKk0icrQvdzu-NNg_11_11"/>
      <w:bookmarkStart w:id="410" w:name="Tc_Z1jN19jjeE62ff1oUa-LoQ_11_8"/>
      <w:bookmarkStart w:id="411" w:name="Tc_Gj8ZTakWdEuemQrHFjg0Vg_11_5"/>
      <w:bookmarkStart w:id="412" w:name="Tc_bXVg7PR4EUGl2Yl6U-omBw_11_2"/>
      <w:bookmarkStart w:id="413" w:name="Tc_WGFYZROAkUmk_bQkFmRLew_11_0"/>
      <w:bookmarkStart w:id="414" w:name="Tc_2x1BiA2LSkejUfdCpajdMw_10_0"/>
      <w:bookmarkStart w:id="415" w:name="Tc_wvAx2bTlKEeOcdh9_sJJtQ_9_11"/>
      <w:bookmarkStart w:id="416" w:name="Tc_VI5X70X5OkiN-v-Thz2zMQ_9_8"/>
      <w:bookmarkStart w:id="417" w:name="Tc_nSUDq80p3UGUzAlOKzvXNA_9_6"/>
      <w:bookmarkStart w:id="418" w:name="Tc_GZjny6QdJ02UKLwNvwMnqA_9_5"/>
      <w:bookmarkStart w:id="419" w:name="Tc_d5iKUyUekESwPlCiarjMyA_9_2"/>
      <w:bookmarkStart w:id="420" w:name="Tc_1D-rBmtUcEKSP1SqjYR95w_9_0"/>
      <w:bookmarkStart w:id="421" w:name="Tc_jipAI4XP30GOdFWI0ceACg_8_6"/>
      <w:bookmarkStart w:id="422" w:name="Tc_QmsTlwgnIEOoYjra_8rL1Q_8_0"/>
      <w:bookmarkStart w:id="423" w:name="Tc_mTEROhxQ3UKiLDqHe_VOEA_7_11"/>
      <w:bookmarkStart w:id="424" w:name="Tc_DFsLRD6V9kiIUguuOnnE2Q_7_8"/>
      <w:bookmarkStart w:id="425" w:name="Tc_K97pm88JLU6QfPHUQGoq6A_7_6"/>
      <w:bookmarkStart w:id="426" w:name="Tc_D1cBL6LFckylfIg9l_JA_A_7_5"/>
      <w:bookmarkStart w:id="427" w:name="Tc_3Wbu48rGo02qTPjuhg4j7g_7_2"/>
      <w:bookmarkStart w:id="428" w:name="Tc_rDjERvCmokevmHIHz-2FvQ_7_0"/>
      <w:bookmarkStart w:id="429" w:name="Tc_xCeFtOp66UOxWthUoRgs5w_6_0"/>
      <w:bookmarkStart w:id="430" w:name="Tc_IodrauHx5E-4EYfshmiq_g_5_0"/>
      <w:bookmarkStart w:id="431" w:name="Tc_d5BENMU3QUyJYVkVig67wA_4_0"/>
      <w:bookmarkStart w:id="432" w:name="Tc_xd_u6SUKu02r3PRIsVB2vQ_3_2"/>
      <w:bookmarkStart w:id="433" w:name="Tc_fDTpWmeC4kWutBnyzYXStA_2_11"/>
      <w:bookmarkStart w:id="434" w:name="Tc_n_Gd2WHm7EG7Be13MzzGDw_2_8"/>
      <w:bookmarkStart w:id="435" w:name="Tc_PYtZuRFoek6bL0Yameaodg_2_5"/>
      <w:bookmarkStart w:id="436" w:name="Tc_bJWS_DnDxke_t9DofPqW2A_2_2"/>
      <w:bookmarkStart w:id="437" w:name="Tc_1I-9CMI7HE2JQUGCNPsfrg_1_11"/>
      <w:bookmarkStart w:id="438" w:name="Tc_SMg4VSvqyU6IyhXxYH_DIQ_1_8"/>
      <w:bookmarkStart w:id="439" w:name="Tc_tHMBdXQh3EWceL5vOr-0Jg_1_5"/>
      <w:bookmarkStart w:id="440" w:name="Tc_2-oM0urzKEyCpQ8lFPl5rQ_1_2"/>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ascii="Times New Roman;Times;serif" w:hAnsi="Times New Roman;Times;serif"/>
          <w:b/>
          <w:sz w:val="20"/>
        </w:rPr>
        <w:t>(4)  Marketable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211"/>
        <w:gridCol w:w="781"/>
        <w:gridCol w:w="326"/>
        <w:gridCol w:w="447"/>
        <w:gridCol w:w="898"/>
        <w:gridCol w:w="326"/>
        <w:gridCol w:w="409"/>
        <w:gridCol w:w="936"/>
        <w:gridCol w:w="326"/>
        <w:gridCol w:w="211"/>
        <w:gridCol w:w="888"/>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16200" cy="175260"/>
                      <wp:effectExtent l="0" t="0" r="0" b="0"/>
                      <wp:wrapNone/>
                      <wp:docPr id="54" name="Frame54"/>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83845" cy="175260"/>
                      <wp:effectExtent l="0" t="0" r="0" b="0"/>
                      <wp:wrapNone/>
                      <wp:docPr id="59" name="Frame59"/>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70230" cy="175260"/>
                      <wp:effectExtent l="0" t="0" r="0" b="0"/>
                      <wp:wrapNone/>
                      <wp:docPr id="60" name="Frame6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59715" cy="175260"/>
                      <wp:effectExtent l="0" t="0" r="0" b="0"/>
                      <wp:wrapNone/>
                      <wp:docPr id="62" name="Frame62"/>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4360" cy="175260"/>
                      <wp:effectExtent l="0" t="0" r="0" b="0"/>
                      <wp:wrapNone/>
                      <wp:docPr id="63" name="Frame63"/>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3880" cy="175260"/>
                      <wp:effectExtent l="0" t="0" r="0" b="0"/>
                      <wp:wrapNone/>
                      <wp:docPr id="66" name="Frame66"/>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193,249</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193,077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124,096</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123,713</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317,345</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316,790</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403,773</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403,584</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39,276</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39,204</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443,049</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442,788</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760,394</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759,578</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132,459</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132,549</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26,009</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26,086</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158,468</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158,635</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debt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183,625</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183,915</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45,977</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46,234</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229,602</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230,149</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388,070</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388,784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holds investment-grade marketable securities. Unrealized losses are generally attributable to changes in interest rates. The aggregate fair value of marketable securities held by the Company in an unrealized loss position as of June 30, 2024 and December 31, 2023 was $614.4 million and $80.4 million, respectively. The Company has the intent and ability to hold its marketable securities until recovery and has determined that there has been no material change to their credit risk. As a result, the Company determined it did not hold any investments with a credit loss at June 30,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Marketable securities include $4.8 million and $1.9 million in accrued interest at June 30, 2024 and December 31, 2023,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2024 and December 31, 2023,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3 development. As of June 30, 2024, the IPR&amp;D asset related to the anti-KIT program had not reached technological feasibility nor did the asset have alternative future uses.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41" w:name="Tc_7xJOaE0hJkSYkNpe9TzZoA_9_5"/>
      <w:bookmarkStart w:id="442" w:name="Tc_bmVqMSJvlE6jqnkfEhtfkA_9_2"/>
      <w:bookmarkStart w:id="443" w:name="Tc_l35-7EWd8EiCVgkHWAScpQ_9_0"/>
      <w:bookmarkStart w:id="444" w:name="Tc_48Ox5_z5dUivmBSSrs9QeA_8_0"/>
      <w:bookmarkStart w:id="445" w:name="Tc_YHqO2k_k1U2Q6mV_iFBigw_7_0"/>
      <w:bookmarkStart w:id="446" w:name="Tc_2O1PwnEJkUeaf4gsRLl39Q_6_0"/>
      <w:bookmarkStart w:id="447" w:name="Tc_ZgqUCGpkLUKLfNWhiQgXFQ_5_0"/>
      <w:bookmarkStart w:id="448" w:name="Tc_RNvC-7N8e0GxdY5R6ItrVQ_4_5"/>
      <w:bookmarkStart w:id="449" w:name="Tc_HXwVyLtvlUW-_UBbtZBSRw_4_2"/>
      <w:bookmarkStart w:id="450" w:name="Tc_ggYByEyP106383EnF9KZSA_4_0"/>
      <w:bookmarkStart w:id="451" w:name="Tc_ZvN1abBB2EmdiC8IuE4O7A_3_2"/>
      <w:bookmarkStart w:id="452" w:name="Tc_NxPZ5gO2OEK9dUBAvenT-g_2_5"/>
      <w:bookmarkStart w:id="453" w:name="Tc_2AHlYsv_KUmiUPCwVpZ6oQ_2_2"/>
      <w:bookmarkStart w:id="454" w:name="Tc_edwVTVB39Uye3wBw7C_3YA_1_5"/>
      <w:bookmarkStart w:id="455" w:name="Tc_nqhCbSUSg06n0I7rd4rTIw_1_2"/>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Times;serif" w:hAnsi="Times New Roman;Times;serif"/>
          <w:b/>
          <w:sz w:val="20"/>
        </w:rPr>
        <w:t>(6)  Other Long-Term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180" w:type="dxa"/>
        <w:jc w:val="left"/>
        <w:tblInd w:w="0" w:type="dxa"/>
        <w:tblLayout w:type="fixed"/>
        <w:tblCellMar>
          <w:top w:w="0" w:type="dxa"/>
          <w:left w:w="0" w:type="dxa"/>
          <w:bottom w:w="0" w:type="dxa"/>
          <w:right w:w="0" w:type="dxa"/>
        </w:tblCellMar>
      </w:tblPr>
      <w:tblGrid>
        <w:gridCol w:w="4486"/>
        <w:gridCol w:w="326"/>
        <w:gridCol w:w="211"/>
        <w:gridCol w:w="691"/>
        <w:gridCol w:w="326"/>
        <w:gridCol w:w="254"/>
        <w:gridCol w:w="88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48610" cy="175260"/>
                      <wp:effectExtent l="0" t="0" r="0" b="0"/>
                      <wp:wrapNone/>
                      <wp:docPr id="67" name="Frame6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785" cy="175260"/>
                      <wp:effectExtent l="0" t="0" r="0" b="0"/>
                      <wp:wrapNone/>
                      <wp:docPr id="70" name="Frame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1290" cy="175260"/>
                      <wp:effectExtent l="0" t="0" r="0" b="0"/>
                      <wp:wrapNone/>
                      <wp:docPr id="72" name="Frame7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62610" cy="175260"/>
                      <wp:effectExtent l="0" t="0" r="0" b="0"/>
                      <wp:wrapNone/>
                      <wp:docPr id="73" name="Frame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8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8,391</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4,403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and $0.9 million in other income related to the sale of these tax benefits during the six months ended June 30, 2024 and the six months ended June 30, 2023, respectively.</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  Stockholders’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2023, the Company filed an automatic shelf registration statement with the SEC to register for sale any combination of the types of securities described in the shelf registration statement, including shares of its common stock. Also in November 2023, the Company issued 8,538,750 shares of its common stock in an underwritten public offering resulting in net proceeds to the Company of $216.2 million, after deducting underwriting fees and offering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26, 2024, the Company entered into a controlled equity offering sales agreement (“ATM Agreement”) with Cantor Fitzgerald &amp; Co. (“Cantor”) to allow the Company to issue and sell shares of its common stock from time to time through Cantor, acting as agent. Also on February 26, 2024, the Company terminated its pre-existing controlled equity offering sale agreement dated May 19, 2016 with Cantor. At June 30, 2024, the Company had registered $300.0 million of its common stock to be sold pursuant to the Company’s ATM Agreement, all of which remained unsold as of that date.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456" w:name="Tc_ccm_XNmtF0maF9IET4s0nw_16_16"/>
      <w:bookmarkStart w:id="457" w:name="Tc_kbkL1VuKdkuMBCrzWQKgNA_16_13"/>
      <w:bookmarkStart w:id="458" w:name="Tc_EQheeakJU02hhnEr3gAYBg_16_10"/>
      <w:bookmarkStart w:id="459" w:name="Tc_2UHbALKeUkOxf99I_Tp2UQ_16_7"/>
      <w:bookmarkStart w:id="460" w:name="Tc_j-Cv04JO7EaSacAJ6QWUTQ_16_4"/>
      <w:bookmarkStart w:id="461" w:name="Tc_wn-WLK4s0067dMrSA8GXCg_16_0"/>
      <w:bookmarkStart w:id="462" w:name="Tc_P4E-QF9V1kerAMEOsjI1Dg_15_11"/>
      <w:bookmarkStart w:id="463" w:name="Tc_mCnbWku-dUqiSzP51-4Ilg_15_8"/>
      <w:bookmarkStart w:id="464" w:name="Tc_17AgoNxwKkKlNTVYMOf7Kw_15_5"/>
      <w:bookmarkStart w:id="465" w:name="Tc_Y2wsA4kjSkyTzR2NOZM25g_15_2"/>
      <w:bookmarkStart w:id="466" w:name="Tc_Czl2ivmj4ki0vaRQIFYNlA_15_0"/>
      <w:bookmarkStart w:id="467" w:name="Tc_vI5NN1diG0SFtmkMNR0eig_14_14"/>
      <w:bookmarkStart w:id="468" w:name="Tc_4EckYvzB5EmVyhWVQRMsBg_14_8"/>
      <w:bookmarkStart w:id="469" w:name="Tc_kSfBOtcobEO4yVHQVu3TZg_14_5"/>
      <w:bookmarkStart w:id="470" w:name="Tc_bPljPXQocUiPukc17eE7Dw_14_2"/>
      <w:bookmarkStart w:id="471" w:name="Tc_WGOmXhcElkya2yL-DRPFxQ_14_0"/>
      <w:bookmarkStart w:id="472" w:name="Tc_o-YyQNddQk-BtQja8B712g_13_14"/>
      <w:bookmarkStart w:id="473" w:name="Tc_3VadgkKyBEmgU3ln5kcXyQ_13_11"/>
      <w:bookmarkStart w:id="474" w:name="Tc_gurk62uRNUCplA6vPBPpkg_13_5"/>
      <w:bookmarkStart w:id="475" w:name="Tc_8505oZYvR0OHgqhxAvD2EQ_13_2"/>
      <w:bookmarkStart w:id="476" w:name="Tc_PkcXEGa0Tk-yE7V2cZHDBg_13_0"/>
      <w:bookmarkStart w:id="477" w:name="Tc_qPridXDOKEOLIMUaCEYfdQ_12_14"/>
      <w:bookmarkStart w:id="478" w:name="Tc_rKHhU9BfNkaSfLDkwKld3A_12_11"/>
      <w:bookmarkStart w:id="479" w:name="Tc_qe4mu6_nlU-qbX4KOXw_Uw_12_5"/>
      <w:bookmarkStart w:id="480" w:name="Tc_4NZKoYm1QUqJ_UTUmaUbhA_12_0"/>
      <w:bookmarkStart w:id="481" w:name="Tc_A3VEVRaytUOJWRd3ZPE13A_11_16"/>
      <w:bookmarkStart w:id="482" w:name="Tc_hEejdcET5EqZM5F63KZ1Yg_11_13"/>
      <w:bookmarkStart w:id="483" w:name="Tc_L7IuSFZJSEqbUFTV7EFSrg_11_10"/>
      <w:bookmarkStart w:id="484" w:name="Tc_xwH95JUTgUaZaLkcW5gS6Q_11_7"/>
      <w:bookmarkStart w:id="485" w:name="Tc_4Fj4eI7x50aTrr7ndejRQw_11_4"/>
      <w:bookmarkStart w:id="486" w:name="Tc_1SVd4iL4202vi2Hct1PCaQ_11_0"/>
      <w:bookmarkStart w:id="487" w:name="Tc_YbOS77uyTkmragYSyrJuOg_10_11"/>
      <w:bookmarkStart w:id="488" w:name="Tc_QyjipvmJMUaIr_9kgKXAng_10_8"/>
      <w:bookmarkStart w:id="489" w:name="Tc_I0l4cnz5lEy95_WLX-hmfw_10_5"/>
      <w:bookmarkStart w:id="490" w:name="Tc_P1ZLUFtpq0GDO-MDAdGLQQ_10_2"/>
      <w:bookmarkStart w:id="491" w:name="Tc_1Y7tzBQ5Tk2vlJ0bS-QdGA_10_0"/>
      <w:bookmarkStart w:id="492" w:name="Tc_D8wjhzjfTkaBNc5XyzR0eA_9_14"/>
      <w:bookmarkStart w:id="493" w:name="Tc_6JjoIYDHj06-09pjzWvuzQ_9_8"/>
      <w:bookmarkStart w:id="494" w:name="Tc_enTYypgpn0aphMSA_NmrHg_9_5"/>
      <w:bookmarkStart w:id="495" w:name="Tc_m-mqXlC-aEymRr7EGPffWQ_9_2"/>
      <w:bookmarkStart w:id="496" w:name="Tc_d8XVwMIkbkm_d12_RuwauA_9_0"/>
      <w:bookmarkStart w:id="497" w:name="Tc_sWp02da9rEu7szpP-eIwIw_8_14"/>
      <w:bookmarkStart w:id="498" w:name="Tc_xXVVO_igm0ybMvEGalzRcg_8_11"/>
      <w:bookmarkStart w:id="499" w:name="Tc_PpWZNPBtL0WTvljKCxrvNg_8_5"/>
      <w:bookmarkStart w:id="500" w:name="Tc_bxUTbMQf1EKht3YSBaL_pA_8_2"/>
      <w:bookmarkStart w:id="501" w:name="Tc_VzuQ_auVcE-gFDZFHqOOYA_8_0"/>
      <w:bookmarkStart w:id="502" w:name="Tc_4KR_dF7bjkSRsQo3KDoNrA_7_14"/>
      <w:bookmarkStart w:id="503" w:name="Tc_5GwNRwV2l0uISdyz3P0Ylg_7_11"/>
      <w:bookmarkStart w:id="504" w:name="Tc_Z-q8PZIUnkuc1UUFmpxNSg_7_5"/>
      <w:bookmarkStart w:id="505" w:name="Tc_7qsSBsNMikmzX4k5yEe97A_7_0"/>
      <w:bookmarkStart w:id="506" w:name="Tc_pJym5qe6DEqk1mOS4eC9xg_6_16"/>
      <w:bookmarkStart w:id="507" w:name="Tc_r88z87NvUEauWU1um7yDEg_6_13"/>
      <w:bookmarkStart w:id="508" w:name="Tc_EVyFGkmfk0aFxzl98aE68A_6_10"/>
      <w:bookmarkStart w:id="509" w:name="Tc_uc-8a_9IBE-HE8Qtpo4azA_6_7"/>
      <w:bookmarkStart w:id="510" w:name="Tc_tSZsQL4aX0i3151pYFd9Xg_6_4"/>
      <w:bookmarkStart w:id="511" w:name="Tc_yKAyRG0R3Umm1ppkkJA9fw_6_0"/>
      <w:bookmarkStart w:id="512" w:name="Tc_D4P7fTYOkke24ohKybZfFQ_5_2"/>
      <w:bookmarkStart w:id="513" w:name="Tc_UXPjHvpmrU6yKcqW2em0ow_4_16"/>
      <w:bookmarkStart w:id="514" w:name="Tc_AFFGmd9jQ0mw6Udqeij9nA_4_13"/>
      <w:bookmarkStart w:id="515" w:name="Tc_LdJLdoZMLE24VPERqXLBbQ_4_10"/>
      <w:bookmarkStart w:id="516" w:name="Tc_PvUgJPdPt0aR_EfRoMppWA_4_7"/>
      <w:bookmarkStart w:id="517" w:name="Tc_foMCXAstuEGH--z863F2XQ_4_4"/>
      <w:bookmarkStart w:id="518" w:name="Tc_-QEoXkpUsEiu8P3dC_TAaQ_4_2"/>
      <w:bookmarkStart w:id="519" w:name="Tc_XsULibbkLkSHKhNqtnxI4A_3_16"/>
      <w:bookmarkStart w:id="520" w:name="Tc_Pxy78mQhMkyaYs8Z4pUsug_3_13"/>
      <w:bookmarkStart w:id="521" w:name="Tc_KmLdymPe0EOYpPub6sqMAQ_3_10"/>
      <w:bookmarkStart w:id="522" w:name="Tc_cYeuj0wYfUmqkVGLZPdUpg_3_7"/>
      <w:bookmarkStart w:id="523" w:name="Tc_vqxqMQpzqkewKRX_bQ_Tdg_3_4"/>
      <w:bookmarkStart w:id="524" w:name="Tc_iMds8WF1g0OjBIB-TKEfQQ_3_2"/>
      <w:bookmarkStart w:id="525" w:name="Tc_NDYyHtdsvU6VQYbeD_HwSw_2_16"/>
      <w:bookmarkStart w:id="526" w:name="Tc_lkoSUfo3GkC7YR-O09Ys6A_2_10"/>
      <w:bookmarkStart w:id="527" w:name="Tc_OC4QD2rwBEmGQgc4dRZlEw_2_7"/>
      <w:bookmarkStart w:id="528" w:name="Tc_KfoAzO9VvkijA-fjYVD1Lw_2_4"/>
      <w:bookmarkStart w:id="529" w:name="Tc_ZvlbeB2i0Em2mQh0dMVTdQ_2_2"/>
      <w:bookmarkStart w:id="530" w:name="Tc_Y_xecKF0a0SdWBrUgTRFMQ_1_10"/>
      <w:bookmarkStart w:id="531" w:name="_72c75577_e744_4a8c_9098_303a744f0c65"/>
      <w:bookmarkStart w:id="532" w:name="Tc_6ZE86VNkoEOpEY9jiYEJsA_17_16"/>
      <w:bookmarkStart w:id="533" w:name="Tc_6G4j__fI2UeC1D5eZSf_mg_17_13"/>
      <w:bookmarkStart w:id="534" w:name="Tc_E-wtDsj1Tk21hHVahdGcDg_17_10"/>
      <w:bookmarkStart w:id="535" w:name="Tc_hyD_8BBFU0anoeXzAX5dDA_17_7"/>
      <w:bookmarkStart w:id="536" w:name="Tc_xc8wvNr4O0KNBqAEf2i_Og_17_4"/>
      <w:bookmarkStart w:id="537" w:name="Tc_z-lYsiW0dk-osrhDG0uNvg_17_0"/>
      <w:bookmarkStart w:id="538" w:name="Tc_BbkNQf2NJUyWG86nK1P1nQ_16_11"/>
      <w:bookmarkStart w:id="539" w:name="Tc_GJkpULAJoU6V_U7uX8xKOw_16_8"/>
      <w:bookmarkStart w:id="540" w:name="Tc_Bs6TnOiFpkupNbmPcmZelA_16_5"/>
      <w:bookmarkStart w:id="541" w:name="Tc_mKHwtrjNo02sIMnwOIC7yw_16_2"/>
      <w:bookmarkStart w:id="542" w:name="Tc_RFFM7wM5lUOkGK785o0pVw_16_0"/>
      <w:bookmarkStart w:id="543" w:name="Tc_aa-Yk8SoL0alLoElsoCUGQ_15_14"/>
      <w:bookmarkStart w:id="544" w:name="Tc_HBuYGpIi9USZfv_KW7b05w_15_8"/>
      <w:bookmarkStart w:id="545" w:name="Tc_yT-T5dKTYUCvCnPFV72Jqw_15_5"/>
      <w:bookmarkStart w:id="546" w:name="Tc_pjogYpH0kk-LxoikxVs5mw_15_2"/>
      <w:bookmarkStart w:id="547" w:name="Tc_FwGo6bYjxkGklJ2jYi1PIA_15_0"/>
      <w:bookmarkStart w:id="548" w:name="Tc_92psFa2jhUS8-bW7sQ7pXA_14_14"/>
      <w:bookmarkStart w:id="549" w:name="Tc_MAP_b8aQpkq5gS_mbF_knA_14_11"/>
      <w:bookmarkStart w:id="550" w:name="Tc_YFInjP3RcUOBzr_2OnF9Wg_14_5"/>
      <w:bookmarkStart w:id="551" w:name="Tc_JN_97m9by0yqPKUtMpjoRQ_14_2"/>
      <w:bookmarkStart w:id="552" w:name="Tc_eclPqfDN10yvUYr2xIsOxQ_14_0"/>
      <w:bookmarkStart w:id="553" w:name="Tc_0IVBTznRekagqiUb1QyaLA_13_14"/>
      <w:bookmarkStart w:id="554" w:name="Tc_H8Si7QUa3UKZORavPtmgOQ_13_11"/>
      <w:bookmarkStart w:id="555" w:name="Tc_iP6o7AMYak-4hWWttEsEdg_13_5"/>
      <w:bookmarkStart w:id="556" w:name="Tc_JHy0utpU3EOl9GoUDut3uw_13_0"/>
      <w:bookmarkStart w:id="557" w:name="Tc_7YlKDxdyZU6K-mn0YLDpDg_12_16"/>
      <w:bookmarkStart w:id="558" w:name="Tc_Hq2zPUnMUkqrOHBoGI6DNw_12_13"/>
      <w:bookmarkStart w:id="559" w:name="Tc_4s8QxpRkLkuSyMu2qctRJw_12_10"/>
      <w:bookmarkStart w:id="560" w:name="Tc_GoYk5Ke0TkGVnKmh8Vd4Ag_12_7"/>
      <w:bookmarkStart w:id="561" w:name="Tc_8MOCCieq_0WzOMBBc8EZUg_12_4"/>
      <w:bookmarkStart w:id="562" w:name="Tc_NpR92qgP8EKjKdcrQSRtRg_12_0"/>
      <w:bookmarkStart w:id="563" w:name="Tc_reb6l-BDokmqkPaNFV3eKw_11_11"/>
      <w:bookmarkStart w:id="564" w:name="Tc_DEICVCASVEuhi10Vh2fMjQ_11_8"/>
      <w:bookmarkStart w:id="565" w:name="Tc_BjUwWTe_eUK1FoGiI1zD9Q_11_5"/>
      <w:bookmarkStart w:id="566" w:name="Tc_reTceR6q1kOGNHn1dD07IA_11_2"/>
      <w:bookmarkStart w:id="567" w:name="Tc_lOAIF82SpEy2JndxGTK7og_11_0"/>
      <w:bookmarkStart w:id="568" w:name="Tc_rhnYMzgz_kqci_z81t9jNw_10_14"/>
      <w:bookmarkStart w:id="569" w:name="Tc_Q_IGqDdNYUCXijFRX39AyQ_10_8"/>
      <w:bookmarkStart w:id="570" w:name="Tc_ckHA628sU0Ox5Rx8CzAusg_10_5"/>
      <w:bookmarkStart w:id="571" w:name="Tc_9FSzAiM74k6XHKH9NsR-BA_10_2"/>
      <w:bookmarkStart w:id="572" w:name="Tc_CsXWGG9qu0yNPMJH86hgzQ_10_0"/>
      <w:bookmarkStart w:id="573" w:name="Tc_v-lY2In9CE-aRl5v62TRIA_9_14"/>
      <w:bookmarkStart w:id="574" w:name="Tc_hzGTcajcRECJUuSeHICscw_9_11"/>
      <w:bookmarkStart w:id="575" w:name="Tc_FnWj40S2AkO_3uA1Huf1CQ_9_5"/>
      <w:bookmarkStart w:id="576" w:name="Tc_Nr5wTkVB-02-HrXIlK1H0w_9_2"/>
      <w:bookmarkStart w:id="577" w:name="Tc_kjb9Lu33JkGH9By-n-o_6Q_9_0"/>
      <w:bookmarkStart w:id="578" w:name="Tc_PsK6H5HHGE6UuKSDEAA12g_8_14"/>
      <w:bookmarkStart w:id="579" w:name="Tc_5214rrdkgEyrlAN-pZDYQQ_8_11"/>
      <w:bookmarkStart w:id="580" w:name="Tc_uDnGlEihH0y9u-2DB0h_DQ_8_0"/>
      <w:bookmarkStart w:id="581" w:name="Tc_RXpu1XYpAEm0WbELsU-K1A_7_14"/>
      <w:bookmarkStart w:id="582" w:name="Tc_vRaFU2EufUW_8zYjhBbuSA_7_11"/>
      <w:bookmarkStart w:id="583" w:name="Tc_ZcbG4wkBA0e4jRv6pd6dWw_7_5"/>
      <w:bookmarkStart w:id="584" w:name="Tc_6nMLKZluaEG1Dih2MlXQUA_7_0"/>
      <w:bookmarkStart w:id="585" w:name="Tc_4dqbsjVDr0-tN6v4m8ApAg_6_16"/>
      <w:bookmarkStart w:id="586" w:name="Tc_SvG_dbF5r0q8eR4Cdm4J5w_6_13"/>
      <w:bookmarkStart w:id="587" w:name="Tc_riX_lOVXz0Ko-_I5a2jzzw_6_10"/>
      <w:bookmarkStart w:id="588" w:name="Tc_iKp_3yqlZ061QVMCzPE9aw_6_7"/>
      <w:bookmarkStart w:id="589" w:name="Tc_YB5KJadt9ki0USj4pZQJjQ_6_4"/>
      <w:bookmarkStart w:id="590" w:name="Tc_p2w_cVPRQEWi0ZW-cCGRqA_6_0"/>
      <w:bookmarkStart w:id="591" w:name="Tc_PPg4my1QuEqxdNmP-KdH2Q_5_2"/>
      <w:bookmarkStart w:id="592" w:name="Tc_XsXcfIDEaEWZquwQrqYtGA_4_16"/>
      <w:bookmarkStart w:id="593" w:name="Tc_IrHn8e4wCEeKmMVpzCIIfg_4_13"/>
      <w:bookmarkStart w:id="594" w:name="Tc_C0cAk1pU70aBsbLteWmidw_4_10"/>
      <w:bookmarkStart w:id="595" w:name="Tc_fLzOqU0GmESzZAOqRum3kw_4_7"/>
      <w:bookmarkStart w:id="596" w:name="Tc_J1waRrR9C0q3H9ke-SeR_Q_4_4"/>
      <w:bookmarkStart w:id="597" w:name="Tc_7fZjvYheXkeUB5FHMhoDPA_4_2"/>
      <w:bookmarkStart w:id="598" w:name="Tc_TPCO9Wk930C9dQEJtsg99Q_3_16"/>
      <w:bookmarkStart w:id="599" w:name="Tc_4SR-rzNAtkaRkBRFA5gVmA_3_13"/>
      <w:bookmarkStart w:id="600" w:name="Tc_3T2Wbiv9S0Smkt2sR2imng_3_10"/>
      <w:bookmarkStart w:id="601" w:name="Tc_TCU34ZOmb0WUK02CXspTiQ_3_7"/>
      <w:bookmarkStart w:id="602" w:name="Tc_tHFl6OFx-UeqcXCaU-gf1A_3_4"/>
      <w:bookmarkStart w:id="603" w:name="Tc_2SQiSEj0lEKLuZcwIPWfqA_3_2"/>
      <w:bookmarkStart w:id="604" w:name="Tc_3n3iJGh6G0CxTJVzaOTcAg_2_16"/>
      <w:bookmarkStart w:id="605" w:name="Tc_F2V0ryuKk0mGkJ5CIBDvfg_2_10"/>
      <w:bookmarkStart w:id="606" w:name="Tc_V6cEiF92l0KORKiRWvfspw_2_7"/>
      <w:bookmarkStart w:id="607" w:name="Tc_l3b6elz2IkCQf6FL77WzDg_2_4"/>
      <w:bookmarkStart w:id="608" w:name="Tc_u_f3m1SukU6mfBQ8Nwb4EA_2_2"/>
      <w:bookmarkStart w:id="609" w:name="Tc_nW1UsYfetkWrCoFxS6NCKg_1_10"/>
      <w:bookmarkStart w:id="610" w:name="_7de56773_b0be_4ffa_955c_22483496e9d1"/>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rPr>
          <w:rFonts w:ascii="Times New Roman;Times;serif" w:hAnsi="Times New Roman;Times;serif"/>
          <w:sz w:val="20"/>
        </w:rPr>
        <w:t>In March 2024, the Company issued 9,798,000 shares of its common stock in an underwritten public offering resulting in net proceeds to the Company of $432.3 million, after deducting underwriting fees and offering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Stockholders’ Equity during the three and six months ended June 30, 2024 and 2023 are summarized below:</w:t>
      </w:r>
    </w:p>
    <w:p>
      <w:pPr>
        <w:pStyle w:val="TextBody"/>
        <w:bidi w:val="0"/>
        <w:spacing w:before="0" w:after="0"/>
        <w:ind w:left="0" w:right="0" w:hanging="0"/>
        <w:jc w:val="left"/>
        <w:rPr/>
      </w:pPr>
      <w:r>
        <w:rPr/>
        <w:t>​</w:t>
      </w:r>
    </w:p>
    <w:tbl>
      <w:tblPr>
        <w:tblW w:w="10216" w:type="dxa"/>
        <w:jc w:val="left"/>
        <w:tblInd w:w="0" w:type="dxa"/>
        <w:tblLayout w:type="fixed"/>
        <w:tblCellMar>
          <w:top w:w="0" w:type="dxa"/>
          <w:left w:w="0" w:type="dxa"/>
          <w:bottom w:w="0" w:type="dxa"/>
          <w:right w:w="0" w:type="dxa"/>
        </w:tblCellMar>
      </w:tblPr>
      <w:tblGrid>
        <w:gridCol w:w="1741"/>
        <w:gridCol w:w="326"/>
        <w:gridCol w:w="1036"/>
        <w:gridCol w:w="326"/>
        <w:gridCol w:w="312"/>
        <w:gridCol w:w="514"/>
        <w:gridCol w:w="326"/>
        <w:gridCol w:w="211"/>
        <w:gridCol w:w="931"/>
        <w:gridCol w:w="326"/>
        <w:gridCol w:w="304"/>
        <w:gridCol w:w="912"/>
        <w:gridCol w:w="326"/>
        <w:gridCol w:w="211"/>
        <w:gridCol w:w="991"/>
        <w:gridCol w:w="32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105535" cy="175260"/>
                      <wp:effectExtent l="0" t="0" r="0" b="0"/>
                      <wp:wrapNone/>
                      <wp:docPr id="74" name="Frame7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57860" cy="175260"/>
                      <wp:effectExtent l="0" t="0" r="0" b="0"/>
                      <wp:wrapNone/>
                      <wp:docPr id="76" name="Frame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98120" cy="175260"/>
                      <wp:effectExtent l="0" t="0" r="0" b="0"/>
                      <wp:wrapNone/>
                      <wp:docPr id="78" name="Frame7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26390" cy="175260"/>
                      <wp:effectExtent l="0" t="0" r="0" b="0"/>
                      <wp:wrapNone/>
                      <wp:docPr id="79" name="Frame79"/>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2" name="Frame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3040" cy="175260"/>
                      <wp:effectExtent l="0" t="0" r="0" b="0"/>
                      <wp:wrapNone/>
                      <wp:docPr id="84" name="Frame8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79120" cy="175260"/>
                      <wp:effectExtent l="0" t="0" r="0" b="0"/>
                      <wp:wrapNone/>
                      <wp:docPr id="85" name="Frame85"/>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29285" cy="175260"/>
                      <wp:effectExtent l="0" t="0" r="0" b="0"/>
                      <wp:wrapNone/>
                      <wp:docPr id="88" name="Frame8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62610" cy="175260"/>
                      <wp:effectExtent l="0" t="0" r="0" b="0"/>
                      <wp:wrapNone/>
                      <wp:docPr id="91" name="Frame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1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55,883,377</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1,823,168</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(1,397,361)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429,171</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229,171</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underwritten offering, net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9,798,000</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432,288</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65,910,548</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2,266,472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(1,430,169)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838,613</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370,119</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2024</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66,280,667</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2,277,824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(1,466,011)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813,659</w:t>
            </w:r>
          </w:p>
        </w:tc>
      </w:tr>
    </w:tbl>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602"/>
        <w:gridCol w:w="326"/>
        <w:gridCol w:w="1036"/>
        <w:gridCol w:w="326"/>
        <w:gridCol w:w="335"/>
        <w:gridCol w:w="551"/>
        <w:gridCol w:w="326"/>
        <w:gridCol w:w="211"/>
        <w:gridCol w:w="931"/>
        <w:gridCol w:w="326"/>
        <w:gridCol w:w="343"/>
        <w:gridCol w:w="933"/>
        <w:gridCol w:w="326"/>
        <w:gridCol w:w="211"/>
        <w:gridCol w:w="995"/>
        <w:gridCol w:w="326"/>
        <w:gridCol w:w="211"/>
        <w:gridCol w:w="890"/>
      </w:tblGrid>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2725" cy="175260"/>
                      <wp:effectExtent l="0" t="0" r="0" b="0"/>
                      <wp:wrapNone/>
                      <wp:docPr id="95" name="Frame9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49885" cy="175260"/>
                      <wp:effectExtent l="0" t="0" r="0" b="0"/>
                      <wp:wrapNone/>
                      <wp:docPr id="96" name="Frame9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1185" cy="175260"/>
                      <wp:effectExtent l="0" t="0" r="0" b="0"/>
                      <wp:wrapNone/>
                      <wp:docPr id="99" name="Frame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7805" cy="175260"/>
                      <wp:effectExtent l="0" t="0" r="0" b="0"/>
                      <wp:wrapNone/>
                      <wp:docPr id="101" name="Frame101"/>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2455" cy="175260"/>
                      <wp:effectExtent l="0" t="0" r="0" b="0"/>
                      <wp:wrapNone/>
                      <wp:docPr id="102" name="Frame10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31825" cy="175260"/>
                      <wp:effectExtent l="0" t="0" r="0" b="0"/>
                      <wp:wrapNone/>
                      <wp:docPr id="105" name="Frame10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5150" cy="175260"/>
                      <wp:effectExtent l="0" t="0" r="0" b="0"/>
                      <wp:wrapNone/>
                      <wp:docPr id="108" name="Frame108"/>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90" w:type="dxa"/>
            <w:tcBorders/>
            <w:vAlign w:val="center"/>
          </w:tcPr>
          <w:p>
            <w:pPr>
              <w:pStyle w:val="TableContents"/>
              <w:bidi w:val="0"/>
              <w:spacing w:before="0" w:after="0"/>
              <w:ind w:left="0" w:right="0" w:hanging="0"/>
              <w:jc w:val="left"/>
              <w:rPr/>
            </w:pPr>
            <w:r>
              <w:rPr/>
              <w:t>​</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7"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47,200,695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1,580,829</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(1,255,932)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326,204</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43,986</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47,244,681</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1,585,863</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(1,285,293)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302,740</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47,253,813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1,591,213</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277,537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11" w:name="Tc_xSfwkAoahUmnuHhknSqzfw_6_0"/>
      <w:bookmarkStart w:id="612" w:name="Tc_9HRlDER8hUGoszZ-9f6N3A_5_8"/>
      <w:bookmarkStart w:id="613" w:name="Tc_i3jK_qLE9kSqsR1Q1KTK8w_5_6"/>
      <w:bookmarkStart w:id="614" w:name="Tc_vhEeVM4mb0WuaWGrRH5Brg_5_4"/>
      <w:bookmarkStart w:id="615" w:name="Tc_g-TOtwBxd0SoGdGacu4xsw_5_2"/>
      <w:bookmarkStart w:id="616" w:name="Tc__cX69nCeg0ue1N-aAvPpTw_5_0"/>
      <w:bookmarkStart w:id="617" w:name="Tc_ZkaCYVcp-Eu-2cvQRHPsww_4_8"/>
      <w:bookmarkStart w:id="618" w:name="Tc_oucjQzauzEqkApzydjrdNw_4_6"/>
      <w:bookmarkStart w:id="619" w:name="Tc_TIM487x1D0Ckon-rAEiUMQ_4_4"/>
      <w:bookmarkStart w:id="620" w:name="Tc_ssLleRJaykCKah4hxVUFWQ_4_2"/>
      <w:bookmarkStart w:id="621" w:name="Tc_gOoJ-TLKYkGBwCpnZ1XdKw_4_0"/>
      <w:bookmarkStart w:id="622" w:name="Tc_ZtX8XkvCCkmzMpRK6Rghog_3_6"/>
      <w:bookmarkStart w:id="623" w:name="Tc_nHKxg28OpEa4SZzwk2eiDg_3_2"/>
      <w:bookmarkStart w:id="624" w:name="Tc_JwiZpxITZUmnfx4VebVk-w_3_0"/>
      <w:bookmarkStart w:id="625" w:name="Tc_VUAblwB5zk6mby0Rd8FN9Q_2_8"/>
      <w:bookmarkStart w:id="626" w:name="Tc_shqvd5jyykypsRfUPf1EFQ_2_6"/>
      <w:bookmarkStart w:id="627" w:name="Tc_nrEcI136P0WJNMg2rOkOgg_2_4"/>
      <w:bookmarkStart w:id="628" w:name="Tc_YwF3z16dWkujmFuvz0ShEw_2_2"/>
      <w:bookmarkStart w:id="629" w:name="Tc_whuNrsClsEKSNcCLeQphpw_1_6"/>
      <w:bookmarkStart w:id="630" w:name="Tc_2jKt1OfEUEmum6I-5xw9ew_1_2"/>
      <w:bookmarkStart w:id="631" w:name="Tc_PZFg-NN-VkKWWSMrKc6aLw_6_11"/>
      <w:bookmarkStart w:id="632" w:name="Tc_RO-xYILtAU2TTFFvChS96g_6_8"/>
      <w:bookmarkStart w:id="633" w:name="Tc_pPblneUShUiFFQ9z2K2cRw_6_5"/>
      <w:bookmarkStart w:id="634" w:name="Tc_jkTfYenkkUqzb_WLfQm9kg_6_2"/>
      <w:bookmarkStart w:id="635" w:name="Tc_2sktsAdvO0WTjHaSnQLWaw_6_0"/>
      <w:bookmarkStart w:id="636" w:name="Tc_kRigln9VJ0K8wfBWRWErvg_5_0"/>
      <w:bookmarkStart w:id="637" w:name="Tc_fpsk_434UkivNdmOlb8BPQ_4_11"/>
      <w:bookmarkStart w:id="638" w:name="Tc_7LqrT-wdO0-hYHaxk18ePg_4_8"/>
      <w:bookmarkStart w:id="639" w:name="Tc_9qNzlhtTDE2P5HtqXyWJZw_4_5"/>
      <w:bookmarkStart w:id="640" w:name="Tc_EIRtwl9sN0-JewMXPFSGcw_4_2"/>
      <w:bookmarkStart w:id="641" w:name="Tc_3h2aMCLcc0G-3n5zCU5MwA_4_0"/>
      <w:bookmarkStart w:id="642" w:name="Tc_cGCCknsMwkyOd4i6380oHQ_3_8"/>
      <w:bookmarkStart w:id="643" w:name="Tc_DK9tDY5N0keEvnV3gWxmxA_3_2"/>
      <w:bookmarkStart w:id="644" w:name="Tc_I_7wL-G530mr9PLDmsDm0A_2_11"/>
      <w:bookmarkStart w:id="645" w:name="Tc_WcLMvEEmvk6bhlUMw-Eefw_2_8"/>
      <w:bookmarkStart w:id="646" w:name="Tc_TThKi5Xz6kawGY-WN0LDUw_2_5"/>
      <w:bookmarkStart w:id="647" w:name="Tc_z8vzwuZ0LEKmGGvGjJkkbQ_2_2"/>
      <w:bookmarkStart w:id="648" w:name="Tc_uZHqvpeI0Uetv6zmTUZrkQ_1_8"/>
      <w:bookmarkStart w:id="649" w:name="Tc_k_zIftyF70O5TyA8Df63fg_1_2"/>
      <w:bookmarkStart w:id="650" w:name="_208d867e_68e7_470e_b6b2_7f922333a701"/>
      <w:bookmarkStart w:id="651" w:name="Tc_f9AuIXVwYEaFu_Xq_GcJJQ_13_0"/>
      <w:bookmarkStart w:id="652" w:name="Tc_05DdfCuRk0S-YCcTzcUXRA_12_4"/>
      <w:bookmarkStart w:id="653" w:name="Tc_onkVheI2EkC_b28MX-0qJw_12_0"/>
      <w:bookmarkStart w:id="654" w:name="Tc_c1a6aSf45kiO-u-lOFdNvQ_11_4"/>
      <w:bookmarkStart w:id="655" w:name="Tc_SPQn3V3Hu0GcksQnBnpxgA_11_0"/>
      <w:bookmarkStart w:id="656" w:name="Tc_SE5x3bRIxEaVF_-bxZojCw_10_4"/>
      <w:bookmarkStart w:id="657" w:name="Tc__eME3_uvU0OMxWpCao3n3w_10_0"/>
      <w:bookmarkStart w:id="658" w:name="Tc_lNFaJRg4dUayYeVBCcwuzA_9_4"/>
      <w:bookmarkStart w:id="659" w:name="Tc_gr39RhF_SUa1AToef_zhJw_9_0"/>
      <w:bookmarkStart w:id="660" w:name="Tc_q-c-wQ7zh0Wp1sSeRSZtRw_8_4"/>
      <w:bookmarkStart w:id="661" w:name="Tc_EOkk7tfHAkWZau1qz5sIHg_8_0"/>
      <w:bookmarkStart w:id="662" w:name="Tc_EtP6qQKBvkKya0avtN8uRw_7_4"/>
      <w:bookmarkStart w:id="663" w:name="Tc_9sznGpznS0GI_IPLVip1Aw_7_0"/>
      <w:bookmarkStart w:id="664" w:name="Tc_ZXmPDxFm-EmjLN6easDsbQ_6_4"/>
      <w:bookmarkStart w:id="665" w:name="Tc_P3Pg-YXUMkGxapk2qRuSvQ_6_0"/>
      <w:bookmarkStart w:id="666" w:name="Tc_XdUB0lcvaUCiNHAQejslpg_5_7"/>
      <w:bookmarkStart w:id="667" w:name="Tc_J3SQd1nCv0aqPOMt5CIyzg_5_4"/>
      <w:bookmarkStart w:id="668" w:name="Tc_2bSmfaslJkmNlKQl2-FGBA_5_2"/>
      <w:bookmarkStart w:id="669" w:name="Tc_2xOy0fn3xES7F7u03Bsbpg_4_7"/>
      <w:bookmarkStart w:id="670" w:name="Tc_g8Kac97T2kq4lD_YthzzNA_4_4"/>
      <w:bookmarkStart w:id="671" w:name="Tc_QuW1ouZDkkqEo-sPUuAogw_3_7"/>
      <w:bookmarkStart w:id="672" w:name="Tc_u5YI_ykL2kWZFG_tBwcDqQ_3_4"/>
      <w:bookmarkStart w:id="673" w:name="Tc_ePAQJeEED0-ErrlfOagUjg_2_7"/>
      <w:bookmarkStart w:id="674" w:name="Tc_e5TmIEvL30WrGHi1itj6QQ_2_4"/>
      <w:bookmarkStart w:id="675" w:name="Tc_E3A1H3XTTEWvQHv99wNooA_1_7"/>
      <w:bookmarkStart w:id="676" w:name="Tc_FwubVN2VfE6y-hRPKWpBdQ_1_4"/>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Times;serif" w:hAnsi="Times New Roman;Times;serif"/>
          <w:b/>
          <w:sz w:val="20"/>
        </w:rPr>
        <w:t>(8)  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stock option activity for the six months ended June 30, 2024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20"/>
        <w:gridCol w:w="326"/>
        <w:gridCol w:w="931"/>
        <w:gridCol w:w="326"/>
        <w:gridCol w:w="211"/>
        <w:gridCol w:w="676"/>
        <w:gridCol w:w="326"/>
        <w:gridCol w:w="1289"/>
      </w:tblGrid>
      <w:tr>
        <w:trPr/>
        <w:tc>
          <w:tcPr>
            <w:tcW w:w="6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886200" cy="175260"/>
                      <wp:effectExtent l="0" t="0" r="0" b="0"/>
                      <wp:wrapNone/>
                      <wp:docPr id="109" name="Frame109"/>
                      <a:graphic xmlns:a="http://schemas.openxmlformats.org/drawingml/2006/main">
                        <a:graphicData uri="http://schemas.microsoft.com/office/word/2010/wordprocessingShape">
                          <wps:wsp>
                            <wps:cNvSpPr txBox="1"/>
                            <wps:spPr>
                              <a:xfrm>
                                <a:off x="0" y="0"/>
                                <a:ext cx="388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91185" cy="175260"/>
                      <wp:effectExtent l="0" t="0" r="0" b="0"/>
                      <wp:wrapNone/>
                      <wp:docPr id="111" name="Frame1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18515" cy="175260"/>
                      <wp:effectExtent l="0" t="0" r="0" b="0"/>
                      <wp:wrapNone/>
                      <wp:docPr id="116" name="Frame116"/>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6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6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6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6,378,924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326"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1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right"/>
              <w:rPr/>
            </w:pPr>
            <w:r>
              <w:rPr/>
              <w:t>​</w:t>
            </w:r>
          </w:p>
        </w:tc>
      </w:tr>
      <w:tr>
        <w:trPr/>
        <w:tc>
          <w:tcPr>
            <w:tcW w:w="6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right"/>
              <w:rPr/>
            </w:pPr>
            <w:r>
              <w:rPr/>
              <w:t>​</w:t>
            </w:r>
          </w:p>
        </w:tc>
      </w:tr>
      <w:tr>
        <w:trPr/>
        <w:tc>
          <w:tcPr>
            <w:tcW w:w="61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Canceled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165.60</w:t>
            </w:r>
          </w:p>
        </w:tc>
        <w:tc>
          <w:tcPr>
            <w:tcW w:w="326" w:type="dxa"/>
            <w:tcBorders/>
            <w:vAlign w:val="center"/>
          </w:tcPr>
          <w:p>
            <w:pPr>
              <w:pStyle w:val="TableContents"/>
              <w:bidi w:val="0"/>
              <w:spacing w:before="0" w:after="0"/>
              <w:ind w:left="0" w:right="0" w:hanging="0"/>
              <w:jc w:val="left"/>
              <w:rPr/>
            </w:pPr>
            <w:r>
              <w:rPr/>
              <w:t>​</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w:t>
            </w:r>
          </w:p>
        </w:tc>
        <w:tc>
          <w:tcPr>
            <w:tcW w:w="326" w:type="dxa"/>
            <w:tcBorders/>
            <w:shd w:fill="CCEEFF" w:val="clear"/>
            <w:vAlign w:val="center"/>
          </w:tcPr>
          <w:p>
            <w:pPr>
              <w:pStyle w:val="TableContents"/>
              <w:bidi w:val="0"/>
              <w:spacing w:before="0" w:after="0"/>
              <w:ind w:left="0" w:right="0" w:hanging="0"/>
              <w:jc w:val="left"/>
              <w:rPr/>
            </w:pPr>
            <w:r>
              <w:rPr/>
              <w:t>​</w:t>
            </w:r>
          </w:p>
        </w:tc>
        <w:tc>
          <w:tcPr>
            <w:tcW w:w="12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61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7,364,743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6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w:t>
            </w:r>
          </w:p>
        </w:tc>
        <w:tc>
          <w:tcPr>
            <w:tcW w:w="326" w:type="dxa"/>
            <w:tcBorders/>
            <w:shd w:fill="CCEEFF" w:val="clear"/>
            <w:vAlign w:val="center"/>
          </w:tcPr>
          <w:p>
            <w:pPr>
              <w:pStyle w:val="TableContents"/>
              <w:bidi w:val="0"/>
              <w:spacing w:before="0" w:after="0"/>
              <w:ind w:left="0" w:right="0" w:hanging="0"/>
              <w:jc w:val="left"/>
              <w:rPr/>
            </w:pPr>
            <w:r>
              <w:rPr/>
              <w:t>​</w:t>
            </w:r>
          </w:p>
        </w:tc>
        <w:tc>
          <w:tcPr>
            <w:tcW w:w="12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61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Celldex Therapeutics, Inc. 2021 Omnibus Equity Incentive Plan (as amended, effective as of June 13, 2024)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2,466,466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and six months ended June 30, 2024 was $26.41 and $26.42,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vested and expected to vest at June 30, 2024 was $82.5 million. The aggregate intrinsic value of stock options exercisable at June 30, 2024 was $61.2 million. As of June 30, 2024, total compensation cost related to non-vested employee, consultant and non-employee director stock options not yet recognized was approximately $93.1 million, net of estimated forfeitures, which is expected to be recognized as expense over a weighted average period of 2.9 years.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Stock-based compensation expense for the three and six months ended June 30, 2024 and 2023 was recorded as follows:</w:t>
      </w:r>
    </w:p>
    <w:p>
      <w:pPr>
        <w:pStyle w:val="TextBody"/>
        <w:bidi w:val="0"/>
        <w:spacing w:before="0" w:after="0"/>
        <w:ind w:left="0" w:right="0" w:hanging="0"/>
        <w:jc w:val="left"/>
        <w:rPr/>
      </w:pPr>
      <w:r>
        <w:rPr/>
        <w:t>​</w:t>
      </w:r>
    </w:p>
    <w:tbl>
      <w:tblPr>
        <w:tblW w:w="8617" w:type="dxa"/>
        <w:jc w:val="left"/>
        <w:tblInd w:w="0" w:type="dxa"/>
        <w:tblLayout w:type="fixed"/>
        <w:tblCellMar>
          <w:top w:w="0" w:type="dxa"/>
          <w:left w:w="0" w:type="dxa"/>
          <w:bottom w:w="0" w:type="dxa"/>
          <w:right w:w="0" w:type="dxa"/>
        </w:tblCellMar>
      </w:tblPr>
      <w:tblGrid>
        <w:gridCol w:w="3496"/>
        <w:gridCol w:w="326"/>
        <w:gridCol w:w="258"/>
        <w:gridCol w:w="698"/>
        <w:gridCol w:w="398"/>
        <w:gridCol w:w="258"/>
        <w:gridCol w:w="698"/>
        <w:gridCol w:w="326"/>
        <w:gridCol w:w="217"/>
        <w:gridCol w:w="695"/>
        <w:gridCol w:w="335"/>
        <w:gridCol w:w="217"/>
        <w:gridCol w:w="695"/>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19960" cy="175260"/>
                      <wp:effectExtent l="0" t="0" r="0" b="0"/>
                      <wp:wrapNone/>
                      <wp:docPr id="117" name="Frame11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3830" cy="175260"/>
                      <wp:effectExtent l="0" t="0" r="0" b="0"/>
                      <wp:wrapNone/>
                      <wp:docPr id="119" name="Frame11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43230" cy="175260"/>
                      <wp:effectExtent l="0" t="0" r="0" b="0"/>
                      <wp:wrapNone/>
                      <wp:docPr id="120" name="Frame12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52730" cy="175260"/>
                      <wp:effectExtent l="0" t="0" r="0" b="0"/>
                      <wp:wrapNone/>
                      <wp:docPr id="121" name="Frame121"/>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3830" cy="175260"/>
                      <wp:effectExtent l="0" t="0" r="0" b="0"/>
                      <wp:wrapNone/>
                      <wp:docPr id="122" name="Frame12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43230" cy="175260"/>
                      <wp:effectExtent l="0" t="0" r="0" b="0"/>
                      <wp:wrapNone/>
                      <wp:docPr id="123" name="Frame123"/>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7795" cy="175260"/>
                      <wp:effectExtent l="0" t="0" r="0" b="0"/>
                      <wp:wrapNone/>
                      <wp:docPr id="125" name="Frame12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41325" cy="175260"/>
                      <wp:effectExtent l="0" t="0" r="0" b="0"/>
                      <wp:wrapNone/>
                      <wp:docPr id="126" name="Frame126"/>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2725" cy="175260"/>
                      <wp:effectExtent l="0" t="0" r="0" b="0"/>
                      <wp:wrapNone/>
                      <wp:docPr id="127" name="Frame12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7795" cy="175260"/>
                      <wp:effectExtent l="0" t="0" r="0" b="0"/>
                      <wp:wrapNone/>
                      <wp:docPr id="128" name="Frame12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41325" cy="175260"/>
                      <wp:effectExtent l="0" t="0" r="0" b="0"/>
                      <wp:wrapNone/>
                      <wp:docPr id="129" name="Frame129"/>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5" w:type="dxa"/>
            <w:tcBorders/>
            <w:vAlign w:val="center"/>
          </w:tcPr>
          <w:p>
            <w:pPr>
              <w:pStyle w:val="TableContents"/>
              <w:bidi w:val="0"/>
              <w:spacing w:before="0" w:after="0"/>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61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15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c>
          <w:tcPr>
            <w:tcW w:w="398"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7,577</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98"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7,265</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c>
          <w:tcPr>
            <w:tcW w:w="398"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14,842</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9,557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values of employee, consultant and non-employee director stock options granted during the three and six months ended June 30, 2024 and 2023 were valued using the Black-Scholes option pricing model with the following assumptions:</w:t>
      </w:r>
    </w:p>
    <w:p>
      <w:pPr>
        <w:pStyle w:val="TextBody"/>
        <w:bidi w:val="0"/>
        <w:spacing w:before="0" w:after="0"/>
        <w:ind w:left="0" w:right="0" w:hanging="0"/>
        <w:jc w:val="left"/>
        <w:rPr/>
      </w:pPr>
      <w:r>
        <w:rPr/>
        <w:t>​</w:t>
      </w:r>
    </w:p>
    <w:tbl>
      <w:tblPr>
        <w:tblW w:w="7956" w:type="dxa"/>
        <w:jc w:val="left"/>
        <w:tblInd w:w="0" w:type="dxa"/>
        <w:tblLayout w:type="fixed"/>
        <w:tblCellMar>
          <w:top w:w="0" w:type="dxa"/>
          <w:left w:w="0" w:type="dxa"/>
          <w:bottom w:w="0" w:type="dxa"/>
          <w:right w:w="0" w:type="dxa"/>
        </w:tblCellMar>
      </w:tblPr>
      <w:tblGrid>
        <w:gridCol w:w="2671"/>
        <w:gridCol w:w="326"/>
        <w:gridCol w:w="990"/>
        <w:gridCol w:w="330"/>
        <w:gridCol w:w="990"/>
        <w:gridCol w:w="326"/>
        <w:gridCol w:w="976"/>
        <w:gridCol w:w="326"/>
        <w:gridCol w:w="102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96085" cy="175260"/>
                      <wp:effectExtent l="0" t="0" r="0" b="0"/>
                      <wp:wrapNone/>
                      <wp:docPr id="130" name="Frame13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28650" cy="175260"/>
                      <wp:effectExtent l="0" t="0" r="0" b="0"/>
                      <wp:wrapNone/>
                      <wp:docPr id="132" name="Frame132"/>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9550" cy="175260"/>
                      <wp:effectExtent l="0" t="0" r="0" b="0"/>
                      <wp:wrapNone/>
                      <wp:docPr id="133" name="Frame133"/>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28650" cy="175260"/>
                      <wp:effectExtent l="0" t="0" r="0" b="0"/>
                      <wp:wrapNone/>
                      <wp:docPr id="134" name="Frame134"/>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19760" cy="175260"/>
                      <wp:effectExtent l="0" t="0" r="0" b="0"/>
                      <wp:wrapNone/>
                      <wp:docPr id="136" name="Frame13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335" cy="175260"/>
                      <wp:effectExtent l="0" t="0" r="0" b="0"/>
                      <wp:wrapNone/>
                      <wp:docPr id="138" name="Frame13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0" w:type="dxa"/>
            <w:tcBorders/>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stock price volatility </w:t>
            </w:r>
          </w:p>
        </w:tc>
        <w:tc>
          <w:tcPr>
            <w:tcW w:w="32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 93%</w:t>
            </w:r>
          </w:p>
        </w:tc>
        <w:tc>
          <w:tcPr>
            <w:tcW w:w="33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 93%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option term </w:t>
            </w:r>
          </w:p>
        </w:tc>
        <w:tc>
          <w:tcPr>
            <w:tcW w:w="32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3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Risk-free interest rate </w:t>
            </w:r>
          </w:p>
        </w:tc>
        <w:tc>
          <w:tcPr>
            <w:tcW w:w="32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 – 4.5%</w:t>
            </w:r>
          </w:p>
        </w:tc>
        <w:tc>
          <w:tcPr>
            <w:tcW w:w="33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3.9%</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 4.5%</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4.0%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dividend yield </w:t>
            </w:r>
          </w:p>
        </w:tc>
        <w:tc>
          <w:tcPr>
            <w:tcW w:w="32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3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77" w:name="Tc_DxJWCPAr7Eyard-ZCTGSNQ_8_8"/>
      <w:bookmarkStart w:id="678" w:name="Tc_cDzrWQr0lkqpa-D7zVyQkg_8_5"/>
      <w:bookmarkStart w:id="679" w:name="Tc_uIroLSOkT02HHUYpuXVVlQ_8_2"/>
      <w:bookmarkStart w:id="680" w:name="Tc_uAjHi1ZCiUqLtb6aBrEnLg_8_0"/>
      <w:bookmarkStart w:id="681" w:name="Tc_PyGhE04nO0CM_QvMrXxP8Q_7_0"/>
      <w:bookmarkStart w:id="682" w:name="Tc_UWQrkJ2F4EyarL85yL1v6g_6_8"/>
      <w:bookmarkStart w:id="683" w:name="Tc_-cVvtKS6ZkWTe-MsbsGxmg_6_5"/>
      <w:bookmarkStart w:id="684" w:name="Tc_aV2qRtUdrEuQyDB53Tqgww_6_2"/>
      <w:bookmarkStart w:id="685" w:name="Tc_1FFM68iuckGTkmt4ykeUAw_6_0"/>
      <w:bookmarkStart w:id="686" w:name="Tc_hMH0pb6S1kysrd5d3_yjdg_5_2"/>
      <w:bookmarkStart w:id="687" w:name="Tc_7y0o0dFMCkKbxJ3Tfq3cKA_4_8"/>
      <w:bookmarkStart w:id="688" w:name="Tc_2wyBBcgcGkqkKF1oAyJefw_4_5"/>
      <w:bookmarkStart w:id="689" w:name="Tc_A1Xc6zLRikmoSZgrG8yf_g_4_2"/>
      <w:bookmarkStart w:id="690" w:name="Tc_eW7gxP3OnESfhIJPsutQHQ_3_5"/>
      <w:bookmarkStart w:id="691" w:name="Tc_5v8fjLV2MEirVGWYGHHI8w_3_2"/>
      <w:bookmarkStart w:id="692" w:name="Tc_vXC3aAl0s0K7CsXAM355LA_2_2"/>
      <w:bookmarkStart w:id="693" w:name="Tc_cpCvlHmKwECKzttVUHkTxw_1_2"/>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Pr>
          <w:rFonts w:ascii="Times New Roman;Times;serif" w:hAnsi="Times New Roman;Times;serif"/>
          <w:b/>
          <w:sz w:val="20"/>
        </w:rPr>
        <w:t>(9)  Accumulated Other Comprehensive Income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six months ended June 30, 2024 are summarized below:</w:t>
      </w:r>
    </w:p>
    <w:p>
      <w:pPr>
        <w:pStyle w:val="TextBody"/>
        <w:bidi w:val="0"/>
        <w:spacing w:before="0" w:after="0"/>
        <w:ind w:left="0" w:right="0" w:hanging="0"/>
        <w:jc w:val="left"/>
        <w:rPr/>
      </w:pPr>
      <w:r>
        <w:rPr/>
        <w:t>​</w:t>
      </w:r>
    </w:p>
    <w:tbl>
      <w:tblPr>
        <w:tblW w:w="6922" w:type="dxa"/>
        <w:jc w:val="left"/>
        <w:tblInd w:w="0" w:type="dxa"/>
        <w:tblLayout w:type="fixed"/>
        <w:tblCellMar>
          <w:top w:w="0" w:type="dxa"/>
          <w:left w:w="0" w:type="dxa"/>
          <w:bottom w:w="0" w:type="dxa"/>
          <w:right w:w="0" w:type="dxa"/>
        </w:tblCellMar>
      </w:tblPr>
      <w:tblGrid>
        <w:gridCol w:w="2596"/>
        <w:gridCol w:w="326"/>
        <w:gridCol w:w="273"/>
        <w:gridCol w:w="897"/>
        <w:gridCol w:w="326"/>
        <w:gridCol w:w="332"/>
        <w:gridCol w:w="899"/>
        <w:gridCol w:w="326"/>
        <w:gridCol w:w="211"/>
        <w:gridCol w:w="7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48460" cy="175260"/>
                      <wp:effectExtent l="0" t="0" r="0" b="0"/>
                      <wp:wrapNone/>
                      <wp:docPr id="139" name="Frame13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3355" cy="175260"/>
                      <wp:effectExtent l="0" t="0" r="0" b="0"/>
                      <wp:wrapNone/>
                      <wp:docPr id="141" name="Frame14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69595" cy="175260"/>
                      <wp:effectExtent l="0" t="0" r="0" b="0"/>
                      <wp:wrapNone/>
                      <wp:docPr id="142" name="Frame142"/>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0820" cy="175260"/>
                      <wp:effectExtent l="0" t="0" r="0" b="0"/>
                      <wp:wrapNone/>
                      <wp:docPr id="144" name="Frame14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70865" cy="175260"/>
                      <wp:effectExtent l="0" t="0" r="0" b="0"/>
                      <wp:wrapNone/>
                      <wp:docPr id="145" name="Frame14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67360" cy="175260"/>
                      <wp:effectExtent l="0" t="0" r="0" b="0"/>
                      <wp:wrapNone/>
                      <wp:docPr id="148" name="Frame1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92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0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1,780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six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fixed-price. The Company recognized $2.5 million and $2.7 million in revenue under the agreements with Rockefeller during the three and six months ended June 30, 2024, respectively, and $0.2 million and $1.2 million during the three and six months ended June 30, 2023, respectively.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2024 and December 31, 2023, the Company’s right to consideration under all contracts was considered unconditional, and as such, there were no recorded contract assets. At June 30, 2024, the Company had $2.7 million in contract liabilities recorded, which is expected to be recognized during the next 12 months as manufacturing and research and development services are performed. At December 31, 2023, the Company had $3.1 million in contract liabilities recorded. Revenue recognized from contract liabilities as of December 31, 2023 during the six months ended June 30, 2024 was $0.3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2024 and December 31, 2023.</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net deferred tax liability of $1.6 million at June 30, 2024 and December 31, 2023 relates to the temporary differences associated with the IPR&amp;D intangible assets acquired in previous business combinations and is not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94" w:name="Tc_uKMwSl1nE0yxU52DSCkpEA_4_4"/>
      <w:bookmarkStart w:id="695" w:name="Tc_Xf8ZL_lQ4EKoNr2aBeHViw_4_2"/>
      <w:bookmarkStart w:id="696" w:name="Tc_jrBnkMDXsk6XaNxX2jap3Q_4_0"/>
      <w:bookmarkStart w:id="697" w:name="Tc_f7ChUfNIgUO0DzK5ltri7A_3_0"/>
      <w:bookmarkStart w:id="698" w:name="Tc_SJTYzq0dS0mOKwFgP5hTMg_2_4"/>
      <w:bookmarkStart w:id="699" w:name="Tc_BHyVAdYlsEujAU_pt_VN5w_2_2"/>
      <w:bookmarkStart w:id="700" w:name="Tc_at9y4wU8VU2oCWqhMj0c9g_1_2"/>
      <w:bookmarkStart w:id="701" w:name="_a1b264bd_08a4_47c8_9283_98aa8e78affc"/>
      <w:bookmarkEnd w:id="694"/>
      <w:bookmarkEnd w:id="695"/>
      <w:bookmarkEnd w:id="696"/>
      <w:bookmarkEnd w:id="697"/>
      <w:bookmarkEnd w:id="698"/>
      <w:bookmarkEnd w:id="699"/>
      <w:bookmarkEnd w:id="700"/>
      <w:bookmarkEnd w:id="701"/>
      <w:r>
        <w:rPr>
          <w:rFonts w:ascii="Times New Roman;Times;serif" w:hAnsi="Times New Roman;Times;serif"/>
          <w:b/>
          <w:sz w:val="20"/>
        </w:rPr>
        <w:t>(12)  Net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4075" w:type="dxa"/>
        <w:jc w:val="left"/>
        <w:tblInd w:w="0" w:type="dxa"/>
        <w:tblLayout w:type="fixed"/>
        <w:tblCellMar>
          <w:top w:w="0" w:type="dxa"/>
          <w:left w:w="0" w:type="dxa"/>
          <w:bottom w:w="0" w:type="dxa"/>
          <w:right w:w="0" w:type="dxa"/>
        </w:tblCellMar>
      </w:tblPr>
      <w:tblGrid>
        <w:gridCol w:w="1456"/>
        <w:gridCol w:w="326"/>
        <w:gridCol w:w="931"/>
        <w:gridCol w:w="326"/>
        <w:gridCol w:w="103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24560" cy="175260"/>
                      <wp:effectExtent l="0" t="0" r="0" b="0"/>
                      <wp:wrapNone/>
                      <wp:docPr id="149" name="Frame14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91185" cy="175260"/>
                      <wp:effectExtent l="0" t="0" r="0" b="0"/>
                      <wp:wrapNone/>
                      <wp:docPr id="151" name="Frame1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57860" cy="175260"/>
                      <wp:effectExtent l="0" t="0" r="0" b="0"/>
                      <wp:wrapNone/>
                      <wp:docPr id="153" name="Frame1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7,533,223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6,445,761</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7,533,223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6,445,761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Kolltan Acquisition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15, 2022, the Company entered into a definitive settlement agreement between the Company and SRS (the “Settlement Agreement”) and the Company and SRS jointly filed a Stipulation of Dismissal with prejudice relating to the Litigation on July 19, 2022.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terms of the Settlement Agreement, all milestone payments provided for by the Merger Agreement were replaced in their entirety with the following payments, each of which is payable only once:</w:t>
      </w:r>
    </w:p>
    <w:p>
      <w:pPr>
        <w:pStyle w:val="TextBody"/>
        <w:bidi w:val="0"/>
        <w:spacing w:before="0" w:after="0"/>
        <w:ind w:left="0" w:right="0" w:firstLine="720"/>
        <w:jc w:val="left"/>
        <w:rPr/>
      </w:pPr>
      <w:r>
        <w:rPr/>
        <w:t>​</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p>
      <w:pPr>
        <w:pStyle w:val="TextBody"/>
        <w:bidi w:val="0"/>
        <w:spacing w:before="0" w:after="0"/>
        <w:ind w:left="72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$12.5</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Settlement Agreement) of a Phase 2 Clinical Trial (as defined in the Merger Agreement) of barzolvolimab.</w:t>
            </w:r>
          </w:p>
        </w:tc>
      </w:tr>
    </w:tbl>
    <w:tbl>
      <w:tblPr>
        <w:tblW w:w="10205" w:type="dxa"/>
        <w:jc w:val="left"/>
        <w:tblInd w:w="0" w:type="dxa"/>
        <w:tblLayout w:type="fixed"/>
        <w:tblCellMar>
          <w:top w:w="28" w:type="dxa"/>
          <w:left w:w="28" w:type="dxa"/>
          <w:bottom w:w="28" w:type="dxa"/>
          <w:right w:w="28" w:type="dxa"/>
        </w:tblCellMar>
      </w:tblPr>
      <w:tblGrid>
        <w:gridCol w:w="124"/>
        <w:gridCol w:w="370"/>
        <w:gridCol w:w="9711"/>
      </w:tblGrid>
      <w:tr>
        <w:trPr/>
        <w:tc>
          <w:tcPr>
            <w:tcW w:w="124" w:type="dxa"/>
            <w:tcBorders/>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in the Settlement Agreement).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paid the Initial Payment in cash in July 2022. The Company paid the second milestone for “successful completion” of a Phase 2 Clinical Trial of barzolvolimab in cash in November 2023.</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3). When and if the remaining payment described above becomes due, it shall be payable, at the Company’s sole election, in either cash or stock (as set forth in the Merger Agreement) or a combination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2" w:name="Item2ManagementsDiscussionandAnalysisofF"/>
      <w:bookmarkStart w:id="703" w:name="_2d5ce1bb_11b5_402c_a7f4_45096cfbeb21"/>
      <w:bookmarkEnd w:id="702"/>
      <w:bookmarkEnd w:id="703"/>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development stages;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the regulatory approval milestone under the merger agreement by which we acquired Kolltan and our related settlement agreement with Kolltan;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2023 and other reports that we file with the SEC</w:t>
            </w:r>
            <w:r>
              <w:rPr>
                <w:rFonts w:ascii="Times New Roman;Times;serif" w:hAnsi="Times New Roman;Times;serif"/>
                <w:b w:val="false"/>
                <w:i/>
                <w:sz w:val="20"/>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Urticarias: We initiated Phase 3 studies in chronic spontaneous urticaria (CSU) in July 2024. In November 2023, we announced that our Phase 2 study in CSU achieved the primary efficacy endpoint (statistically significant mean change from baseline to week 12 of urticaria activity score compared to placebo) and was well tolerated. The study is ongoing and patients will continue to receive barzolvolimab for 52 weeks of treatment.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The study is ongoing and patients will continue to receive barzolvolimab for 20 weeks of treatment. We plan to report topline 52 week data from the CSU study and full 12 week primary endpoint data from the CIndU study in the second half of 2024;</w:t>
            </w:r>
          </w:p>
        </w:tc>
      </w:tr>
    </w:tbl>
    <w:p>
      <w:pPr>
        <w:pStyle w:val="TextBody"/>
        <w:bidi w:val="0"/>
        <w:spacing w:lineRule="auto" w:line="304"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April 2024, we initiated a Phase 2 study in PN and enrollment is ongoing; positive data from a Phase 1b study in PN was reported in November 2023;</w:t>
            </w:r>
          </w:p>
        </w:tc>
      </w:tr>
    </w:tbl>
    <w:p>
      <w:pPr>
        <w:pStyle w:val="TextBody"/>
        <w:bidi w:val="0"/>
        <w:spacing w:before="0" w:after="0"/>
        <w:ind w:left="0" w:right="0" w:hanging="0"/>
        <w:jc w:val="left"/>
        <w:rPr/>
      </w:pPr>
      <w:r>
        <w:rPr/>
        <w:t>​</w:t>
      </w:r>
    </w:p>
    <w:tbl>
      <w:tblPr>
        <w:tblW w:w="9771" w:type="dxa"/>
        <w:jc w:val="left"/>
        <w:tblInd w:w="0" w:type="dxa"/>
        <w:tblLayout w:type="fixed"/>
        <w:tblCellMar>
          <w:top w:w="28" w:type="dxa"/>
          <w:left w:w="28" w:type="dxa"/>
          <w:bottom w:w="28" w:type="dxa"/>
          <w:right w:w="28" w:type="dxa"/>
        </w:tblCellMar>
      </w:tblPr>
      <w:tblGrid>
        <w:gridCol w:w="124"/>
        <w:gridCol w:w="16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Eosinophilic Esophagitis (EoE): A Phase 2 study in EoE was initiated in June 2023 and enrollment is ongoing;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(AD): Atopic dermatitis has been selected as the next indication for the study of barzolvolimab. We are currently planning the design of a Phase 2 study in this indication, including in patients who received prior biologics, and plan to initiate this study by year end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More detail on these programs is provided in the Clinical Development Programs section.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pStyle w:val="TextBody"/>
        <w:bidi w:val="0"/>
        <w:spacing w:before="0" w:after="0"/>
        <w:ind w:left="0" w:right="0" w:hanging="0"/>
        <w:jc w:val="left"/>
        <w:rPr/>
      </w:pPr>
      <w:r>
        <w:rPr/>
        <w:t>​</w:t>
      </w:r>
    </w:p>
    <w:tbl>
      <w:tblPr>
        <w:tblW w:w="2533" w:type="dxa"/>
        <w:jc w:val="left"/>
        <w:tblInd w:w="0" w:type="dxa"/>
        <w:tblLayout w:type="fixed"/>
        <w:tblCellMar>
          <w:top w:w="0" w:type="dxa"/>
          <w:left w:w="0" w:type="dxa"/>
          <w:bottom w:w="0" w:type="dxa"/>
          <w:right w:w="0" w:type="dxa"/>
        </w:tblCellMar>
      </w:tblPr>
      <w:tblGrid>
        <w:gridCol w:w="1141"/>
        <w:gridCol w:w="326"/>
        <w:gridCol w:w="106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24535" cy="175260"/>
                      <wp:effectExtent l="0" t="0" r="0" b="0"/>
                      <wp:wrapNone/>
                      <wp:docPr id="154" name="Frame15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76910" cy="175260"/>
                      <wp:effectExtent l="0" t="0" r="0" b="0"/>
                      <wp:wrapNone/>
                      <wp:docPr id="156" name="Frame15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2</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past five years through December 31, 2023, we incurred an aggregate of $338.8 million in research and development expenses. The following table indicates the amount incurred for each of our significant research programs and for other identified research and development activities during the six months ended June 30, 2024 and 2023. The amounts disclosed in the following table reflect direct research and development costs, license fees associated with the underlying technology and an allocation of indirect research and development costs to each program.</w:t>
      </w:r>
    </w:p>
    <w:p>
      <w:pPr>
        <w:pStyle w:val="TextBody"/>
        <w:bidi w:val="0"/>
        <w:spacing w:before="0" w:after="0"/>
        <w:ind w:left="0" w:right="0" w:hanging="0"/>
        <w:jc w:val="left"/>
        <w:rPr/>
      </w:pPr>
      <w:r>
        <w:rPr/>
        <w:t>​</w:t>
      </w:r>
    </w:p>
    <w:tbl>
      <w:tblPr>
        <w:tblW w:w="5800" w:type="dxa"/>
        <w:jc w:val="left"/>
        <w:tblInd w:w="0" w:type="dxa"/>
        <w:tblLayout w:type="fixed"/>
        <w:tblCellMar>
          <w:top w:w="0" w:type="dxa"/>
          <w:left w:w="0" w:type="dxa"/>
          <w:bottom w:w="0" w:type="dxa"/>
          <w:right w:w="0" w:type="dxa"/>
        </w:tblCellMar>
      </w:tblPr>
      <w:tblGrid>
        <w:gridCol w:w="2851"/>
        <w:gridCol w:w="326"/>
        <w:gridCol w:w="267"/>
        <w:gridCol w:w="859"/>
        <w:gridCol w:w="326"/>
        <w:gridCol w:w="249"/>
        <w:gridCol w:w="922"/>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10385" cy="175260"/>
                      <wp:effectExtent l="0" t="0" r="0" b="0"/>
                      <wp:wrapNone/>
                      <wp:docPr id="157" name="Frame15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9545" cy="175260"/>
                      <wp:effectExtent l="0" t="0" r="0" b="0"/>
                      <wp:wrapNone/>
                      <wp:docPr id="159" name="Frame15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45465" cy="175260"/>
                      <wp:effectExtent l="0" t="0" r="0" b="0"/>
                      <wp:wrapNone/>
                      <wp:docPr id="160" name="Frame160"/>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8115" cy="175260"/>
                      <wp:effectExtent l="0" t="0" r="0" b="0"/>
                      <wp:wrapNone/>
                      <wp:docPr id="162" name="Frame1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85470" cy="175260"/>
                      <wp:effectExtent l="0" t="0" r="0" b="0"/>
                      <wp:wrapNone/>
                      <wp:docPr id="163" name="Frame16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58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54,250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34,841</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585</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622</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6,487</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53,049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Barzolvolimab was initially studied in chronic spontaneous urticaria (CSU) and chronic inducible urticaria (CIndU), diseases where mast cell degranulation plays a central role in the onset and progression of the disease. In July 2024, we initiated two Phase 3 studies in CSU. Phase 1 studies in CSU and CIndU were successfully completed and Phase 2 studies are ongoing.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In April 2024, we announced enrollment was complete in the ongoing Phase 2 CIndU study. In July 2024, we reported that barzolvolimab achieved the primary efficacy endpoint in this study with a statistically significant difference between the percent of patients with a negative provocation test compared to placebo at week 12 and was well tolerated. We plan to report topline 52 week data from the CSU study and full 12 week primary endpoint data from the CIndU study in the second half of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positive results reported in urticaria, we expanded development of barzolvolimab into additional indications where mast cells are believed to play an important role. We are conducting an ongoing Phase 2 study in eosinophilic esophagitis (EoE) and initiated a Phase 2 study in prurigo nodularis (PN) in April 2024 after reporting positive data from a Phase 1b study in PN in late 2023. We have selected atopic dermatitis as the next indication for the study of barzolvolimab and are currently planning the design of a Phase 2 study in this indication, including in patients who received prior biologics, and plan to initiate this study by year end 2024. We continue to assess potential opportunities for barzolvolimab in other diseases where mast cells play an important role, such as dermatologic, respiratory, allergic, gastrointestinal and ophthalmic conditions.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Chronic Spontaneous Urticaria (CSU)</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reduction from baseline in weekly urticaria activity score (UAS7) at week 12 was 67% in the 1.5 mg/kg dose group (n=8), 67% in the 3.0 mg/kg dose group (n=9) and 82% in the 4.5 mg/kg dose group (n=9). Mean reduction from baseline in UAS7 at week 24 was 80% in the 1.5 mg/kg dose group (n=7), 70% in the 3.0 mg/kg dose group (n=6) and 77% in the 4.5 mg/kg dose group (n=7).</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response (UAS7=0) at week 12 was 57% in the 1.5 mg/kg dose group, 44% in the 3.0 mg/kg dose group and 67% in the 4.5 mg/kg dose group. Complete response (UAS7=0) at week 24 was 57% in the 1.5 mg/kg dose group, 67% in the 3.0 mg/kg dose group and 43% in the 4.5 mg/kg dose group.</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Well-controlled disease (UCT≥ 12) at week 12 was 75% in the 1.5 mg/kg dose group, 63% in the 3.0 mg/kg dose group and 89% in the 4.5 mg/kg dose group. Well-controlled disease (UCT≥ 12) at week 24 was 75% in the 1.5 mg/kg dose group, 67% in the 3.0 mg/kg dose group and 67% in the 4.5 mg/kg dose group.</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post-treatment follow up, 71% (10 of 14) of patients who had been treated with doses greater than or equal to 1.5 mg/kg and had a complete response (UAS7=0) at week 12, remained urticaria free at week 24 (patients received last dose of barzolvolimab at week 8).</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Profound and durable improvement in angioedema symptoms as measured through the weekly angioedema activity score (AAS7) was achieved across all dose levels evaluated with sustained activity observed with the 1.5 mg/kg and greater dose levels.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suppression, indicative of mast cell depletion, paralleled symptom improvement, demonstrating the impact of mast cell depletion on CSU disease activity.</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tc>
      </w:tr>
    </w:tbl>
    <w:p>
      <w:pPr>
        <w:pStyle w:val="TextBody"/>
        <w:bidi w:val="0"/>
        <w:spacing w:before="0" w:after="0"/>
        <w:ind w:left="108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pStyle w:val="TextBody"/>
        <w:bidi w:val="0"/>
        <w:spacing w:before="0" w:after="0"/>
        <w:ind w:left="108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2022, we initiated dosing in a Phase 2 study in patients with CSU who remained symptomatic despite antihistamine therapy; in July 2023, we announced that enrollment was complete.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208 patients have been randomly assigned on a 1:1:1:1 ratio to receive subcutaneous injections of barzolvolimab at 75 mg every 4 weeks, 150 mg every 4 weeks, 300 mg every 8 weeks or placebo during a 16-week placebo-controlled treatment phase. After 16 weeks, patients then enter a 36-week active treatment period, in which patients receiving placebo or the 75 mg dose are randomized to receive barzolvolimab 150 mg every 4 weeks or 300 mg every 8 weeks; patients already randomized to the 150 mg and 300 mg treatment arms remain on the same regimen as during the placebo-controlled treatment period. After 52 weeks, patients then enter a follow-up period for an additional 24 weeks. The primary endpoint of the study is mean change in baseline to week 12 in UAS7 (weekly urticaria activity score). Secondary endpoints include safety and other assessments of clinical activity including ISS7 (weekly itch severity score), HSS7 (weekly hive severity score) and AAS7 (weekly angioedema activity score).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5008"/>
        <w:gridCol w:w="1494"/>
        <w:gridCol w:w="1452"/>
        <w:gridCol w:w="1452"/>
        <w:gridCol w:w="799"/>
      </w:tblGrid>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Summary of Clinical Activity Assessments at Week 12</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 mg Q8W</w:t>
              <w:br/>
              <w:t>(n=51)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 mg Q4W</w:t>
              <w:br/>
              <w:t>(n=52)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 mg Q4W</w:t>
              <w:br/>
              <w:t>(n=53)</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Placebo</w:t>
              <w:br/>
              <w:t>(n=51)</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UAS7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UAS7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31.33</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30.30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30.09</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-23.87</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-23.02</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-17.06</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-13.41</w:t>
              <w:br/>
              <w:t>(CI: -17.47, -9.34)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-12.55</w:t>
              <w:br/>
              <w:t>(CI:-16.56, -8.55)</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-6.60</w:t>
              <w:br/>
              <w:t>(CI:-10.71, -2.49)</w:t>
              <w:br/>
              <w:t>p=0.0017</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HSS7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HSS7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14.92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14.86</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14.47</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-4.95</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-7.24</w:t>
              <w:br/>
              <w:t>(CI:-9.36, -5.12)</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-6.24</w:t>
              <w:br/>
              <w:t>(CI:-8.33, -4.16),</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-3.31</w:t>
              <w:br/>
              <w:t>(CI:-5.40, -1.22),</w:t>
              <w:br/>
              <w:t>p=0.0020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ISS7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ISS7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16.42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15.70</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15.44</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15.61</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-8.62</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-6.32</w:t>
              <w:br/>
              <w:t>(CI: -8.50, -4.13),</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-6.21</w:t>
              <w:br/>
              <w:t>(CI: -8.38, -4.04),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-3.16</w:t>
              <w:br/>
              <w:t>(CI: -5.41, -0.91),</w:t>
              <w:br/>
              <w:t>p=0.0061</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Responder Analyses/Clinical Responses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62.5%</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59.6%</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UAS7, HSS7 and ISS7 data were analyzed using ANCOVA model and multiple imputation.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2024,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Patients on study will continue to receive barzolvolimab for 52 weeks and we plan to report 52 week data in the second half of 2024. We believe these results strongly support the further development of barzolvolimab in CSU.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Enrollment is ongoing.</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Rapid (as early as 1 week) and durable responses were observed in patients as assessed by provocation testing.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in Allergy (Nov 2022) and across multiple medical meetings, including the GA²LEN Global Urticaria Forum (GUF) in December and the European Academy of Allergy and Clinical Immunology (EAACI) Annual Congress in June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July 2022, we announced that the first patient had been dosed in a Phase 2 study in patients with CIndU who remain symptomatic despite antihistamine therapy; in April 2024, we announced that enrollment was complete.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Secondary endpoints include safety and other assessments of clinical activity including CTT (Critical Temperature Threshold), CFT (Critical Friction Threshold) and WI-NRS (Worst itch numeric rating scale). Topline primary endpoint data from this study were reported in July 2024 and showed that barzolvolimab achieved the primary efficacy endpoint, a statistically significant difference between the percent of patients with a negative provocation test compared to placebo at week 12 as assessed by the TempTest® in ColdU and the FricTest® in SD. Importantly, barzolvolimab demonstrated rapid, durable and clinically meaningful responses in patients with CIndU refractory to antihistamines. Demographics and baseline disease characteristics were well balanced across treatment groups.</w:t>
      </w:r>
    </w:p>
    <w:p>
      <w:pPr>
        <w:pStyle w:val="TextBody"/>
        <w:bidi w:val="0"/>
        <w:spacing w:before="0" w:after="0"/>
        <w:ind w:left="0" w:right="0" w:hanging="0"/>
        <w:jc w:val="left"/>
        <w:rPr/>
      </w:pPr>
      <w:r>
        <w:rPr/>
        <w:t>​</w:t>
      </w:r>
    </w:p>
    <w:tbl>
      <w:tblPr>
        <w:tblW w:w="7965" w:type="dxa"/>
        <w:jc w:val="left"/>
        <w:tblInd w:w="0" w:type="dxa"/>
        <w:tblLayout w:type="fixed"/>
        <w:tblCellMar>
          <w:top w:w="28" w:type="dxa"/>
          <w:left w:w="28" w:type="dxa"/>
          <w:bottom w:w="28" w:type="dxa"/>
          <w:right w:w="28" w:type="dxa"/>
        </w:tblCellMar>
      </w:tblPr>
      <w:tblGrid>
        <w:gridCol w:w="2401"/>
        <w:gridCol w:w="886"/>
        <w:gridCol w:w="886"/>
        <w:gridCol w:w="751"/>
        <w:gridCol w:w="326"/>
        <w:gridCol w:w="937"/>
        <w:gridCol w:w="937"/>
        <w:gridCol w:w="841"/>
      </w:tblGrid>
      <w:tr>
        <w:trPr/>
        <w:tc>
          <w:tcPr>
            <w:tcW w:w="7965"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Summary of Clinical Assessments at Week 12</w:t>
            </w:r>
          </w:p>
        </w:tc>
      </w:tr>
      <w:tr>
        <w:trPr/>
        <w:tc>
          <w:tcPr>
            <w:tcW w:w="24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52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Cold Urticaria</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    </w:t>
            </w:r>
          </w:p>
        </w:tc>
        <w:tc>
          <w:tcPr>
            <w:tcW w:w="2715"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Symptomatic Dermographism</w:t>
            </w:r>
          </w:p>
        </w:tc>
      </w:tr>
      <w:tr>
        <w:trPr/>
        <w:tc>
          <w:tcPr>
            <w:tcW w:w="240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pPr>
            <w:r>
              <w:rPr/>
              <w:t>​</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(n=32)</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(n=32)</w:t>
            </w:r>
          </w:p>
        </w:tc>
        <w:tc>
          <w:tcPr>
            <w:tcW w:w="32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37"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(n=33)</w:t>
            </w:r>
          </w:p>
        </w:tc>
        <w:tc>
          <w:tcPr>
            <w:tcW w:w="937"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(n=33)</w:t>
            </w:r>
          </w:p>
        </w:tc>
        <w:tc>
          <w:tcPr>
            <w:tcW w:w="8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(n=31)</w:t>
            </w:r>
          </w:p>
        </w:tc>
      </w:tr>
      <w:tr>
        <w:trPr/>
        <w:tc>
          <w:tcPr>
            <w:tcW w:w="24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 negative</w:t>
              <w:br/>
              <w:t>provocation test at Week 12</w:t>
              <w:br/>
              <w:t>(complete response)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Calibri;Helvetica;sans-serif" w:hAnsi="Calibri;Helvetica;sans-serif"/>
                <w:sz w:val="22"/>
              </w:rPr>
            </w:pPr>
            <w:r>
              <w:rPr>
                <w:rFonts w:ascii="Times New Roman;Times;serif" w:hAnsi="Times New Roman;Times;serif"/>
                <w:sz w:val="20"/>
              </w:rPr>
              <w:t>46.9%</w:t>
              <w:br/>
            </w:r>
            <w:r>
              <w:rPr>
                <w:rFonts w:ascii="Times New Roman;Times;serif" w:hAnsi="Times New Roman;Times;serif"/>
                <w:b/>
                <w:sz w:val="20"/>
              </w:rPr>
              <w:t>p=0.0023</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Calibri;Helvetica;sans-serif" w:hAnsi="Calibri;Helvetica;sans-serif"/>
                <w:sz w:val="22"/>
              </w:rPr>
            </w:pPr>
            <w:r>
              <w:rPr>
                <w:rFonts w:ascii="Times New Roman;Times;serif" w:hAnsi="Times New Roman;Times;serif"/>
                <w:sz w:val="20"/>
              </w:rPr>
              <w:t>53.1%</w:t>
              <w:br/>
            </w:r>
            <w:r>
              <w:rPr>
                <w:rFonts w:ascii="Times New Roman;Times;serif" w:hAnsi="Times New Roman;Times;serif"/>
                <w:b/>
                <w:sz w:val="20"/>
              </w:rPr>
              <w:t>p=0.0011</w:t>
            </w:r>
          </w:p>
        </w:tc>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w:t>
            </w:r>
          </w:p>
        </w:tc>
        <w:tc>
          <w:tcPr>
            <w:tcW w:w="32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9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Calibri;Helvetica;sans-serif" w:hAnsi="Calibri;Helvetica;sans-serif"/>
                <w:sz w:val="22"/>
              </w:rPr>
            </w:pPr>
            <w:r>
              <w:rPr>
                <w:rFonts w:ascii="Times New Roman;Times;serif" w:hAnsi="Times New Roman;Times;serif"/>
                <w:sz w:val="20"/>
              </w:rPr>
              <w:t>57.6%</w:t>
              <w:br/>
            </w:r>
            <w:r>
              <w:rPr>
                <w:rFonts w:ascii="Times New Roman;Times;serif" w:hAnsi="Times New Roman;Times;serif"/>
                <w:b/>
                <w:sz w:val="20"/>
              </w:rPr>
              <w:t>p&lt;0.0001</w:t>
            </w:r>
          </w:p>
        </w:tc>
        <w:tc>
          <w:tcPr>
            <w:tcW w:w="9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Calibri;Helvetica;sans-serif" w:hAnsi="Calibri;Helvetica;sans-serif"/>
                <w:sz w:val="22"/>
              </w:rPr>
            </w:pPr>
            <w:r>
              <w:rPr>
                <w:rFonts w:ascii="Times New Roman;Times;serif" w:hAnsi="Times New Roman;Times;serif"/>
                <w:sz w:val="20"/>
              </w:rPr>
              <w:t>42.4%</w:t>
              <w:br/>
            </w:r>
            <w:r>
              <w:rPr>
                <w:rFonts w:ascii="Times New Roman;Times;serif" w:hAnsi="Times New Roman;Times;serif"/>
                <w:b/>
                <w:sz w:val="20"/>
              </w:rPr>
              <w:t>p=0.0003</w:t>
            </w:r>
          </w:p>
        </w:tc>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Barzolvolimab was well tolerated with a favorable safety profile consistent with prior studies. Most adverse events were mild to moderate in severity; through 12 weeks, the most common treatment emergent adverse events in barzolvolimab treated patients were hair color changes (13%) and neutropenia (11%). The rate of infections was similar between barzolvolimab-treated patients and placebo with no association between neutropenia and infections.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on study will continue to receive barzolvolimab for 20 weeks and we plan to report full 12 week primary endpoint data from this study in the fourth quarter of 2024. We believe these results strongly support the further development of barzolvolimab in CIndU and plan to advance CIndU into Phase 3 registrational development.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single IV dose of 3.0 mg/kg barzolvolimab resulted in rapid and durable reductions in itch and healing of skin lesions in patients with moderate to severe PN and that barzolvolimab was generally well tolerated.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six which was distinct from both the 1.5 mg/kg barzolvolimab and placebo arms.</w:t>
            </w:r>
          </w:p>
        </w:tc>
      </w:tr>
    </w:tbl>
    <w:tbl>
      <w:tblPr>
        <w:tblW w:w="6774" w:type="dxa"/>
        <w:jc w:val="left"/>
        <w:tblInd w:w="0" w:type="dxa"/>
        <w:tblLayout w:type="fixed"/>
        <w:tblCellMar>
          <w:top w:w="28" w:type="dxa"/>
          <w:left w:w="28" w:type="dxa"/>
          <w:bottom w:w="28" w:type="dxa"/>
          <w:right w:w="28" w:type="dxa"/>
        </w:tblCellMar>
      </w:tblPr>
      <w:tblGrid>
        <w:gridCol w:w="961"/>
        <w:gridCol w:w="721"/>
        <w:gridCol w:w="721"/>
        <w:gridCol w:w="721"/>
        <w:gridCol w:w="721"/>
        <w:gridCol w:w="721"/>
        <w:gridCol w:w="721"/>
        <w:gridCol w:w="721"/>
        <w:gridCol w:w="766"/>
      </w:tblGrid>
      <w:tr>
        <w:trPr/>
        <w:tc>
          <w:tcPr>
            <w:tcW w:w="6774" w:type="dxa"/>
            <w:gridSpan w:val="9"/>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≥4-point decrease in WI-NRS</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3</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5</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6</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71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tc>
      </w:tr>
    </w:tbl>
    <w:tbl>
      <w:tblPr>
        <w:tblW w:w="3980" w:type="dxa"/>
        <w:jc w:val="left"/>
        <w:tblInd w:w="0" w:type="dxa"/>
        <w:tblLayout w:type="fixed"/>
        <w:tblCellMar>
          <w:top w:w="28" w:type="dxa"/>
          <w:left w:w="28" w:type="dxa"/>
          <w:bottom w:w="28" w:type="dxa"/>
          <w:right w:w="28" w:type="dxa"/>
        </w:tblCellMar>
      </w:tblPr>
      <w:tblGrid>
        <w:gridCol w:w="961"/>
        <w:gridCol w:w="811"/>
        <w:gridCol w:w="721"/>
        <w:gridCol w:w="721"/>
        <w:gridCol w:w="766"/>
      </w:tblGrid>
      <w:tr>
        <w:trPr/>
        <w:tc>
          <w:tcPr>
            <w:tcW w:w="3980"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IGA 0/1</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0</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noBreakHyphen/>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 Enrollment is ongoing.</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Enrollment is ongoing.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2023, we completed the transfer of our current barzolvolimab manufacturing process to a CMO and successfully scaled up the drug substance manufacturing process to produce larger cGMP batches in support of late-stage trials and to prepare for potential commercialization. Drug product manufacturing into 1 mL pre-filled syringes has been completed in support of Phase 3 trials. We are in the process of scaling up our drug product manufacturing. We believe that barzolvolimab can be scaled up to permit drug product manufacturing in commercial quantities.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CDX-585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CDX-585 combines our proprietary highly active PD-1 blockade and anti-ILT4 blockade to overcome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Times New Roman;Times;serif" w:hAnsi="Times New Roman;Times;serif"/>
          <w:i/>
          <w:sz w:val="20"/>
        </w:rPr>
        <w:t>in vivo</w:t>
      </w:r>
      <w:r>
        <w:rPr>
          <w:rFonts w:ascii="Times New Roman;Times;serif" w:hAnsi="Times New Roman;Times;serif"/>
          <w:sz w:val="20"/>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late May 2023, we announced that the first patient had been dosed in the Phase 1 study of CDX-585. This open-label, multi-center, intravenous study of CDX-585 is being evaluated in patients with advanced or metastatic solid tumors that have progressed during or after standard of care therapy. The dose-escalation phase of the study (n=~30 patients) is designed to determine a maximum tolerated dose (MTD) and to select CDX-585 dose(s) for future evaluation in tumor specific expansion cohorts. In the first phase, increasing doses of CDX-585 will be administered intravenously (0.03 mg/kg up to 10.0 mg/kg) every 2 weeks until confirmed disease progression, intolerance, or for a maximum of 2 years. In the second phase, potential expansion cohorts will evaluate the safety, tolerability and biologic effects, including anti-tumor activity, of selected dose level(s) of CDX-585 in specific tumor types. Enrollment is ongoing.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CDX-622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In preclinical studies, CDX-622 inhibits TSLP and SCF with similar potency to both its respective parental mAbs and comparator mAbs </w:t>
      </w:r>
      <w:r>
        <w:rPr>
          <w:rFonts w:ascii="Times New Roman;Times;serif" w:hAnsi="Times New Roman;Times;serif"/>
          <w:i/>
          <w:sz w:val="20"/>
        </w:rPr>
        <w:t>in vitro</w:t>
      </w:r>
      <w:r>
        <w:rPr>
          <w:rFonts w:ascii="Times New Roman;Times;serif" w:hAnsi="Times New Roman;Times;serif"/>
          <w:sz w:val="20"/>
        </w:rPr>
        <w:t>. CDX-622 was well tolerated in a multi-dose 8 week toxicology study in non-human primates. The No Adverse Event Level (NOAEL) was established to be 75 mg/kg, the highest dose tested. We have completed manufacturing and IND-enabling activities and plan to initiate a Phase 1 study of CDX-622 in healthy volunteers by the end of 2024.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2023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2024 Compared with Three Months Ended June 30, 2023</w:t>
      </w:r>
    </w:p>
    <w:p>
      <w:pPr>
        <w:pStyle w:val="TextBody"/>
        <w:bidi w:val="0"/>
        <w:spacing w:before="0" w:after="0"/>
        <w:ind w:left="0" w:right="0" w:hanging="0"/>
        <w:jc w:val="left"/>
        <w:rPr/>
      </w:pPr>
      <w:r>
        <w:rPr/>
        <w:t>​</w:t>
      </w:r>
    </w:p>
    <w:tbl>
      <w:tblPr>
        <w:tblW w:w="9353" w:type="dxa"/>
        <w:jc w:val="left"/>
        <w:tblInd w:w="0" w:type="dxa"/>
        <w:tblLayout w:type="fixed"/>
        <w:tblCellMar>
          <w:top w:w="0" w:type="dxa"/>
          <w:left w:w="0" w:type="dxa"/>
          <w:bottom w:w="0" w:type="dxa"/>
          <w:right w:w="0" w:type="dxa"/>
        </w:tblCellMar>
      </w:tblPr>
      <w:tblGrid>
        <w:gridCol w:w="3961"/>
        <w:gridCol w:w="326"/>
        <w:gridCol w:w="211"/>
        <w:gridCol w:w="796"/>
        <w:gridCol w:w="326"/>
        <w:gridCol w:w="211"/>
        <w:gridCol w:w="796"/>
        <w:gridCol w:w="326"/>
        <w:gridCol w:w="211"/>
        <w:gridCol w:w="676"/>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515235" cy="175260"/>
                      <wp:effectExtent l="0" t="0" r="0" b="0"/>
                      <wp:wrapNone/>
                      <wp:docPr id="164" name="Frame164"/>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05460" cy="175260"/>
                      <wp:effectExtent l="0" t="0" r="0" b="0"/>
                      <wp:wrapNone/>
                      <wp:docPr id="167" name="Frame1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5460" cy="175260"/>
                      <wp:effectExtent l="0" t="0" r="0" b="0"/>
                      <wp:wrapNone/>
                      <wp:docPr id="170" name="Frame1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53085" cy="175260"/>
                      <wp:effectExtent l="0" t="0" r="0" b="0"/>
                      <wp:wrapNone/>
                      <wp:docPr id="175" name="Frame17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0660" cy="175260"/>
                      <wp:effectExtent l="0" t="0" r="0" b="0"/>
                      <wp:wrapNone/>
                      <wp:docPr id="176" name="Frame1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35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75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13,435</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$5.3 million increase in net loss for the three months ended June 30, 2024, as compared to the three months ended June 30, 2023, was primarily due to an increase in research and development expenses, partially offset by an increase in investment and other income,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three months ended June 30, 2024 was relatively consistent with the three months ended June 30, 2023. The $2.2 million increase in contracts and grants revenue for the three months ended June 30, 2024, as compared to the three months ended June 30, 2023, was primarily due to an increase in revenue from our contract manufacturing and research and development agreements with Rockefeller University. We expect revenue to decrease over the next twelve months primarily due to a decrease in services expected to be performed under our contract manufacturing and research and development agreements with Rockefeller University.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hanging="0"/>
        <w:jc w:val="left"/>
        <w:rPr/>
      </w:pPr>
      <w:r>
        <w:rPr/>
        <w:t>​</w:t>
      </w:r>
    </w:p>
    <w:tbl>
      <w:tblPr>
        <w:tblW w:w="6458"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676"/>
        <w:gridCol w:w="326"/>
        <w:gridCol w:w="211"/>
        <w:gridCol w:w="676"/>
        <w:gridCol w:w="326"/>
        <w:gridCol w:w="31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181735" cy="175260"/>
                      <wp:effectExtent l="0" t="0" r="0" b="0"/>
                      <wp:wrapNone/>
                      <wp:docPr id="177" name="Frame17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 cy="175260"/>
                      <wp:effectExtent l="0" t="0" r="0" b="0"/>
                      <wp:wrapNone/>
                      <wp:docPr id="180"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0660" cy="175260"/>
                      <wp:effectExtent l="0" t="0" r="0" b="0"/>
                      <wp:wrapNone/>
                      <wp:docPr id="188" name="Frame18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0660" cy="175260"/>
                      <wp:effectExtent l="0" t="0" r="0" b="0"/>
                      <wp:wrapNone/>
                      <wp:docPr id="189" name="Frame1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52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5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4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374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10,071</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$2.9 million increase in personnel expenses for the three months ended June 30, 2024, as compared to the three months ended June 30, 2023, was primarily due to higher stock-based compensation expense and an increase in employee headcount. We expect personnel expenses to increase over the next twelve months as a result of additional headcount to support the expanded development of barzolvolimab.</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Laboratory supply expenses for the three months ended June 30, 2024 were relatively consistent with the three months ended June 30, 2023. We expect laboratory supplies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three months ended June 30, 2024 were relatively consistent with the three months ended June 30, 2023. We expect facility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$10.1 million increase in product development expenses for the three months ended June 30, 2024, as compared to the three months ended June 30, 2023, was primarily due to an increase in barzolvolimab clinical trial expenses. We expect product development expenses to increase over the next twelve months as a result of the expanded development of barzolvolimab,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$1.9 million increase in general and administrative expenses for the three months ended June 30, 2024, as compared to the three months ended June 30, 2023, was primarily due to higher stock-based compensation and barzolvolimab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$7.8 million increase in investment and other income, net for the three months ended June 30, 2024, as compared to the three months ended June 30, 2023, was primarily due to higher levels of cash as a result of our November 2023 and March 2024 underwritten public offerings. We expect investment and other income to remain relatively consistent over the next twelve months, although there may be fluctuations on a quarterly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2024 Compared with Six Months Ended June 30, 2023</w:t>
      </w:r>
    </w:p>
    <w:p>
      <w:pPr>
        <w:pStyle w:val="TextBody"/>
        <w:bidi w:val="0"/>
        <w:spacing w:before="0" w:after="0"/>
        <w:ind w:left="0" w:right="0" w:hanging="0"/>
        <w:jc w:val="left"/>
        <w:rPr/>
      </w:pPr>
      <w:r>
        <w:rPr/>
        <w:t>​</w:t>
      </w:r>
    </w:p>
    <w:tbl>
      <w:tblPr>
        <w:tblW w:w="9136" w:type="dxa"/>
        <w:jc w:val="left"/>
        <w:tblInd w:w="0" w:type="dxa"/>
        <w:tblLayout w:type="fixed"/>
        <w:tblCellMar>
          <w:top w:w="0" w:type="dxa"/>
          <w:left w:w="0" w:type="dxa"/>
          <w:bottom w:w="0" w:type="dxa"/>
          <w:right w:w="0" w:type="dxa"/>
        </w:tblCellMar>
      </w:tblPr>
      <w:tblGrid>
        <w:gridCol w:w="3961"/>
        <w:gridCol w:w="326"/>
        <w:gridCol w:w="211"/>
        <w:gridCol w:w="796"/>
        <w:gridCol w:w="326"/>
        <w:gridCol w:w="211"/>
        <w:gridCol w:w="796"/>
        <w:gridCol w:w="326"/>
        <w:gridCol w:w="211"/>
        <w:gridCol w:w="676"/>
        <w:gridCol w:w="109"/>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515235" cy="175260"/>
                      <wp:effectExtent l="0" t="0" r="0" b="0"/>
                      <wp:wrapNone/>
                      <wp:docPr id="190" name="Frame19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5460" cy="175260"/>
                      <wp:effectExtent l="0" t="0" r="0" b="0"/>
                      <wp:wrapNone/>
                      <wp:docPr id="193" name="Frame1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5460" cy="175260"/>
                      <wp:effectExtent l="0" t="0" r="0" b="0"/>
                      <wp:wrapNone/>
                      <wp:docPr id="196" name="Frame1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260" cy="175260"/>
                      <wp:effectExtent l="0" t="0" r="0" b="0"/>
                      <wp:wrapNone/>
                      <wp:docPr id="199" name="Frame1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53085" cy="175260"/>
                      <wp:effectExtent l="0" t="0" r="0" b="0"/>
                      <wp:wrapNone/>
                      <wp:docPr id="201" name="Frame20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0660" cy="175260"/>
                      <wp:effectExtent l="0" t="0" r="0" b="0"/>
                      <wp:wrapNone/>
                      <wp:docPr id="202" name="Frame2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109"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109"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913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33"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109"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18,299</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4,370</w:t>
            </w:r>
          </w:p>
        </w:tc>
        <w:tc>
          <w:tcPr>
            <w:tcW w:w="109"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22,669</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21,249</w:t>
            </w:r>
          </w:p>
        </w:tc>
        <w:tc>
          <w:tcPr>
            <w:tcW w:w="109"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12,462</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8,787</w:t>
            </w:r>
          </w:p>
        </w:tc>
        <w:tc>
          <w:tcPr>
            <w:tcW w:w="109"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$8.8 million increase in net loss for the six months ended June 30, 2024, as compared to the six months ended June 30, 2023, was primarily due to increases in research and development and general and administrative expenses, partially offset by an increase in investment and other income, net.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development and licensing agreements for the six months ended June 30, 2024 was relatively consistent with the six months ended June 30, 2023. The $1.4 million increase in contracts and grants revenue for the six months ended June 30, 2024, as compared to the six months ended June 30, 2023, was primarily due to an increase in revenue from our contract manufacturing and research and development agreements with Rockefeller University.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hanging="0"/>
        <w:jc w:val="left"/>
        <w:rPr/>
      </w:pPr>
      <w:r>
        <w:rPr/>
        <w:t>​</w:t>
      </w:r>
    </w:p>
    <w:tbl>
      <w:tblPr>
        <w:tblW w:w="6271"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676"/>
        <w:gridCol w:w="326"/>
        <w:gridCol w:w="211"/>
        <w:gridCol w:w="676"/>
        <w:gridCol w:w="109"/>
        <w:gridCol w:w="34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181735" cy="175260"/>
                      <wp:effectExtent l="0" t="0" r="0" b="0"/>
                      <wp:wrapNone/>
                      <wp:docPr id="203" name="Frame203"/>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9260" cy="175260"/>
                      <wp:effectExtent l="0" t="0" r="0" b="0"/>
                      <wp:wrapNone/>
                      <wp:docPr id="206"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9260" cy="175260"/>
                      <wp:effectExtent l="0" t="0" r="0" b="0"/>
                      <wp:wrapNone/>
                      <wp:docPr id="209"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9260" cy="175260"/>
                      <wp:effectExtent l="0" t="0" r="0" b="0"/>
                      <wp:wrapNone/>
                      <wp:docPr id="212"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0660" cy="175260"/>
                      <wp:effectExtent l="0" t="0" r="0" b="0"/>
                      <wp:wrapNone/>
                      <wp:docPr id="215" name="Frame2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center"/>
              <w:rPr/>
            </w:pPr>
            <w:r>
              <w:rPr/>
              <w:t>​</w:t>
            </w:r>
          </w:p>
        </w:tc>
        <w:tc>
          <w:tcPr>
            <w:tcW w:w="1342"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34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27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768"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5,294</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12,301</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Personnel expenses primarily include salary, benefits, stock-based compensation and payroll taxes. The $5.3 million increase in personnel expenses for the six months ended June 30, 2024, as compared to the six months ended June 30, 2023, was primarily due to higher stock-based compensation expense and an increase in employee headcount.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Laboratory supplies expenses include laboratory materials and supplies, services, and other related expenses incurred in the development of our technology. Laboratory supply expenses for the six months ended June 30, 2024 were relatively consistent with the six months ended June 30, 2023.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Facility expenses include depreciation, amortization, utilities, rent, maintenance and other related expenses incurred at our facilities. Facility expenses for the six months ended June 30, 2024 were relatively consistent with the six months ended June 30, 2023.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Product development expenses include clinical investigator site fees, external trial monitoring costs, data accumulation costs, contracted research and outside clinical drug product manufacturing. The $12.3 million increase in product development expenses for the six months ended June 30, 2024, as compared to the six months ended June 30, 2023, was primarily due to an increase in barzolvolimab clinical trial expenses, partially offset by a decrease in barzolvolimab contract manufacturing expenses.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$4.4 million increase in general and administrative expenses for the six months ended June 30, 2024, as compared to the six months ended June 30, 2023, was primarily due to higher stock-based compensation and barzolvolimab commercial planning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$12.5 million increase in investment and other income, net for the six months ended June 30, 2024, as compared to the six months ended June 30, 2023, was primarily due to higher levels of cash as a result of our November 2023 and March 2024 underwritten public offerings.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2024, our principal sources of liquidity consisted of cash, cash equivalents and marketable securities of $802.3 million. We have had recurring losses and incurred a loss of $68.7 million for the six months ended June 30, 2024. Net cash used in operations for the six months ended June 30, 2024 was $70.0 million. We believe that the cash, cash equivalents and marketable securities at June 30, 2024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financings,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$70.0 million for the six months ended June 30, 2024 as compared to $55.8 million for the six months ended June 30, 2023. The increase in net cash used in operating activities was primarily due to increases in research and development and general and administrative expenses, partially offset by an increase in investment income as a result of higher levels of cash. We expect that cash used in operating activities will increase over the next twelve months as a result of the expanded development of barzolvolimab.</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$361.9 million for the six months ended June 30, 2024 compared to net cash provided by investing activities of $53.7 million for the six months ended June 30, 2023. The increase in net cash used in investing activities was primarily due to net purchases of marketable securities of $361.3 million for the six months ended June 30, 2024 as compared to net sales and maturities of marketable securities of $54.7 million for the six months ended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$439.8 million for the six months ended June 30, 2024 as compared to $0.8 million for the six months ended June 30, 2023. The increase in net cash provided by financing activities was primarily due to an increase in net proceeds from stock issuances.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March 2024, we issued 9,798,000 shares of common stock in an underwritten public offering, resulting in net proceeds of $ 432.3 million, after deducting underwriting fees and offering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04" w:name="Item3QuantitativeandQualitativeDisclosur"/>
      <w:bookmarkStart w:id="705" w:name="_afc55b11_d5d6_417f_92bb_7f680ed66fc2"/>
      <w:bookmarkEnd w:id="704"/>
      <w:bookmarkEnd w:id="705"/>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June 30, 2024 due to the short-term maturities of these instruments.</w:t>
      </w:r>
    </w:p>
    <w:p>
      <w:pPr>
        <w:pStyle w:val="TextBody"/>
        <w:bidi w:val="0"/>
        <w:spacing w:before="0" w:after="0"/>
        <w:ind w:left="0" w:right="0" w:hanging="0"/>
        <w:jc w:val="left"/>
        <w:rPr/>
      </w:pPr>
      <w:r>
        <w:rPr/>
        <w:t>​</w:t>
      </w:r>
    </w:p>
    <w:p>
      <w:pPr>
        <w:pStyle w:val="TextBody"/>
        <w:pBdr/>
        <w:bidi w:val="0"/>
        <w:spacing w:before="0" w:after="0"/>
        <w:ind w:left="0" w:right="0" w:hanging="1152"/>
        <w:jc w:val="left"/>
        <w:rPr>
          <w:rFonts w:ascii="Times New Roman;Times;serif" w:hAnsi="Times New Roman;Times;serif"/>
          <w:sz w:val="20"/>
        </w:rPr>
      </w:pPr>
      <w:bookmarkStart w:id="706" w:name="Item4ControlsandProcedures_940929"/>
      <w:bookmarkStart w:id="707" w:name="_599e0ba2_a4fb_4419_9d13_b72fc1543ba7"/>
      <w:bookmarkEnd w:id="706"/>
      <w:bookmarkEnd w:id="707"/>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pBdr/>
        <w:bidi w:val="0"/>
        <w:spacing w:before="0" w:after="0"/>
        <w:ind w:left="0" w:right="0" w:hanging="1152"/>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2024,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June 30,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8" w:name="PARTIIOTHERINFORMATION_770534"/>
      <w:bookmarkStart w:id="709" w:name="_1c2f5c19_3bdd_46f8_b8f0_dd5614a709aa"/>
      <w:bookmarkEnd w:id="708"/>
      <w:bookmarkEnd w:id="709"/>
      <w:r>
        <w:rPr>
          <w:rFonts w:ascii="Times New Roman;Times;serif" w:hAnsi="Times New Roman;Times;serif"/>
          <w:b/>
          <w:sz w:val="20"/>
        </w:rPr>
        <w:t>PART II — OTHER INFORMATION</w:t>
      </w:r>
    </w:p>
    <w:p>
      <w:pPr>
        <w:pStyle w:val="TextBody"/>
        <w:pBdr/>
        <w:bidi w:val="0"/>
        <w:spacing w:before="0" w:after="240"/>
        <w:ind w:left="0" w:right="0" w:hanging="1152"/>
        <w:jc w:val="left"/>
        <w:rPr>
          <w:rFonts w:ascii="Times New Roman;Times;serif" w:hAnsi="Times New Roman;Times;serif"/>
          <w:sz w:val="20"/>
        </w:rPr>
      </w:pPr>
      <w:bookmarkStart w:id="710" w:name="Item1ARiskFactors_750939"/>
      <w:bookmarkEnd w:id="710"/>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26,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11" w:name="Item5OtherInformation_222271"/>
      <w:bookmarkStart w:id="712" w:name="_baba9deb_ba45_4785_b474_5022b184fe4d"/>
      <w:bookmarkEnd w:id="711"/>
      <w:bookmarkEnd w:id="712"/>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b/>
          <w:sz w:val="20"/>
        </w:rPr>
      </w:pPr>
      <w:bookmarkStart w:id="713" w:name="Item6Exhibits_142075"/>
      <w:bookmarkStart w:id="714" w:name="_1e24342c_8c83_4ec4_8355_c83a53a21c8a"/>
      <w:bookmarkEnd w:id="713"/>
      <w:bookmarkEnd w:id="714"/>
      <w:r>
        <w:rPr>
          <w:rFonts w:ascii="Times New Roman;Times;serif" w:hAnsi="Times New Roman;Times;serif"/>
          <w:b/>
          <w:sz w:val="20"/>
        </w:rPr>
        <w:t>Item 6.  Exhibits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715" w:name="Exhibitindex"/>
      <w:bookmarkEnd w:id="715"/>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29"/>
        <w:gridCol w:w="326"/>
        <w:gridCol w:w="9050"/>
      </w:tblGrid>
      <w:tr>
        <w:trPr/>
        <w:tc>
          <w:tcPr>
            <w:tcW w:w="8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746750" cy="175260"/>
                      <wp:effectExtent l="0" t="0" r="0" b="0"/>
                      <wp:wrapNone/>
                      <wp:docPr id="216" name="Frame216"/>
                      <a:graphic xmlns:a="http://schemas.openxmlformats.org/drawingml/2006/main">
                        <a:graphicData uri="http://schemas.microsoft.com/office/word/2010/wordprocessingShape">
                          <wps:wsp>
                            <wps:cNvSpPr txBox="1"/>
                            <wps:spPr>
                              <a:xfrm>
                                <a:off x="0" y="0"/>
                                <a:ext cx="574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9" w:type="dxa"/>
            <w:tcBorders>
              <w:bottom w:val="single" w:sz="2" w:space="0" w:color="000000"/>
            </w:tcBorders>
            <w:tcMar>
              <w:bottom w:w="28" w:type="dxa"/>
            </w:tcMar>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b/>
                <w:sz w:val="20"/>
              </w:rPr>
              <w:t>Exhibit</w:t>
            </w:r>
            <w:r>
              <w:rPr>
                <w:rFonts w:ascii="Calibri;Helvetica;sans-serif" w:hAnsi="Calibri;Helvetica;sans-serif"/>
                <w:sz w:val="22"/>
              </w:rPr>
              <w:t xml:space="preserve"> </w:t>
            </w:r>
            <w:r>
              <w:rPr>
                <w:rFonts w:ascii="Times New Roman;Times;serif" w:hAnsi="Times New Roman;Times;serif"/>
                <w:sz w:val="20"/>
              </w:rPr>
              <w:br/>
            </w:r>
            <w:r>
              <w:rPr>
                <w:rFonts w:ascii="Times New Roman;Times;serif" w:hAnsi="Times New Roman;Times;serif"/>
                <w:b/>
                <w:sz w:val="20"/>
              </w:rPr>
              <w:t>No.</w:t>
            </w:r>
          </w:p>
        </w:tc>
        <w:tc>
          <w:tcPr>
            <w:tcW w:w="326" w:type="dxa"/>
            <w:tcBorders/>
            <w:vAlign w:val="center"/>
          </w:tcPr>
          <w:p>
            <w:pPr>
              <w:pStyle w:val="TableContents"/>
              <w:bidi w:val="0"/>
              <w:spacing w:before="0" w:after="0"/>
              <w:ind w:left="0" w:right="0" w:hanging="0"/>
              <w:jc w:val="left"/>
              <w:rPr/>
            </w:pPr>
            <w:r>
              <w:rPr/>
              <w:t>    </w:t>
            </w:r>
          </w:p>
        </w:tc>
        <w:tc>
          <w:tcPr>
            <w:tcW w:w="90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29" w:type="dxa"/>
            <w:tcBorders>
              <w:top w:val="single" w:sz="2" w:space="0" w:color="000000"/>
            </w:tcBorders>
            <w:tcMar>
              <w:top w:w="28" w:type="dxa"/>
            </w:tcMar>
            <w:vAlign w:val="center"/>
          </w:tcPr>
          <w:p>
            <w:pPr>
              <w:pStyle w:val="TableContents"/>
              <w:bidi w:val="0"/>
              <w:spacing w:before="0" w:after="0"/>
              <w:ind w:left="0" w:right="0" w:hanging="0"/>
              <w:jc w:val="left"/>
              <w:rPr/>
            </w:pPr>
            <w:r>
              <w:rPr/>
              <w:t>†</w:t>
            </w:r>
            <w:r>
              <w:rPr>
                <w:rFonts w:ascii="Times New Roman;Times;serif" w:hAnsi="Times New Roman;Times;serif"/>
                <w:sz w:val="22"/>
              </w:rPr>
              <w:t>10.1</w:t>
            </w:r>
          </w:p>
        </w:tc>
        <w:tc>
          <w:tcPr>
            <w:tcW w:w="326" w:type="dxa"/>
            <w:tcBorders/>
            <w:vAlign w:val="center"/>
          </w:tcPr>
          <w:p>
            <w:pPr>
              <w:pStyle w:val="TableContents"/>
              <w:bidi w:val="0"/>
              <w:spacing w:before="0" w:after="0"/>
              <w:ind w:left="0" w:right="0" w:hanging="0"/>
              <w:jc w:val="left"/>
              <w:rPr/>
            </w:pPr>
            <w:r>
              <w:rPr/>
              <w:t>​</w:t>
            </w:r>
          </w:p>
        </w:tc>
        <w:tc>
          <w:tcPr>
            <w:tcW w:w="9050"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Amendment No. 2 to Celldex Therapeutics, Inc. 2021 Omnibus Equity Incentive Plan, incorporated by reference to Exhibit 10.1 to the Company’s Current Report on Form 8-K, filed on June 14, 2024 with the Securities and Exchange Commission</w:t>
              </w:r>
            </w:hyperlink>
            <w:hyperlink r:id="rId3">
              <w:r>
                <w:rPr>
                  <w:rStyle w:val="InternetLink"/>
                  <w:rFonts w:ascii="Calibri;Helvetica;sans-serif" w:hAnsi="Calibri;Helvetica;sans-serif"/>
                  <w:b w:val="false"/>
                  <w:i w:val="false"/>
                  <w:caps w:val="false"/>
                  <w:smallCaps w:val="false"/>
                  <w:sz w:val="22"/>
                </w:rPr>
                <w:t>.</w:t>
              </w:r>
            </w:hyperlink>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pPr>
            <w:hyperlink w:anchor="cldx-20240630xex31d1.htm">
              <w:r>
                <w:rPr>
                  <w:rStyle w:val="InternetLink"/>
                  <w:rFonts w:ascii="Times New Roman;Times;serif" w:hAnsi="Times New Roman;Times;serif"/>
                  <w:b w:val="false"/>
                  <w:i w:val="false"/>
                  <w:caps w:val="false"/>
                  <w:smallCaps w:val="false"/>
                  <w:sz w:val="22"/>
                </w:rPr>
                <w:t>Certification of President and Chief Executive Officer</w:t>
              </w:r>
            </w:hyperlink>
            <w:hyperlink w:anchor="cldx-20240630xex31d1.htm">
              <w:r>
                <w:rPr>
                  <w:rStyle w:val="InternetLink"/>
                  <w:rFonts w:ascii="Calibri;Helvetica;sans-serif" w:hAnsi="Calibri;Helvetica;sans-serif"/>
                  <w:b w:val="false"/>
                  <w:i w:val="false"/>
                  <w:caps w:val="false"/>
                  <w:smallCaps w:val="false"/>
                  <w:sz w:val="22"/>
                </w:rPr>
                <w:t>.</w:t>
              </w:r>
            </w:hyperlink>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pPr>
            <w:hyperlink w:anchor="cldx-20240630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hyperlink w:anchor="cldx-20240630xex31d2.htm">
              <w:r>
                <w:rPr>
                  <w:rStyle w:val="InternetLink"/>
                  <w:rFonts w:ascii="Calibri;Helvetica;sans-serif" w:hAnsi="Calibri;Helvetica;sans-serif"/>
                  <w:b w:val="false"/>
                  <w:i w:val="false"/>
                  <w:caps w:val="false"/>
                  <w:smallCaps w:val="false"/>
                  <w:sz w:val="22"/>
                </w:rPr>
                <w:t>.</w:t>
              </w:r>
            </w:hyperlink>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pPr>
            <w:hyperlink w:anchor="cldx-20240630xex32d1.htm">
              <w:r>
                <w:rPr>
                  <w:rStyle w:val="InternetLink"/>
                  <w:rFonts w:ascii="Times New Roman;Times;serif" w:hAnsi="Times New Roman;Times;serif"/>
                  <w:b w:val="false"/>
                  <w:i w:val="false"/>
                  <w:caps w:val="false"/>
                  <w:smallCaps w:val="false"/>
                  <w:sz w:val="22"/>
                </w:rPr>
                <w:t>Section 1350 Certifications</w:t>
              </w:r>
            </w:hyperlink>
            <w:hyperlink w:anchor="cldx-20240630xex32d1.htm">
              <w:r>
                <w:rPr>
                  <w:rStyle w:val="InternetLink"/>
                  <w:rFonts w:ascii="Calibri;Helvetica;sans-serif" w:hAnsi="Calibri;Helvetica;sans-serif"/>
                  <w:b w:val="false"/>
                  <w:i w:val="false"/>
                  <w:caps w:val="false"/>
                  <w:smallCaps w:val="false"/>
                  <w:sz w:val="22"/>
                </w:rPr>
                <w:t>.</w:t>
              </w:r>
            </w:hyperlink>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Schema Document.</w:t>
            </w:r>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Calculation Linkbase Document.</w:t>
            </w:r>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Definition Linkbase Document.</w:t>
            </w:r>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Label Linkbase Document.</w:t>
            </w:r>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Presentation Linkbase Document.</w:t>
            </w:r>
          </w:p>
        </w:tc>
      </w:tr>
      <w:tr>
        <w:trPr/>
        <w:tc>
          <w:tcPr>
            <w:tcW w:w="8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tbl>
      <w:tblPr>
        <w:tblW w:w="6902" w:type="dxa"/>
        <w:jc w:val="left"/>
        <w:tblInd w:w="0" w:type="dxa"/>
        <w:tblLayout w:type="fixed"/>
        <w:tblCellMar>
          <w:top w:w="0" w:type="dxa"/>
          <w:left w:w="0" w:type="dxa"/>
          <w:bottom w:w="0" w:type="dxa"/>
          <w:right w:w="0" w:type="dxa"/>
        </w:tblCellMar>
      </w:tblPr>
      <w:tblGrid>
        <w:gridCol w:w="241"/>
        <w:gridCol w:w="6661"/>
      </w:tblGrid>
      <w:tr>
        <w:trPr/>
        <w:tc>
          <w:tcPr>
            <w:tcW w:w="241" w:type="dxa"/>
            <w:tcBorders/>
            <w:vAlign w:val="center"/>
          </w:tcPr>
          <w:p>
            <w:pPr>
              <w:pStyle w:val="TableContents"/>
              <w:bidi w:val="0"/>
              <w:spacing w:before="0" w:after="0"/>
              <w:jc w:val="left"/>
              <w:rPr/>
            </w:pPr>
            <w:r>
              <w:rPr/>
              <w:t>†</w:t>
            </w:r>
          </w:p>
        </w:tc>
        <w:tc>
          <w:tcPr>
            <w:tcW w:w="66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compensation plan, contract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16" w:name="SIGNATURES_933986"/>
      <w:bookmarkStart w:id="717" w:name="_8a08333e_fa89_40af_967d_68ae62e87d69"/>
      <w:bookmarkEnd w:id="716"/>
      <w:bookmarkEnd w:id="717"/>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6092" w:type="dxa"/>
        <w:jc w:val="left"/>
        <w:tblInd w:w="0" w:type="dxa"/>
        <w:tblLayout w:type="fixed"/>
        <w:tblCellMar>
          <w:top w:w="0" w:type="dxa"/>
          <w:left w:w="0" w:type="dxa"/>
          <w:bottom w:w="0" w:type="dxa"/>
          <w:right w:w="0" w:type="dxa"/>
        </w:tblCellMar>
      </w:tblPr>
      <w:tblGrid>
        <w:gridCol w:w="1951"/>
        <w:gridCol w:w="41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629535" cy="29210"/>
                      <wp:effectExtent l="0" t="0" r="0" b="0"/>
                      <wp:wrapNone/>
                      <wp:docPr id="217" name="Frame217"/>
                      <a:graphic xmlns:a="http://schemas.openxmlformats.org/drawingml/2006/main">
                        <a:graphicData uri="http://schemas.microsoft.com/office/word/2010/wordprocessingShape">
                          <wps:wsp>
                            <wps:cNvSpPr txBox="1"/>
                            <wps:spPr>
                              <a:xfrm>
                                <a:off x="0" y="0"/>
                                <a:ext cx="262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2024</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2024</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right"/>
        <w:rPr>
          <w:rFonts w:ascii="Times New Roman;Times;serif" w:hAnsi="Times New Roman;Times;serif"/>
          <w:b/>
          <w:sz w:val="20"/>
        </w:rPr>
      </w:pPr>
      <w:bookmarkStart w:id="718" w:name="cldx-20240630xex31d1.htm"/>
      <w:bookmarkStart w:id="719" w:name="kscldx20240630xex31d1"/>
      <w:bookmarkEnd w:id="718"/>
      <w:bookmarkEnd w:id="719"/>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Anthony S. Marucci,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688" w:type="dxa"/>
        <w:jc w:val="center"/>
        <w:tblInd w:w="0" w:type="dxa"/>
        <w:tblLayout w:type="fixed"/>
        <w:tblCellMar>
          <w:top w:w="0" w:type="dxa"/>
          <w:left w:w="0" w:type="dxa"/>
          <w:bottom w:w="0" w:type="dxa"/>
          <w:right w:w="0" w:type="dxa"/>
        </w:tblCellMar>
      </w:tblPr>
      <w:tblGrid>
        <w:gridCol w:w="1846"/>
        <w:gridCol w:w="631"/>
        <w:gridCol w:w="321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0" w:name="cldx-20240630xex31d2.htm"/>
      <w:bookmarkStart w:id="721" w:name="kscldx20240630xex31d2"/>
      <w:bookmarkEnd w:id="720"/>
      <w:bookmarkEnd w:id="721"/>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Sam Martin,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735" w:right="0" w:hanging="622"/>
        <w:jc w:val="left"/>
        <w:rPr/>
      </w:pPr>
      <w:r>
        <w:rPr/>
        <w:t>​</w:t>
      </w:r>
    </w:p>
    <w:tbl>
      <w:tblPr>
        <w:tblW w:w="6618" w:type="dxa"/>
        <w:jc w:val="center"/>
        <w:tblInd w:w="0" w:type="dxa"/>
        <w:tblLayout w:type="fixed"/>
        <w:tblCellMar>
          <w:top w:w="0" w:type="dxa"/>
          <w:left w:w="0" w:type="dxa"/>
          <w:bottom w:w="0" w:type="dxa"/>
          <w:right w:w="0" w:type="dxa"/>
        </w:tblCellMar>
      </w:tblPr>
      <w:tblGrid>
        <w:gridCol w:w="1846"/>
        <w:gridCol w:w="631"/>
        <w:gridCol w:w="414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2" w:name="cldx-20240630xex32d1.htm"/>
      <w:bookmarkStart w:id="723" w:name="kscldx20240630xex32d1"/>
      <w:bookmarkEnd w:id="722"/>
      <w:bookmarkEnd w:id="723"/>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733" w:type="dxa"/>
        <w:jc w:val="center"/>
        <w:tblInd w:w="0" w:type="dxa"/>
        <w:tblLayout w:type="fixed"/>
        <w:tblCellMar>
          <w:top w:w="0" w:type="dxa"/>
          <w:left w:w="0" w:type="dxa"/>
          <w:bottom w:w="0" w:type="dxa"/>
          <w:right w:w="0" w:type="dxa"/>
        </w:tblCellMar>
      </w:tblPr>
      <w:tblGrid>
        <w:gridCol w:w="1846"/>
        <w:gridCol w:w="676"/>
        <w:gridCol w:w="321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663" w:type="dxa"/>
        <w:jc w:val="center"/>
        <w:tblInd w:w="0" w:type="dxa"/>
        <w:tblLayout w:type="fixed"/>
        <w:tblCellMar>
          <w:top w:w="0" w:type="dxa"/>
          <w:left w:w="0" w:type="dxa"/>
          <w:bottom w:w="0" w:type="dxa"/>
          <w:right w:w="0" w:type="dxa"/>
        </w:tblCellMar>
      </w:tblPr>
      <w:tblGrid>
        <w:gridCol w:w="1846"/>
        <w:gridCol w:w="676"/>
        <w:gridCol w:w="414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4218/000110465924071512/tm2417134d1_ex10-1.htm" TargetMode="External"/><Relationship Id="rId3" Type="http://schemas.openxmlformats.org/officeDocument/2006/relationships/hyperlink" Target="https://www.sec.gov/Archives/edgar/data/744218/000110465924071512/tm2417134d1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18381</Words>
  <Characters>101848</Characters>
  <CharactersWithSpaces>120967</CharactersWithSpaces>
  <Paragraphs>3953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