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rFonts w:ascii="Arial" w:cs="Arial" w:eastAsia="Arial" w:hAnsi="Arial"/>
          <w:sz w:val="22"/>
          <w:szCs w:val="22"/>
          <w:color w:val="0000EE"/>
        </w:rPr>
      </w:pPr>
      <w:hyperlink w:anchor="page1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38"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4060" w:right="1680" w:hanging="3640"/>
        <w:spacing w:after="0" w:line="532" w:lineRule="auto"/>
        <w:tabs>
          <w:tab w:leader="none" w:pos="115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160" w:hanging="703"/>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rFonts w:ascii="Arial" w:cs="Arial" w:eastAsia="Arial" w:hAnsi="Arial"/>
          <w:sz w:val="18"/>
          <w:szCs w:val="18"/>
          <w:color w:val="auto"/>
        </w:rPr>
      </w:pPr>
    </w:p>
    <w:p>
      <w:pPr>
        <w:ind w:left="4360"/>
        <w:spacing w:after="0"/>
        <w:rPr>
          <w:rFonts w:ascii="Arial" w:cs="Arial" w:eastAsia="Arial" w:hAnsi="Arial"/>
          <w:sz w:val="18"/>
          <w:szCs w:val="18"/>
          <w:color w:val="auto"/>
        </w:rPr>
      </w:pPr>
      <w:r>
        <w:rPr>
          <w:rFonts w:ascii="Arial" w:cs="Arial" w:eastAsia="Arial" w:hAnsi="Arial"/>
          <w:sz w:val="18"/>
          <w:szCs w:val="18"/>
          <w:b w:val="1"/>
          <w:bCs w:val="1"/>
          <w:color w:val="auto"/>
        </w:rPr>
        <w:t>Commission File Number 000-15006</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CELLDEX THERAPEUTICS,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91"/>
              </w:rPr>
              <w:t>Delaware</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13-3191702</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Perryville III Building, 53 Frontage Road, Suite 200, Hampton, New Jersey 08827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(Zip Code)</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(908) 200-7500</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Name of Each Exchange on Which</w:t>
            </w:r>
          </w:p>
        </w:tc>
        <w:tc>
          <w:tcPr>
            <w:tcW w:w="540" w:type="dxa"/>
            <w:vAlign w:val="bottom"/>
          </w:tcPr>
          <w:p>
            <w:pPr>
              <w:spacing w:after="0"/>
              <w:rPr>
                <w:sz w:val="14"/>
                <w:szCs w:val="14"/>
                <w:color w:val="auto"/>
              </w:rPr>
            </w:pPr>
          </w:p>
        </w:tc>
      </w:tr>
      <w:tr>
        <w:trPr>
          <w:trHeight w:val="161"/>
        </w:trPr>
        <w:tc>
          <w:tcPr>
            <w:tcW w:w="2020" w:type="dxa"/>
            <w:vAlign w:val="bottom"/>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1200" w:type="dxa"/>
            <w:vAlign w:val="bottom"/>
          </w:tcPr>
          <w:p>
            <w:pPr>
              <w:spacing w:after="0"/>
              <w:rPr>
                <w:sz w:val="14"/>
                <w:szCs w:val="14"/>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Registered:</w:t>
            </w:r>
          </w:p>
        </w:tc>
        <w:tc>
          <w:tcPr>
            <w:tcW w:w="540" w:type="dxa"/>
            <w:vAlign w:val="bottom"/>
          </w:tcPr>
          <w:p>
            <w:pPr>
              <w:spacing w:after="0"/>
              <w:rPr>
                <w:sz w:val="14"/>
                <w:szCs w:val="14"/>
                <w:color w:val="auto"/>
              </w:rPr>
            </w:pPr>
          </w:p>
        </w:tc>
      </w:tr>
      <w:tr>
        <w:trPr>
          <w:trHeight w:val="216"/>
        </w:trPr>
        <w:tc>
          <w:tcPr>
            <w:tcW w:w="2020" w:type="dxa"/>
            <w:vAlign w:val="bottom"/>
          </w:tcPr>
          <w:p>
            <w:pPr>
              <w:spacing w:after="0"/>
              <w:rPr>
                <w:sz w:val="18"/>
                <w:szCs w:val="18"/>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Common Stock, par value $.001</w:t>
            </w:r>
          </w:p>
        </w:tc>
        <w:tc>
          <w:tcPr>
            <w:tcW w:w="1200" w:type="dxa"/>
            <w:vAlign w:val="bottom"/>
          </w:tcPr>
          <w:p>
            <w:pPr>
              <w:spacing w:after="0"/>
              <w:rPr>
                <w:sz w:val="18"/>
                <w:szCs w:val="18"/>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Market</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424"/>
        </w:trPr>
        <w:tc>
          <w:tcPr>
            <w:tcW w:w="2020" w:type="dxa"/>
            <w:vAlign w:val="bottom"/>
          </w:tcPr>
          <w:p>
            <w:pPr>
              <w:spacing w:after="0"/>
              <w:rPr>
                <w:sz w:val="24"/>
                <w:szCs w:val="24"/>
                <w:color w:val="auto"/>
              </w:rPr>
            </w:pPr>
          </w:p>
        </w:tc>
        <w:tc>
          <w:tcPr>
            <w:tcW w:w="6840" w:type="dxa"/>
            <w:vAlign w:val="bottom"/>
            <w:gridSpan w:val="4"/>
          </w:tcPr>
          <w:p>
            <w:pPr>
              <w:ind w:left="10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c>
          <w:tcPr>
            <w:tcW w:w="540" w:type="dxa"/>
            <w:vAlign w:val="bottom"/>
          </w:tcPr>
          <w:p>
            <w:pPr>
              <w:spacing w:after="0"/>
              <w:rPr>
                <w:sz w:val="24"/>
                <w:szCs w:val="24"/>
                <w:color w:val="auto"/>
              </w:rPr>
            </w:pPr>
          </w:p>
        </w:tc>
      </w:tr>
      <w:tr>
        <w:trPr>
          <w:trHeight w:val="452"/>
        </w:trPr>
        <w:tc>
          <w:tcPr>
            <w:tcW w:w="8860" w:type="dxa"/>
            <w:vAlign w:val="bottom"/>
            <w:gridSpan w:val="5"/>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54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432"/>
        </w:trPr>
        <w:tc>
          <w:tcPr>
            <w:tcW w:w="8860" w:type="dxa"/>
            <w:vAlign w:val="bottom"/>
            <w:gridSpan w:val="5"/>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 o</w:t>
            </w:r>
          </w:p>
        </w:tc>
        <w:tc>
          <w:tcPr>
            <w:tcW w:w="540" w:type="dxa"/>
            <w:vAlign w:val="bottom"/>
          </w:tcPr>
          <w:p>
            <w:pPr>
              <w:ind w:left="140"/>
              <w:spacing w:after="0" w:line="207" w:lineRule="exact"/>
              <w:rPr>
                <w:sz w:val="20"/>
                <w:szCs w:val="20"/>
                <w:color w:val="auto"/>
              </w:rPr>
            </w:pPr>
            <w:r>
              <w:rPr>
                <w:rFonts w:ascii="Arial" w:cs="Arial" w:eastAsia="Arial" w:hAnsi="Arial"/>
                <w:sz w:val="18"/>
                <w:szCs w:val="18"/>
                <w:color w:val="auto"/>
                <w:w w:val="82"/>
              </w:rPr>
              <w:t xml:space="preserve">No </w:t>
            </w:r>
            <w:r>
              <w:rPr>
                <w:rFonts w:ascii="MS PGothic" w:cs="MS PGothic" w:eastAsia="MS PGothic" w:hAnsi="MS PGothic"/>
                <w:sz w:val="18"/>
                <w:szCs w:val="18"/>
                <w:color w:val="auto"/>
                <w:w w:val="82"/>
              </w:rPr>
              <w:t>☒</w:t>
            </w:r>
          </w:p>
        </w:tc>
      </w:tr>
    </w:tbl>
    <w:p>
      <w:pPr>
        <w:spacing w:after="0" w:line="190" w:lineRule="exact"/>
        <w:rPr>
          <w:sz w:val="24"/>
          <w:szCs w:val="24"/>
          <w:color w:val="auto"/>
        </w:rPr>
      </w:pPr>
    </w:p>
    <w:p>
      <w:pPr>
        <w:ind w:right="3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3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80" w:orient="portrait"/>
          <w:cols w:equalWidth="0" w:num="1">
            <w:col w:w="11420"/>
          </w:cols>
          <w:pgMar w:left="240" w:top="469" w:right="239" w:bottom="0" w:gutter="0" w:footer="0" w:header="0"/>
        </w:sectPr>
      </w:pPr>
    </w:p>
    <w:p>
      <w:pPr>
        <w:spacing w:after="0" w:line="107"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80" w:orient="portrait"/>
          <w:cols w:equalWidth="0" w:num="4">
            <w:col w:w="2520" w:space="720"/>
            <w:col w:w="1840" w:space="720"/>
            <w:col w:w="2300" w:space="720"/>
            <w:col w:w="2600"/>
          </w:cols>
          <w:pgMar w:left="240" w:top="469" w:right="239" w:bottom="0" w:gutter="0" w:footer="0" w:header="0"/>
          <w:type w:val="continuous"/>
        </w:sectPr>
      </w:pPr>
    </w:p>
    <w:p>
      <w:pPr>
        <w:jc w:val="center"/>
        <w:ind w:left="1800"/>
        <w:spacing w:after="0"/>
        <w:rPr>
          <w:sz w:val="20"/>
          <w:szCs w:val="20"/>
          <w:color w:val="auto"/>
        </w:rPr>
      </w:pPr>
      <w:r>
        <w:rPr>
          <w:rFonts w:ascii="Arial" w:cs="Arial" w:eastAsia="Arial" w:hAnsi="Arial"/>
          <w:sz w:val="14"/>
          <w:szCs w:val="14"/>
          <w:color w:val="auto"/>
        </w:rPr>
        <w:t>(Do not check if a</w:t>
      </w:r>
    </w:p>
    <w:p>
      <w:pPr>
        <w:jc w:val="center"/>
        <w:ind w:left="1800"/>
        <w:spacing w:after="0"/>
        <w:rPr>
          <w:sz w:val="20"/>
          <w:szCs w:val="20"/>
          <w:color w:val="auto"/>
        </w:rPr>
      </w:pPr>
      <w:r>
        <w:rPr>
          <w:rFonts w:ascii="Arial" w:cs="Arial" w:eastAsia="Arial" w:hAnsi="Arial"/>
          <w:sz w:val="12"/>
          <w:szCs w:val="12"/>
          <w:color w:val="auto"/>
        </w:rPr>
        <w:t>smaller reporting company)</w:t>
      </w:r>
    </w:p>
    <w:p>
      <w:pPr>
        <w:sectPr>
          <w:pgSz w:w="11900" w:h="16880" w:orient="portrait"/>
          <w:cols w:equalWidth="0" w:num="1">
            <w:col w:w="11420"/>
          </w:cols>
          <w:pgMar w:left="240" w:top="469" w:right="239" w:bottom="0" w:gutter="0" w:footer="0" w:header="0"/>
          <w:type w:val="continuous"/>
        </w:sectPr>
      </w:pPr>
    </w:p>
    <w:p>
      <w:pPr>
        <w:spacing w:after="0" w:line="217"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80" w:orient="portrait"/>
          <w:cols w:equalWidth="0" w:num="2">
            <w:col w:w="8060" w:space="180"/>
            <w:col w:w="3180"/>
          </w:cols>
          <w:pgMar w:left="240" w:top="469" w:right="239" w:bottom="0" w:gutter="0" w:footer="0" w:header="0"/>
          <w:type w:val="continuous"/>
        </w:sectPr>
      </w:pPr>
    </w:p>
    <w:p>
      <w:pPr>
        <w:spacing w:after="0" w:line="60" w:lineRule="exact"/>
        <w:rPr>
          <w:sz w:val="24"/>
          <w:szCs w:val="24"/>
          <w:color w:val="auto"/>
        </w:rPr>
      </w:pPr>
    </w:p>
    <w:p>
      <w:pPr>
        <w:ind w:right="100" w:firstLine="392"/>
        <w:spacing w:after="0" w:line="259" w:lineRule="auto"/>
        <w:rPr>
          <w:sz w:val="20"/>
          <w:szCs w:val="20"/>
          <w:color w:val="auto"/>
        </w:rPr>
      </w:pPr>
      <w:r>
        <w:rPr>
          <w:rFonts w:ascii="Arial" w:cs="Arial" w:eastAsia="Arial" w:hAnsi="Arial"/>
          <w:sz w:val="18"/>
          <w:szCs w:val="18"/>
          <w:color w:val="auto"/>
        </w:rPr>
        <w:t>The aggregate market value of the registrant's common stock held by non-affiliates as of June 30, 2013 was $1.3 billion. Exclusion of shares held by any person should not be construed to indicate that such person possesses the power, direct or indirect, to direct or cause the actions of the management or policies of the registrant, or that such person is controlled by or under common control with the registrant.</w:t>
      </w:r>
    </w:p>
    <w:p>
      <w:pPr>
        <w:spacing w:after="0" w:line="19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The number of shares of common stock outstanding at February 19, 2014 was 89,251,747 shares.</w:t>
      </w:r>
    </w:p>
    <w:p>
      <w:pPr>
        <w:sectPr>
          <w:pgSz w:w="11900" w:h="16880" w:orient="portrait"/>
          <w:cols w:equalWidth="0" w:num="1">
            <w:col w:w="11420"/>
          </w:cols>
          <w:pgMar w:left="240" w:top="469" w:right="239" w:bottom="0" w:gutter="0" w:footer="0" w:header="0"/>
          <w:type w:val="continuous"/>
        </w:sectPr>
      </w:pPr>
    </w:p>
    <w:bookmarkStart w:id="1" w:name="page2"/>
    <w:bookmarkEnd w:id="1"/>
    <w:p>
      <w:pPr>
        <w:ind w:left="33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definitive Proxy Statement for our 2014 Annual Meeting of Stockholders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342900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-250190</wp:posOffset>
            </wp:positionH>
            <wp:positionV relativeFrom="paragraph">
              <wp:posOffset>521335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640" w:top="125" w:right="1019" w:bottom="1440" w:gutter="0" w:footer="0" w:header="0"/>
        </w:sectPr>
      </w:pPr>
    </w:p>
    <w:bookmarkStart w:id="2" w:name="page3"/>
    <w:bookmarkEnd w:id="2"/>
    <w:p>
      <w:pPr>
        <w:ind w:left="3200"/>
        <w:spacing w:after="0"/>
        <w:rPr>
          <w:sz w:val="20"/>
          <w:szCs w:val="20"/>
          <w:color w:val="auto"/>
        </w:rPr>
      </w:pPr>
      <w:r>
        <w:rPr>
          <w:rFonts w:ascii="Arial" w:cs="Arial" w:eastAsia="Arial" w:hAnsi="Arial"/>
          <w:sz w:val="18"/>
          <w:szCs w:val="18"/>
          <w:b w:val="1"/>
          <w:bCs w:val="1"/>
          <w:color w:val="auto"/>
        </w:rPr>
        <w:t>CELLDEX THERAPEUTICS, INC.</w:t>
      </w:r>
    </w:p>
    <w:p>
      <w:pPr>
        <w:spacing w:after="0" w:line="2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YEAR ENDED DECEMBER 31, 2013</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4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5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w:t>
            </w:r>
          </w:p>
        </w:tc>
        <w:tc>
          <w:tcPr>
            <w:tcW w:w="7560" w:type="dxa"/>
            <w:vAlign w:val="bottom"/>
          </w:tcPr>
          <w:p>
            <w:pPr>
              <w:ind w:left="180"/>
              <w:spacing w:after="0"/>
              <w:rPr>
                <w:sz w:val="20"/>
                <w:szCs w:val="20"/>
                <w:color w:val="auto"/>
              </w:rPr>
            </w:pPr>
            <w:r>
              <w:rPr>
                <w:rFonts w:ascii="Arial" w:cs="Arial" w:eastAsia="Arial" w:hAnsi="Arial"/>
                <w:sz w:val="18"/>
                <w:szCs w:val="18"/>
                <w:color w:val="auto"/>
              </w:rPr>
              <w:t>Business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1A.</w:t>
            </w:r>
          </w:p>
        </w:tc>
        <w:tc>
          <w:tcPr>
            <w:tcW w:w="756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1B.</w:t>
            </w:r>
          </w:p>
        </w:tc>
        <w:tc>
          <w:tcPr>
            <w:tcW w:w="7560" w:type="dxa"/>
            <w:vAlign w:val="bottom"/>
          </w:tcPr>
          <w:p>
            <w:pPr>
              <w:ind w:left="180"/>
              <w:spacing w:after="0"/>
              <w:rPr>
                <w:sz w:val="20"/>
                <w:szCs w:val="20"/>
                <w:color w:val="auto"/>
              </w:rPr>
            </w:pPr>
            <w:r>
              <w:rPr>
                <w:rFonts w:ascii="Arial" w:cs="Arial" w:eastAsia="Arial" w:hAnsi="Arial"/>
                <w:sz w:val="18"/>
                <w:szCs w:val="18"/>
                <w:color w:val="auto"/>
              </w:rPr>
              <w:t>Unresolved Staff Comments</w:t>
            </w: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2.</w:t>
            </w:r>
          </w:p>
        </w:tc>
        <w:tc>
          <w:tcPr>
            <w:tcW w:w="756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3.</w:t>
            </w:r>
          </w:p>
        </w:tc>
        <w:tc>
          <w:tcPr>
            <w:tcW w:w="756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4.</w:t>
            </w:r>
          </w:p>
        </w:tc>
        <w:tc>
          <w:tcPr>
            <w:tcW w:w="7560" w:type="dxa"/>
            <w:vAlign w:val="bottom"/>
          </w:tcPr>
          <w:p>
            <w:pPr>
              <w:ind w:left="180"/>
              <w:spacing w:after="0"/>
              <w:rPr>
                <w:sz w:val="20"/>
                <w:szCs w:val="20"/>
                <w:color w:val="auto"/>
              </w:rPr>
            </w:pPr>
            <w:r>
              <w:rPr>
                <w:rFonts w:ascii="Arial" w:cs="Arial" w:eastAsia="Arial" w:hAnsi="Arial"/>
                <w:sz w:val="18"/>
                <w:szCs w:val="18"/>
                <w:color w:val="auto"/>
              </w:rPr>
              <w:t>Mine Safety Disclosures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Part II</w:t>
            </w:r>
          </w:p>
        </w:tc>
        <w:tc>
          <w:tcPr>
            <w:tcW w:w="4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5.</w:t>
            </w:r>
          </w:p>
        </w:tc>
        <w:tc>
          <w:tcPr>
            <w:tcW w:w="7560" w:type="dxa"/>
            <w:vAlign w:val="bottom"/>
          </w:tcPr>
          <w:p>
            <w:pPr>
              <w:ind w:left="180"/>
              <w:spacing w:after="0"/>
              <w:rPr>
                <w:sz w:val="20"/>
                <w:szCs w:val="20"/>
                <w:color w:val="auto"/>
              </w:rPr>
            </w:pPr>
            <w:r>
              <w:rPr>
                <w:rFonts w:ascii="Arial" w:cs="Arial" w:eastAsia="Arial" w:hAnsi="Arial"/>
                <w:sz w:val="18"/>
                <w:szCs w:val="18"/>
                <w:color w:val="auto"/>
                <w:w w:val="91"/>
              </w:rPr>
              <w:t>Market for Registrant's Common Equity, Related Stockholder Matters and Issuer Purchases of Equity</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60" w:type="dxa"/>
            <w:vAlign w:val="bottom"/>
          </w:tcPr>
          <w:p>
            <w:pPr>
              <w:ind w:left="360"/>
              <w:spacing w:after="0"/>
              <w:rPr>
                <w:sz w:val="20"/>
                <w:szCs w:val="20"/>
                <w:color w:val="auto"/>
              </w:rPr>
            </w:pPr>
            <w:r>
              <w:rPr>
                <w:rFonts w:ascii="Arial" w:cs="Arial" w:eastAsia="Arial" w:hAnsi="Arial"/>
                <w:sz w:val="18"/>
                <w:szCs w:val="18"/>
                <w:color w:val="auto"/>
              </w:rPr>
              <w:t>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6.</w:t>
            </w:r>
          </w:p>
        </w:tc>
        <w:tc>
          <w:tcPr>
            <w:tcW w:w="7560" w:type="dxa"/>
            <w:vAlign w:val="bottom"/>
          </w:tcPr>
          <w:p>
            <w:pPr>
              <w:ind w:left="180"/>
              <w:spacing w:after="0"/>
              <w:rPr>
                <w:sz w:val="20"/>
                <w:szCs w:val="20"/>
                <w:color w:val="auto"/>
              </w:rPr>
            </w:pPr>
            <w:r>
              <w:rPr>
                <w:rFonts w:ascii="Arial" w:cs="Arial" w:eastAsia="Arial" w:hAnsi="Arial"/>
                <w:sz w:val="18"/>
                <w:szCs w:val="18"/>
                <w:color w:val="auto"/>
              </w:rPr>
              <w:t>Selected Financial Data</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7.</w:t>
            </w:r>
          </w:p>
        </w:tc>
        <w:tc>
          <w:tcPr>
            <w:tcW w:w="7560" w:type="dxa"/>
            <w:vAlign w:val="bottom"/>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7A.</w:t>
            </w:r>
          </w:p>
        </w:tc>
        <w:tc>
          <w:tcPr>
            <w:tcW w:w="756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8.</w:t>
            </w:r>
          </w:p>
        </w:tc>
        <w:tc>
          <w:tcPr>
            <w:tcW w:w="7560" w:type="dxa"/>
            <w:vAlign w:val="bottom"/>
          </w:tcPr>
          <w:p>
            <w:pPr>
              <w:ind w:left="180"/>
              <w:spacing w:after="0"/>
              <w:rPr>
                <w:sz w:val="20"/>
                <w:szCs w:val="20"/>
                <w:color w:val="auto"/>
              </w:rPr>
            </w:pPr>
            <w:r>
              <w:rPr>
                <w:rFonts w:ascii="Arial" w:cs="Arial" w:eastAsia="Arial" w:hAnsi="Arial"/>
                <w:sz w:val="18"/>
                <w:szCs w:val="18"/>
                <w:color w:val="auto"/>
              </w:rPr>
              <w:t>Financial Statements and Supplementary Data</w:t>
            </w: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9.</w:t>
            </w:r>
          </w:p>
        </w:tc>
        <w:tc>
          <w:tcPr>
            <w:tcW w:w="7560" w:type="dxa"/>
            <w:vAlign w:val="bottom"/>
          </w:tcPr>
          <w:p>
            <w:pPr>
              <w:ind w:left="1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9A.</w:t>
            </w:r>
          </w:p>
        </w:tc>
        <w:tc>
          <w:tcPr>
            <w:tcW w:w="7560" w:type="dxa"/>
            <w:vAlign w:val="bottom"/>
          </w:tcPr>
          <w:p>
            <w:pPr>
              <w:ind w:left="180"/>
              <w:spacing w:after="0"/>
              <w:rPr>
                <w:sz w:val="20"/>
                <w:szCs w:val="20"/>
                <w:color w:val="auto"/>
              </w:rPr>
            </w:pPr>
            <w:r>
              <w:rPr>
                <w:rFonts w:ascii="Arial" w:cs="Arial" w:eastAsia="Arial" w:hAnsi="Arial"/>
                <w:sz w:val="18"/>
                <w:szCs w:val="18"/>
                <w:color w:val="auto"/>
              </w:rPr>
              <w:t>Controls and Procedures</w:t>
            </w: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9B.</w:t>
            </w:r>
          </w:p>
        </w:tc>
        <w:tc>
          <w:tcPr>
            <w:tcW w:w="7560" w:type="dxa"/>
            <w:vAlign w:val="bottom"/>
          </w:tcPr>
          <w:p>
            <w:pPr>
              <w:ind w:left="180"/>
              <w:spacing w:after="0"/>
              <w:rPr>
                <w:sz w:val="20"/>
                <w:szCs w:val="20"/>
                <w:color w:val="auto"/>
              </w:rPr>
            </w:pPr>
            <w:r>
              <w:rPr>
                <w:rFonts w:ascii="Arial" w:cs="Arial" w:eastAsia="Arial" w:hAnsi="Arial"/>
                <w:sz w:val="18"/>
                <w:szCs w:val="18"/>
                <w:color w:val="auto"/>
              </w:rPr>
              <w:t>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w w:val="94"/>
              </w:rPr>
              <w:t>Part III</w:t>
            </w:r>
          </w:p>
        </w:tc>
        <w:tc>
          <w:tcPr>
            <w:tcW w:w="4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10.</w:t>
            </w:r>
          </w:p>
        </w:tc>
        <w:tc>
          <w:tcPr>
            <w:tcW w:w="7560" w:type="dxa"/>
            <w:vAlign w:val="bottom"/>
          </w:tcPr>
          <w:p>
            <w:pPr>
              <w:ind w:left="180"/>
              <w:spacing w:after="0"/>
              <w:rPr>
                <w:sz w:val="20"/>
                <w:szCs w:val="20"/>
                <w:color w:val="auto"/>
              </w:rPr>
            </w:pPr>
            <w:r>
              <w:rPr>
                <w:rFonts w:ascii="Arial" w:cs="Arial" w:eastAsia="Arial" w:hAnsi="Arial"/>
                <w:sz w:val="18"/>
                <w:szCs w:val="18"/>
                <w:color w:val="auto"/>
              </w:rPr>
              <w:t>Directors, Executive Officers and Corporate Governance</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11.</w:t>
            </w:r>
          </w:p>
        </w:tc>
        <w:tc>
          <w:tcPr>
            <w:tcW w:w="7560" w:type="dxa"/>
            <w:vAlign w:val="bottom"/>
          </w:tcPr>
          <w:p>
            <w:pPr>
              <w:ind w:left="180"/>
              <w:spacing w:after="0"/>
              <w:rPr>
                <w:sz w:val="20"/>
                <w:szCs w:val="20"/>
                <w:color w:val="auto"/>
              </w:rPr>
            </w:pPr>
            <w:r>
              <w:rPr>
                <w:rFonts w:ascii="Arial" w:cs="Arial" w:eastAsia="Arial" w:hAnsi="Arial"/>
                <w:sz w:val="18"/>
                <w:szCs w:val="18"/>
                <w:color w:val="auto"/>
              </w:rPr>
              <w:t>Executive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12.</w:t>
            </w:r>
          </w:p>
        </w:tc>
        <w:tc>
          <w:tcPr>
            <w:tcW w:w="7560" w:type="dxa"/>
            <w:vAlign w:val="bottom"/>
          </w:tcPr>
          <w:p>
            <w:pPr>
              <w:ind w:left="180"/>
              <w:spacing w:after="0"/>
              <w:rPr>
                <w:sz w:val="20"/>
                <w:szCs w:val="20"/>
                <w:color w:val="auto"/>
              </w:rPr>
            </w:pPr>
            <w:r>
              <w:rPr>
                <w:rFonts w:ascii="Arial" w:cs="Arial" w:eastAsia="Arial" w:hAnsi="Arial"/>
                <w:sz w:val="18"/>
                <w:szCs w:val="18"/>
                <w:color w:val="auto"/>
                <w:w w:val="91"/>
              </w:rPr>
              <w:t>Security Ownership of Certain Beneficial Owners and Management and Related Stockholder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13.</w:t>
            </w:r>
          </w:p>
        </w:tc>
        <w:tc>
          <w:tcPr>
            <w:tcW w:w="7560" w:type="dxa"/>
            <w:vAlign w:val="bottom"/>
          </w:tcPr>
          <w:p>
            <w:pPr>
              <w:ind w:left="1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14.</w:t>
            </w:r>
          </w:p>
        </w:tc>
        <w:tc>
          <w:tcPr>
            <w:tcW w:w="7560" w:type="dxa"/>
            <w:vAlign w:val="bottom"/>
          </w:tcPr>
          <w:p>
            <w:pPr>
              <w:ind w:left="180"/>
              <w:spacing w:after="0"/>
              <w:rPr>
                <w:sz w:val="20"/>
                <w:szCs w:val="20"/>
                <w:color w:val="auto"/>
              </w:rPr>
            </w:pPr>
            <w:r>
              <w:rPr>
                <w:rFonts w:ascii="Arial" w:cs="Arial" w:eastAsia="Arial" w:hAnsi="Arial"/>
                <w:sz w:val="18"/>
                <w:szCs w:val="18"/>
                <w:color w:val="auto"/>
              </w:rPr>
              <w:t>Principal Accountant Fees and Services</w:t>
            </w: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w w:val="90"/>
              </w:rPr>
              <w:t>Part IV</w:t>
            </w:r>
          </w:p>
        </w:tc>
        <w:tc>
          <w:tcPr>
            <w:tcW w:w="46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jc w:val="right"/>
              <w:spacing w:after="0"/>
              <w:rPr>
                <w:sz w:val="20"/>
                <w:szCs w:val="20"/>
                <w:color w:val="auto"/>
              </w:rPr>
            </w:pPr>
            <w:r>
              <w:rPr>
                <w:rFonts w:ascii="Arial" w:cs="Arial" w:eastAsia="Arial" w:hAnsi="Arial"/>
                <w:sz w:val="18"/>
                <w:szCs w:val="18"/>
                <w:color w:val="auto"/>
              </w:rPr>
              <w:t>Item</w:t>
            </w:r>
          </w:p>
        </w:tc>
        <w:tc>
          <w:tcPr>
            <w:tcW w:w="460" w:type="dxa"/>
            <w:vAlign w:val="bottom"/>
          </w:tcPr>
          <w:p>
            <w:pPr>
              <w:ind w:left="20"/>
              <w:spacing w:after="0"/>
              <w:rPr>
                <w:sz w:val="20"/>
                <w:szCs w:val="20"/>
                <w:color w:val="auto"/>
              </w:rPr>
            </w:pPr>
            <w:r>
              <w:rPr>
                <w:rFonts w:ascii="Arial" w:cs="Arial" w:eastAsia="Arial" w:hAnsi="Arial"/>
                <w:sz w:val="18"/>
                <w:szCs w:val="18"/>
                <w:color w:val="auto"/>
              </w:rPr>
              <w:t>15.</w:t>
            </w:r>
          </w:p>
        </w:tc>
        <w:tc>
          <w:tcPr>
            <w:tcW w:w="7560" w:type="dxa"/>
            <w:vAlign w:val="bottom"/>
          </w:tcPr>
          <w:p>
            <w:pPr>
              <w:ind w:left="180"/>
              <w:spacing w:after="0"/>
              <w:rPr>
                <w:sz w:val="20"/>
                <w:szCs w:val="20"/>
                <w:color w:val="auto"/>
              </w:rPr>
            </w:pPr>
            <w:r>
              <w:rPr>
                <w:rFonts w:ascii="Arial" w:cs="Arial" w:eastAsia="Arial" w:hAnsi="Arial"/>
                <w:sz w:val="18"/>
                <w:szCs w:val="18"/>
                <w:color w:val="auto"/>
              </w:rPr>
              <w:t>Exhibits, Financial Statement Schedules</w:t>
            </w: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2"/>
        </w:trPr>
        <w:tc>
          <w:tcPr>
            <w:tcW w:w="100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75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341" w:right="1440" w:bottom="1440" w:gutter="0" w:footer="0" w:header="0"/>
        </w:sectPr>
      </w:pPr>
    </w:p>
    <w:bookmarkStart w:id="3" w:name="page4"/>
    <w:bookmarkEnd w:id="3"/>
    <w:p>
      <w:pPr>
        <w:ind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Safe Harbor Statement under the Private Securities Litigation Reform Act of 1995: </w:t>
      </w:r>
      <w:r>
        <w:rPr>
          <w:rFonts w:ascii="Arial" w:cs="Arial" w:eastAsia="Arial" w:hAnsi="Arial"/>
          <w:sz w:val="16"/>
          <w:szCs w:val="16"/>
          <w:color w:val="auto"/>
        </w:rPr>
        <w:t>This Annual Report on Form 10-K contains forward-looking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7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99" w:lineRule="exact"/>
        <w:rPr>
          <w:sz w:val="20"/>
          <w:szCs w:val="20"/>
          <w:color w:val="auto"/>
        </w:rPr>
      </w:pPr>
    </w:p>
    <w:p>
      <w:pPr>
        <w:ind w:left="1080" w:right="180" w:hanging="532"/>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animal, preclinical and clinical studies, and, if we obtain regulatory approval, commercialization of rindopepimut (also referred to as CDX-110), glembatumumab vedotin (also referred to as CDX-011), and other drug candidates and the growth of the markets for those drug candidates;</w:t>
      </w:r>
    </w:p>
    <w:p>
      <w:pPr>
        <w:spacing w:after="0" w:line="221"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raise sufficient capital to fund our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0"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 including ACT IV and ReACT for rindopepimut and METRIC for glembatumumab vedotin;</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 timing, scope and results of ongoing safety and efficacy trials of rindopepimut, glembatumumab vedotin, and other preclinical and clinical testing;</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fund and complete the development and, if we obtain regulatory approval, to commercialize rindopepimut in North America ourselves;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programs, which may include rindopepimut outside of North America, glembatumumab vedotin and varlilumab (also referred to as CDX-1127);</w:t>
      </w:r>
    </w:p>
    <w:p>
      <w:pPr>
        <w:spacing w:after="0" w:line="199" w:lineRule="exact"/>
        <w:rPr>
          <w:rFonts w:ascii="Arial" w:cs="Arial" w:eastAsia="Arial" w:hAnsi="Arial"/>
          <w:sz w:val="18"/>
          <w:szCs w:val="18"/>
          <w:color w:val="auto"/>
        </w:rPr>
      </w:pPr>
    </w:p>
    <w:p>
      <w:pPr>
        <w:ind w:left="1080" w:right="160" w:hanging="532"/>
        <w:spacing w:after="0" w:line="370" w:lineRule="auto"/>
        <w:tabs>
          <w:tab w:leader="none" w:pos="108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develop technological capabilities, including identification of novel and clinically important targets, exploiting our existing technology platforms to develop new product candidates and expand our focus to broader markets for our existing targeted immunotherapeutics;</w:t>
      </w:r>
    </w:p>
    <w:p>
      <w:pPr>
        <w:spacing w:after="0" w:line="143" w:lineRule="exact"/>
        <w:rPr>
          <w:rFonts w:ascii="Arial" w:cs="Arial" w:eastAsia="Arial" w:hAnsi="Arial"/>
          <w:sz w:val="15"/>
          <w:szCs w:val="15"/>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adapt our proprietary antibody-targeted technology, or APC Targeting Technology™, to develop new, safe and effective therapeutics for oncology and infectious disease indications;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 grade materials produced by our own manufacturing facility or supplied by contract manufacturers, suppliers and partners, who may be the sole source of supply;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availability, cost, delivery and quality of clinical management services provided by our clinical research organization partners;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 and uncertainty of obtaining regulatory approvals for our drug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commercialize products before competitors that are superior to the alternatives developed by such competitors;</w:t>
      </w:r>
    </w:p>
    <w:p>
      <w:pPr>
        <w:spacing w:after="0" w:line="275"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factors listed under "Risk Factors" in this Annual Report on Form 10-K.</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45" w:right="4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Celldex Therapeutics, Inc., which we refer to as "Celldex," "we," "us," "our" or the "Company," is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treat cancers and other diseases that induce undesirable activity by the body's own proteins or cells.</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lead drug candidates include rindopepimut (also referred to as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study for the treatment of triple negative breast cancer designed to obtain accelerated approval. We also have a number of earlier stage drug candidates in clinical development, including varlilumab (also referred to as CDX-1127), a fully human therapeutic monoclonal antibody for cancer indications, CDX-301, an immune cell mobilizing agent and dendritic cell growth factor and CDX-1401, a targeted immunotherapeutic aimed at antigen presenting cells, or APC, for cancer indications. Our drug candidates address market opportunities for which we believe current therapies are inadequate or non-existent.</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4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080" w:type="dxa"/>
            <w:vAlign w:val="bottom"/>
          </w:tcPr>
          <w:p>
            <w:pPr>
              <w:spacing w:after="0"/>
              <w:rPr>
                <w:sz w:val="14"/>
                <w:szCs w:val="14"/>
                <w:color w:val="auto"/>
              </w:rPr>
            </w:pPr>
          </w:p>
        </w:tc>
        <w:tc>
          <w:tcPr>
            <w:tcW w:w="3340" w:type="dxa"/>
            <w:vAlign w:val="bottom"/>
          </w:tcPr>
          <w:p>
            <w:pPr>
              <w:ind w:left="120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Partner</w:t>
            </w:r>
          </w:p>
        </w:tc>
        <w:tc>
          <w:tcPr>
            <w:tcW w:w="16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Rindopepimut</w:t>
            </w:r>
          </w:p>
        </w:tc>
        <w:tc>
          <w:tcPr>
            <w:tcW w:w="4420" w:type="dxa"/>
            <w:vAlign w:val="bottom"/>
            <w:gridSpan w:val="2"/>
          </w:tcPr>
          <w:p>
            <w:pPr>
              <w:ind w:left="1080"/>
              <w:spacing w:after="0"/>
              <w:rPr>
                <w:sz w:val="20"/>
                <w:szCs w:val="20"/>
                <w:color w:val="auto"/>
              </w:rPr>
            </w:pPr>
            <w:r>
              <w:rPr>
                <w:rFonts w:ascii="Arial" w:cs="Arial" w:eastAsia="Arial" w:hAnsi="Arial"/>
                <w:sz w:val="18"/>
                <w:szCs w:val="18"/>
                <w:color w:val="auto"/>
              </w:rPr>
              <w:t>Front-line glioblastoma</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3</w:t>
            </w: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Glembatumumab vedotin</w:t>
            </w:r>
          </w:p>
        </w:tc>
        <w:tc>
          <w:tcPr>
            <w:tcW w:w="4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Metastatic breast cancer and melanoma</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2b</w:t>
            </w: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Rindopepimut</w:t>
            </w:r>
          </w:p>
        </w:tc>
        <w:tc>
          <w:tcPr>
            <w:tcW w:w="4420" w:type="dxa"/>
            <w:vAlign w:val="bottom"/>
            <w:gridSpan w:val="2"/>
          </w:tcPr>
          <w:p>
            <w:pPr>
              <w:ind w:left="1080"/>
              <w:spacing w:after="0"/>
              <w:rPr>
                <w:sz w:val="20"/>
                <w:szCs w:val="20"/>
                <w:color w:val="auto"/>
              </w:rPr>
            </w:pPr>
            <w:r>
              <w:rPr>
                <w:rFonts w:ascii="Arial" w:cs="Arial" w:eastAsia="Arial" w:hAnsi="Arial"/>
                <w:sz w:val="18"/>
                <w:szCs w:val="18"/>
                <w:color w:val="auto"/>
              </w:rPr>
              <w:t>Recurrent glioblastoma</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2</w:t>
            </w: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Varlilumab</w:t>
            </w:r>
          </w:p>
        </w:tc>
        <w:tc>
          <w:tcPr>
            <w:tcW w:w="4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Lymphoma/leukemia and solid tumors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CDX-301</w:t>
            </w:r>
          </w:p>
        </w:tc>
        <w:tc>
          <w:tcPr>
            <w:tcW w:w="4420" w:type="dxa"/>
            <w:vAlign w:val="bottom"/>
            <w:gridSpan w:val="2"/>
          </w:tcPr>
          <w:p>
            <w:pPr>
              <w:ind w:left="1080"/>
              <w:spacing w:after="0"/>
              <w:rPr>
                <w:sz w:val="20"/>
                <w:szCs w:val="20"/>
                <w:color w:val="auto"/>
              </w:rPr>
            </w:pPr>
            <w:r>
              <w:rPr>
                <w:rFonts w:ascii="Arial" w:cs="Arial" w:eastAsia="Arial" w:hAnsi="Arial"/>
                <w:sz w:val="18"/>
                <w:szCs w:val="18"/>
                <w:color w:val="auto"/>
                <w:w w:val="93"/>
              </w:rPr>
              <w:t>Cancer, autoimmune disease and transplant</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CDX-1401</w:t>
            </w:r>
          </w:p>
        </w:tc>
        <w:tc>
          <w:tcPr>
            <w:tcW w:w="4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Multiple solid tumors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10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CDX-014</w:t>
            </w:r>
          </w:p>
        </w:tc>
        <w:tc>
          <w:tcPr>
            <w:tcW w:w="4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Ovarian and renal cancer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Preclinical</w:t>
            </w:r>
          </w:p>
        </w:tc>
      </w:tr>
    </w:tbl>
    <w:p>
      <w:pPr>
        <w:spacing w:after="0" w:line="208" w:lineRule="exact"/>
        <w:rPr>
          <w:sz w:val="20"/>
          <w:szCs w:val="20"/>
          <w:color w:val="auto"/>
        </w:rPr>
      </w:pPr>
    </w:p>
    <w:p>
      <w:pPr>
        <w:ind w:right="20" w:firstLine="351"/>
        <w:spacing w:after="0" w:line="323" w:lineRule="auto"/>
        <w:rPr>
          <w:sz w:val="20"/>
          <w:szCs w:val="20"/>
          <w:color w:val="auto"/>
        </w:rPr>
      </w:pPr>
      <w:r>
        <w:rPr>
          <w:rFonts w:ascii="Arial" w:cs="Arial" w:eastAsia="Arial" w:hAnsi="Arial"/>
          <w:sz w:val="15"/>
          <w:szCs w:val="15"/>
          <w:color w:val="auto"/>
        </w:rPr>
        <w:t>Our future success depends upon many factors, including our ability, and that of any licensees and collaborators that we may have, to successfully develop, obtain regulatory approval for and commercialize our drug candidates. We have had no commercial revenues from sales of our drug candidates and we have had a history of operating losses. It is possible that we may not be able to successfully develop, obtain regulatory approval for or commercialize our drug candidates, and we are subject to a number of risks that you should be aware of before investing in us. These risks are described more fully in "Item 1A. Risk Factors."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ind w:right="200" w:firstLine="348"/>
        <w:spacing w:after="0" w:line="298" w:lineRule="auto"/>
        <w:rPr>
          <w:sz w:val="20"/>
          <w:szCs w:val="20"/>
          <w:color w:val="auto"/>
        </w:rPr>
      </w:pPr>
      <w:r>
        <w:rPr>
          <w:rFonts w:ascii="Arial" w:cs="Arial" w:eastAsia="Arial" w:hAnsi="Arial"/>
          <w:sz w:val="16"/>
          <w:szCs w:val="16"/>
          <w:color w:val="auto"/>
        </w:rPr>
        <w:t xml:space="preserve">We are incorporated in Delaware. Our website is located at </w:t>
      </w:r>
      <w:r>
        <w:rPr>
          <w:rFonts w:ascii="Arial" w:cs="Arial" w:eastAsia="Arial" w:hAnsi="Arial"/>
          <w:sz w:val="16"/>
          <w:szCs w:val="16"/>
          <w:i w:val="1"/>
          <w:iCs w:val="1"/>
          <w:color w:val="auto"/>
        </w:rPr>
        <w:t>http://www.celldex.com.</w:t>
      </w:r>
      <w:r>
        <w:rPr>
          <w:rFonts w:ascii="Arial" w:cs="Arial" w:eastAsia="Arial" w:hAnsi="Arial"/>
          <w:sz w:val="16"/>
          <w:szCs w:val="16"/>
          <w:color w:val="auto"/>
        </w:rPr>
        <w:t xml:space="preserve"> On our website, investors can obtain, free of charge, a copy of our Annual Report on Form 10-K, Quarterly Reports on Form 10-Q, Current Reports on Form 8-K, and other reports filed or furnished pursuant to Section 13(a) or 15(d) of the Exchange Act of 1934, as amended, as soon as reasonably practicable after we file such material electronically with, or furnish it to, the Securities and Exchange Commission, or SEC. None of the information posted on our website is incorporated by reference into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97"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pacing w:after="0" w:line="139"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November 2013, we announced the four- and five-year survival data from the 105 patients enrolled in the three Phase 2 rindopepimut clinical studies (ACTIVATE, ACT II and ACT III) in 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Median, Years</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2-year</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3-year</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4-year</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5-year</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(95% CI)</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 rindopepimut studies (n=105)</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(1.8, 2.4)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2"/>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Matched historical control (n=17)(1)</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 (0.9, 1.7)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280" w:hanging="531"/>
        <w:spacing w:after="0" w:line="268" w:lineRule="auto"/>
        <w:tabs>
          <w:tab w:leader="none" w:pos="16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pooled overall long-term survival results continue to be consistent with the ACT III Phase 2 study (18% for 4-years and 14% for 5-years).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ind w:right="60" w:firstLine="351"/>
        <w:spacing w:after="0" w:line="289"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GBM. Patients are randomized after the completion of surgery and standard chemoradiation treatment. The treatment regimen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after Gross Total Resection, or GTR, when compared to treatment with TMZ and a control injection of KLH. KLH is a component of rindopepimut and was selected due to its ability to generate a similar injection site reaction to that observed with rindopepimut. ACT IV is enrolling patients at over 200 centers worldwide to recruit approximately 374 patients with GTR to be included in the primary analysis. Based on current projections, we anticipate completion of enrollment in mid-2014.</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December 2011, we also initiated ReACT, a Phase 2 study of rindopepimut in combination with Avastin® in patients with recurrent EGFRvIII-positive GBM. ReACT was initially planned to enroll approximately 95 patients in a first or second relapse of GBM following receipt of standard therapy at approximately 25 sites across the United States. In August 2013, we announced the addition of an expansion cohort of approximately 75 patients to better characterize the potential activity of rindopepimut in this refractory patient population. This decision was based on early evidence of anti-tumor activity, including stable disease, tumor shrinkage and investigator-reported response. As amended, the ReACT study will now enroll approximately 170 patients across three groups. Approximately 70 patients who have yet to receive Avastin will be randomized to receive either rindopepimut and Avastin or a control injection of KLH and Avastin in a blinded fashion. Another 100 patients, including the expansion cohort of 75 patients, who are refractory to Avastin having received Avastin in either the frontline or recurrent setting with subsequent progression will receive rindopepimut plus Avastin in a single treatment arm. Study endpoints include 6 month progression free survival rate, objective response rate, or ORR, overall survival and safety and tolerability.</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November 2013, we reported interim data from our ongoing Phase 2 ReACT study. Rindopepimut plus Avastin was very well tolerated (dosing up to 13+ months) and the results demonstrated promising 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strong survival trend has also been seen to date versus the control group (see chart below).</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Interim ReACT Overall Survival and Progression-free Survival in Avastin-Naïve Recurrent GBM</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Rindopepimut &amp;</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Control &amp; Avastin</w:t>
            </w:r>
          </w:p>
        </w:tc>
        <w:tc>
          <w:tcPr>
            <w:tcW w:w="17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Avastin (n=20)</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(n=20)</w:t>
            </w:r>
          </w:p>
        </w:tc>
        <w:tc>
          <w:tcPr>
            <w:tcW w:w="170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Overall survival</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12.0 months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7.9 months</w:t>
            </w:r>
          </w:p>
        </w:tc>
        <w:tc>
          <w:tcPr>
            <w:tcW w:w="1700" w:type="dxa"/>
            <w:vAlign w:val="bottom"/>
            <w:shd w:val="clear" w:color="auto" w:fill="CCEEFF"/>
          </w:tcPr>
          <w:p>
            <w:pPr>
              <w:jc w:val="center"/>
              <w:ind w:left="52"/>
              <w:spacing w:after="0" w:line="201" w:lineRule="exact"/>
              <w:rPr>
                <w:sz w:val="20"/>
                <w:szCs w:val="20"/>
                <w:color w:val="auto"/>
              </w:rPr>
            </w:pPr>
            <w:r>
              <w:rPr>
                <w:rFonts w:ascii="Arial" w:cs="Arial" w:eastAsia="Arial" w:hAnsi="Arial"/>
                <w:sz w:val="18"/>
                <w:szCs w:val="18"/>
                <w:color w:val="auto"/>
                <w:w w:val="89"/>
              </w:rPr>
              <w:t>Hazard ratio = .43</w:t>
            </w:r>
          </w:p>
        </w:tc>
      </w:tr>
      <w:tr>
        <w:trPr>
          <w:trHeight w:val="224"/>
        </w:trPr>
        <w:tc>
          <w:tcPr>
            <w:tcW w:w="2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0"/>
              </w:rPr>
              <w:t>(0.13, 1.44); p=0.16</w:t>
            </w:r>
          </w:p>
        </w:tc>
      </w:tr>
      <w:tr>
        <w:trPr>
          <w:trHeight w:val="424"/>
        </w:trPr>
        <w:tc>
          <w:tcPr>
            <w:tcW w:w="4960" w:type="dxa"/>
            <w:vAlign w:val="bottom"/>
            <w:gridSpan w:val="2"/>
          </w:tcPr>
          <w:p>
            <w:pPr>
              <w:spacing w:after="0"/>
              <w:rPr>
                <w:sz w:val="20"/>
                <w:szCs w:val="20"/>
                <w:color w:val="auto"/>
              </w:rPr>
            </w:pPr>
            <w:r>
              <w:rPr>
                <w:rFonts w:ascii="Arial" w:cs="Arial" w:eastAsia="Arial" w:hAnsi="Arial"/>
                <w:sz w:val="18"/>
                <w:szCs w:val="18"/>
                <w:color w:val="auto"/>
              </w:rPr>
              <w:t>Progression-free survival</w:t>
            </w: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3.7 months</w:t>
            </w:r>
          </w:p>
        </w:tc>
        <w:tc>
          <w:tcPr>
            <w:tcW w:w="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 months</w:t>
            </w:r>
          </w:p>
        </w:tc>
        <w:tc>
          <w:tcPr>
            <w:tcW w:w="1700" w:type="dxa"/>
            <w:vAlign w:val="bottom"/>
          </w:tcPr>
          <w:p>
            <w:pPr>
              <w:jc w:val="center"/>
              <w:ind w:left="52"/>
              <w:spacing w:after="0"/>
              <w:rPr>
                <w:sz w:val="20"/>
                <w:szCs w:val="20"/>
                <w:color w:val="auto"/>
              </w:rPr>
            </w:pPr>
            <w:r>
              <w:rPr>
                <w:rFonts w:ascii="Arial" w:cs="Arial" w:eastAsia="Arial" w:hAnsi="Arial"/>
                <w:sz w:val="18"/>
                <w:szCs w:val="18"/>
                <w:color w:val="auto"/>
                <w:w w:val="89"/>
              </w:rPr>
              <w:t>Hazard ratio = .74</w:t>
            </w:r>
          </w:p>
        </w:tc>
      </w:tr>
      <w:tr>
        <w:trPr>
          <w:trHeight w:val="222"/>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Pr>
          <w:p>
            <w:pPr>
              <w:jc w:val="center"/>
              <w:ind w:left="72"/>
              <w:spacing w:after="0"/>
              <w:rPr>
                <w:sz w:val="20"/>
                <w:szCs w:val="20"/>
                <w:color w:val="auto"/>
              </w:rPr>
            </w:pPr>
            <w:r>
              <w:rPr>
                <w:rFonts w:ascii="Arial" w:cs="Arial" w:eastAsia="Arial" w:hAnsi="Arial"/>
                <w:sz w:val="18"/>
                <w:szCs w:val="18"/>
                <w:color w:val="auto"/>
                <w:w w:val="90"/>
              </w:rPr>
              <w:t>(0.34, 1.61); p=0.47</w:t>
            </w:r>
          </w:p>
        </w:tc>
      </w:tr>
    </w:tbl>
    <w:p>
      <w:pPr>
        <w:spacing w:after="0" w:line="210"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Avastin-refractory patients treated with both rindopepimut and Avastin, a median progression-free survival, or PFS, of 1.9 months and an overall survival, or OS, of 5.6 months was observed. The median overall survival of 5.6 months is noteworthy in these heavily pre-treated, refractory EGFRvIII-positive patients. A review of the literature assessing survival in recurrent patients who are Avastin-experienced across eight independent studies suggests a weighted-average survival of 3.6 months (range of 2.6 to 5.8 months) in all-comers. It is important to note that these eight studies do not necessarily meet the strict definition of refractory applied in the ReACT study and that these studies included EGFRvIII-negative patients who tend to perform better. Progression-free survival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ind w:right="400"/>
        <w:spacing w:after="0" w:line="268" w:lineRule="auto"/>
        <w:rPr>
          <w:sz w:val="20"/>
          <w:szCs w:val="20"/>
          <w:color w:val="auto"/>
        </w:rPr>
      </w:pPr>
      <w:r>
        <w:rPr>
          <w:rFonts w:ascii="Arial" w:cs="Arial" w:eastAsia="Arial" w:hAnsi="Arial"/>
          <w:sz w:val="18"/>
          <w:szCs w:val="18"/>
          <w:color w:val="auto"/>
        </w:rPr>
        <w:t>results in this refractory population may be more consistent with the profile of an immunotherapy candidate where progression-free survival does not always correlate directly with an overall survival benefit.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Enrollment in ReACT is expected to be completed in late 2014 with data anticipated by year-end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66"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73"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 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70" w:lineRule="exact"/>
        <w:rPr>
          <w:sz w:val="20"/>
          <w:szCs w:val="20"/>
          <w:color w:val="auto"/>
        </w:rPr>
      </w:pPr>
    </w:p>
    <w:p>
      <w:pPr>
        <w:ind w:right="200" w:firstLine="351"/>
        <w:spacing w:after="0" w:line="253" w:lineRule="auto"/>
        <w:rPr>
          <w:sz w:val="20"/>
          <w:szCs w:val="20"/>
          <w:color w:val="auto"/>
        </w:rPr>
      </w:pPr>
      <w:r>
        <w:rPr>
          <w:rFonts w:ascii="Arial" w:cs="Arial" w:eastAsia="Arial" w:hAnsi="Arial"/>
          <w:sz w:val="18"/>
          <w:szCs w:val="18"/>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7"/>
              </w:rPr>
              <w:t>Triple Negative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jc w:val="center"/>
              <w:ind w:left="367"/>
              <w:spacing w:after="0" w:line="149" w:lineRule="exact"/>
              <w:rPr>
                <w:sz w:val="20"/>
                <w:szCs w:val="20"/>
                <w:color w:val="auto"/>
              </w:rPr>
            </w:pPr>
            <w:r>
              <w:rPr>
                <w:rFonts w:ascii="Arial" w:cs="Arial" w:eastAsia="Arial" w:hAnsi="Arial"/>
                <w:sz w:val="14"/>
                <w:szCs w:val="14"/>
                <w:b w:val="1"/>
                <w:bCs w:val="1"/>
                <w:color w:val="auto"/>
                <w:w w:val="89"/>
              </w:rPr>
              <w:t>and gpNMB</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gpNMB Over-Expression</w:t>
            </w:r>
          </w:p>
        </w:tc>
        <w:tc>
          <w:tcPr>
            <w:tcW w:w="1460" w:type="dxa"/>
            <w:vAlign w:val="bottom"/>
            <w:gridSpan w:val="3"/>
          </w:tcPr>
          <w:p>
            <w:pPr>
              <w:jc w:val="center"/>
              <w:ind w:left="347"/>
              <w:spacing w:after="0"/>
              <w:rPr>
                <w:sz w:val="20"/>
                <w:szCs w:val="20"/>
                <w:color w:val="auto"/>
              </w:rPr>
            </w:pPr>
            <w:r>
              <w:rPr>
                <w:rFonts w:ascii="Arial" w:cs="Arial" w:eastAsia="Arial" w:hAnsi="Arial"/>
                <w:sz w:val="14"/>
                <w:szCs w:val="14"/>
                <w:b w:val="1"/>
                <w:bCs w:val="1"/>
                <w:color w:val="auto"/>
                <w:w w:val="85"/>
              </w:rPr>
              <w:t>Over-Expression</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Borders>
              <w:top w:val="single" w:sz="8" w:color="auto"/>
            </w:tcBorders>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4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vedotin</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IC</w:t>
            </w:r>
          </w:p>
        </w:tc>
        <w:tc>
          <w:tcPr>
            <w:tcW w:w="14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4"/>
              </w:rPr>
              <w:t>vedotin</w:t>
            </w: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IC</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(n=25)</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(n=8)</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(n=12)</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center"/>
              <w:ind w:right="2"/>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right="400"/>
        <w:spacing w:after="0" w:line="306" w:lineRule="auto"/>
        <w:rPr>
          <w:sz w:val="20"/>
          <w:szCs w:val="20"/>
          <w:color w:val="auto"/>
        </w:rPr>
      </w:pPr>
      <w:r>
        <w:rPr>
          <w:rFonts w:ascii="Arial" w:cs="Arial" w:eastAsia="Arial" w:hAnsi="Arial"/>
          <w:sz w:val="16"/>
          <w:szCs w:val="16"/>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ind w:left="400"/>
              <w:spacing w:after="0"/>
              <w:rPr>
                <w:sz w:val="20"/>
                <w:szCs w:val="20"/>
                <w:color w:val="auto"/>
              </w:rPr>
            </w:pPr>
            <w:r>
              <w:rPr>
                <w:rFonts w:ascii="Arial" w:cs="Arial" w:eastAsia="Arial" w:hAnsi="Arial"/>
                <w:sz w:val="14"/>
                <w:szCs w:val="14"/>
                <w:b w:val="1"/>
                <w:bCs w:val="1"/>
                <w:color w:val="auto"/>
                <w:w w:val="95"/>
              </w:rPr>
              <w:t>Triple Negative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gpNMB</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and gpNMB</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89"/>
              </w:rPr>
              <w:t>Over-Expression</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9"/>
              </w:rPr>
              <w:t>Over-Expression</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glembatumumab</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glembatumumab</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vedotin</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4"/>
                <w:szCs w:val="14"/>
                <w:color w:val="auto"/>
              </w:rPr>
            </w:pPr>
          </w:p>
        </w:tc>
        <w:tc>
          <w:tcPr>
            <w:tcW w:w="1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vedotin</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p=0.14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p=0.008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5320" w:type="dxa"/>
            <w:vAlign w:val="bottom"/>
            <w:gridSpan w:val="3"/>
          </w:tcPr>
          <w:p>
            <w:pPr>
              <w:spacing w:after="0"/>
              <w:rPr>
                <w:sz w:val="20"/>
                <w:szCs w:val="20"/>
                <w:color w:val="auto"/>
              </w:rPr>
            </w:pPr>
            <w:r>
              <w:rPr>
                <w:rFonts w:ascii="Arial" w:cs="Arial" w:eastAsia="Arial" w:hAnsi="Arial"/>
                <w:sz w:val="18"/>
                <w:szCs w:val="18"/>
                <w:color w:val="auto"/>
              </w:rPr>
              <w:t>Median OS (months)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color w:val="auto"/>
              </w:rPr>
              <w:t>p=0.18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p=0.003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5.2 months for IC (p=0.05) and median OS in triple negative patients with gpNMB over-expression is 10.0 months for glembatumumab vedotin vs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5.2 months for IC (p=0.009).</w:t>
      </w:r>
    </w:p>
    <w:p>
      <w:pPr>
        <w:spacing w:after="0" w:line="21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December 2013, we initiated METRIC, a randomized, controlled study of glembatumumab vedotin in patients with triple negative breast cancer that over-express gpNMB designed to obtain accelerated approval. METRIC will be conducted in approximately 100 sites, primarily across the United States with additional sites in Canada and Australia and will enroll approximately 300 patients.</w:t>
      </w:r>
    </w:p>
    <w:p>
      <w:pPr>
        <w:spacing w:after="0" w:line="18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 pharmacokinetics</w:t>
      </w:r>
      <w:r>
        <w:rPr>
          <w:rFonts w:ascii="Arial" w:cs="Arial" w:eastAsia="Arial" w:hAnsi="Arial"/>
          <w:sz w:val="16"/>
          <w:szCs w:val="16"/>
          <w:b w:val="1"/>
          <w:bCs w:val="1"/>
          <w:color w:val="auto"/>
        </w:rPr>
        <w:t xml:space="preserve"> </w:t>
      </w:r>
      <w:r>
        <w:rPr>
          <w:rFonts w:ascii="Arial" w:cs="Arial" w:eastAsia="Arial" w:hAnsi="Arial"/>
          <w:sz w:val="16"/>
          <w:szCs w:val="16"/>
          <w:color w:val="auto"/>
        </w:rPr>
        <w:t>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72"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 is currently exploring conducting additional clinical studies in indications known to express gpNMB. Phase 2 studies in melanoma and squamous cell lung cancer are expected to initiate in the second half of 2014.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w:t>
      </w:r>
    </w:p>
    <w:p>
      <w:pPr>
        <w:spacing w:after="0" w:line="174"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 xml:space="preserve">CD27 acts downstream from CD40 and may provide a novel way to regulate the immune responses. CD27 is a co-stimulatory molecule on T cells and is over-expressed in certain lymphomas and leukemias. varlilumab is an agonist antibody designed to have two potential therapeutic mechanisms. Varlilumab has been shown to activate immune cells that can target and eliminate cancerous cells in tumor-bearing mice and to directly kill or inhibit the growth of CD27 expressing lymphomas and leukemias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Both mechanisms have been seen even at low doses in appropriate preclinical models.</w:t>
      </w:r>
    </w:p>
    <w:p>
      <w:pPr>
        <w:spacing w:after="0" w:line="16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November 2013, we announced data from our ongoing open label, dose-escalating Phase 1 study of varlilumab in patients with selected malignant solid tumors or hematologic cancers at multiple clinical sites in the United States. The Phase 1 study is designed to test five escalating doses of varlilumab to determine a Phase 2 dose for further development based on safety, tolerability, potential activity and immunogenicity. The results suggest a favorable safety profile with no evidence of immune related toxicities. Clear biologic activity and promising signs of clinical activity were demonstrated in an advanced, refractory patient population including a complete response in Hodgkin disease, two additional patients with significant tumor shrinkage and eight patients with stable disease or better (PFS range of 3.0 to 14+ months). No maximum tolerated dose was reached to date and immune monitoring data in patients confirmed varlilumab's mechanism of action. Expansion cohorts have been enrolling in metastatic melanoma and renal cell carcinoma and are planned in hematologic indications with initial data anticipated in mid-2014. We intend to initiate new studies of varlilumab in combination with various agents in 2014.</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ind w:right="60" w:firstLine="351"/>
        <w:spacing w:after="0" w:line="288"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 (Plerixafor injection, formerly AMD3100) demonstrating that the combination of these agents significantly increases hematopoietic stem cell mobilization in mice. The data demonstrate a novel potent cell mobilization regimen combining CDX-301 and Mozobil®, which may have significant potential for use in autologous and allogeneic hematopoietic stem cell transplantation. Based on the safety profile and the clinical and preclinical data to date, we plan to initiate a pilot clinical study of CDX-301 as a single-agent and in combination with Mozobil in the transplant setting in the first half of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300" w:firstLine="351"/>
        <w:spacing w:after="0" w:line="314" w:lineRule="auto"/>
        <w:rPr>
          <w:sz w:val="20"/>
          <w:szCs w:val="20"/>
          <w:color w:val="auto"/>
        </w:rPr>
      </w:pPr>
      <w:r>
        <w:rPr>
          <w:rFonts w:ascii="Arial" w:cs="Arial" w:eastAsia="Arial" w:hAnsi="Arial"/>
          <w:sz w:val="15"/>
          <w:szCs w:val="15"/>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59" w:lineRule="exact"/>
        <w:rPr>
          <w:sz w:val="20"/>
          <w:szCs w:val="20"/>
          <w:color w:val="auto"/>
        </w:rPr>
      </w:pPr>
    </w:p>
    <w:p>
      <w:pPr>
        <w:ind w:right="120" w:firstLine="348"/>
        <w:spacing w:after="0" w:line="284" w:lineRule="auto"/>
        <w:rPr>
          <w:sz w:val="20"/>
          <w:szCs w:val="20"/>
          <w:color w:val="auto"/>
        </w:rPr>
      </w:pPr>
      <w:r>
        <w:rPr>
          <w:rFonts w:ascii="Arial" w:cs="Arial" w:eastAsia="Arial" w:hAnsi="Arial"/>
          <w:sz w:val="16"/>
          <w:szCs w:val="16"/>
          <w:color w:val="auto"/>
        </w:rPr>
        <w:t>The Phase 1 study evaluated three different doses of CDX-1401 in combination with toll-like receptor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w:t>
      </w:r>
    </w:p>
    <w:p>
      <w:pPr>
        <w:spacing w:after="0" w:line="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We are planning a collaborative Phase 2 study of CDX-1401 in combination with CDX-301 in malignant melanoma. This study will be conducted by the Cancer Immunotherapy Trials Network under a cooperative research and development agreement, or CRADA, with the Cancer Therapy Evaluation Program of the National Cancer Institute.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Dense Deposit Disease, or DDD, is a rare and devastating disease that is caused by uncontrolled activation of the alternative pathway of complement and leads to progressive kidney damage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ind w:right="480"/>
        <w:spacing w:after="0" w:line="332" w:lineRule="auto"/>
        <w:rPr>
          <w:sz w:val="20"/>
          <w:szCs w:val="20"/>
          <w:color w:val="auto"/>
        </w:rPr>
      </w:pPr>
      <w:r>
        <w:rPr>
          <w:rFonts w:ascii="Arial" w:cs="Arial" w:eastAsia="Arial" w:hAnsi="Arial"/>
          <w:sz w:val="16"/>
          <w:szCs w:val="16"/>
          <w:color w:val="auto"/>
        </w:rPr>
        <w:t>children. There is currently no treatment for patients with DDD and about half progress to end-stage renal disease within ten years. Because DDD recurs in virtually all patients who receive a kidney transplant, transplantation is often not a viable option for these patients.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July 2013, we initiated a pilot study of CDX-1135 in patients with DDD. Enrollment in the pilot study has been extremely difficult due to the overall rareness of patients with DDD (300-500 in the U.S.) further compounded by the need to enroll patients at a very specific point in their disease course. The study sought to enroll patients, particularly children, with enough kidney deterioration to be able to demonstrate clinical benefit/improvement but not so much disease burden that the kidneys were beyond salvaging. While we have been tracking a number of patients for potential enrollment, some patients progressed too quickly and others never progressed at all. To date, only one patient has been enrolled. While this patient demonstrated initial evidence of clinical improvement, the effect was not sustained. The results from this one patient combined with our experience using this agent in the compassionate use setting have not provided the conclusive results necessary for a feasible approval path in this disease. Due to these challenges, we have decided to close the study in DDD and focus resources on our growing immuno-oncology pipeline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CDX-014 is a fully-human monoclonal ADC that targets TIM-1, a molecule that is highly expressed on renal and ovarian cancers with minimal expression in normal tissues. The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have conducted preclinical proof-of-concept studies to optimize the drug candidate and plan to manufacture CDX-014 at our Fall River facility in 2014 prior to initiating IND-enabling toxicology studies.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Strategy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Immunotherapy Platform:</w:t>
      </w:r>
    </w:p>
    <w:p>
      <w:pPr>
        <w:spacing w:after="0" w:line="225"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believe there is untapped potential in immunotherapy that can be captured through the right combination and/or sequence of therapeutic agents. Immunotherapy approaches have encountered difficulties when following standard drug development. The mechanisms of action are complex, activity is generally not dependent on highest tolerated dose and patient response is highly variable. Our understanding of the immune system, cancer's effect on immune mediated mechanisms, and the impact of conventional therapies on the immune system provides a new rationale for combining therapies that may lead to significant clinical responses.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intent is to leverage this knowledge and the availability of good, tested products that may not be sufficiently effective to be commercialized as a monotherapy, but which we believe may be very effective in combination approaches. Our goal is to design and develop targeted products that maximize the efficacy of immunotherapy regimens through combinations of therapeutic agents in significant and growing markets. We establish governmental and corporate alliances to fund development when appropriate and intend to commercialize our products either through our own direct selling efforts or, for products which we cannot develop ourselves through to commercialization, through corporate partners. This approach allows us to maximize the overall value of our technology and product portfolios while best ensuring the expeditious development of each individual product.</w:t>
      </w:r>
    </w:p>
    <w:p>
      <w:pPr>
        <w:spacing w:after="0" w:line="174"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Factors that may significantly harm our commercial success, and ultimately the market price of our common stock, include but are not limited to, announcements of technological innovations or new commercial products by our competitors, disclosure of unsuccessful results of clinical testing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ind w:right="480"/>
        <w:spacing w:after="0" w:line="268" w:lineRule="auto"/>
        <w:rPr>
          <w:sz w:val="20"/>
          <w:szCs w:val="20"/>
          <w:color w:val="auto"/>
        </w:rPr>
      </w:pPr>
      <w:r>
        <w:rPr>
          <w:rFonts w:ascii="Arial" w:cs="Arial" w:eastAsia="Arial" w:hAnsi="Arial"/>
          <w:sz w:val="18"/>
          <w:szCs w:val="18"/>
          <w:color w:val="auto"/>
        </w:rPr>
        <w:t>regulatory proceedings and governmental approvals, adverse developments in patent or other proprietary rights, public concern about the safety of products developed by us and general economic and market conditions. See "Item 1A. Risk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231" w:lineRule="exact"/>
        <w:rPr>
          <w:sz w:val="20"/>
          <w:szCs w:val="20"/>
          <w:color w:val="auto"/>
        </w:rPr>
      </w:pPr>
    </w:p>
    <w:p>
      <w:pPr>
        <w:ind w:right="320" w:firstLine="348"/>
        <w:spacing w:after="0" w:line="298" w:lineRule="auto"/>
        <w:rPr>
          <w:sz w:val="20"/>
          <w:szCs w:val="20"/>
          <w:color w:val="auto"/>
        </w:rPr>
      </w:pPr>
      <w:r>
        <w:rPr>
          <w:rFonts w:ascii="Arial" w:cs="Arial" w:eastAsia="Arial" w:hAnsi="Arial"/>
          <w:sz w:val="16"/>
          <w:szCs w:val="16"/>
          <w:color w:val="auto"/>
        </w:rPr>
        <w:t>We may enter into co-development and commercialization partnerships for any of our programs where appropriate, including rindopepimut for commercialization outside of North America, glembatumumab vedotin and varlilumab. In the past, we have entered into collaborative partnership agreements with pharmaceutical and other companies and organizations that provided financial and other resources, including capabilities in research, development, manufacturing, and sales and marketing, to support our research and development programs and may enter into more of them in the future.</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Partnership agreements may terminate without benefit to us if the underlying products are not fully developed. If we fail to meet our obligations under these agreements, they could terminate and we might need to enter into relationships with other collaborators and to spend additional time, money, and other valuable resources in the process. We cannot predict whether our collaborators will continue their development efforts or, if they do, whether their efforts will achieve success. Many of our collaborators face the same kinds of risks and uncertainties in their business that we face. A delay or setback to a partner will, at a minimum, delay the commercialization of any affected products, and may ultimately prevent it. Moreover, any partner could breach its agreement with us or otherwise not use best efforts to promote our products. A partner may choose to pursue alternative technologies or products that compete with our technologies or products. In either case, if a partner failed to successfully develop one of our products, we would need to find another partner. Our ability to do so would depend upon our legal right to do so at the time and whether the product remained commercially viable.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TopoTarget A/S (TopoTarget)</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Under our agreement with TopoTarget, we could receive up to $6.0 million in either potential commercial milestone payments related to future net sales of Belinostat or 10% of any sublicense income received by TopoTarget. We have no financial and operational responsibility for the clinical development of Belinostat under our agreement with TopoTarget. In February 2010, TopoTarget entered into a co-development and commercialization agreement for Belinostat with Spectrum Pharmaceuticals, Inc. In February 2010 and February 2014, we received $3.0 million and $1.0 million from TopoTarget, respectively. There are $2.0 million in potential payments remaining under our agreement with TopoTarget.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Collaboration and License Agreements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we may be required to pay royalties in the low-single digits on any net product sale of a Licensed Royalty-Bearing Product or Anti-Mannose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ind w:right="320"/>
        <w:spacing w:after="0" w:line="268" w:lineRule="auto"/>
        <w:rPr>
          <w:sz w:val="20"/>
          <w:szCs w:val="20"/>
          <w:color w:val="auto"/>
        </w:rPr>
      </w:pPr>
      <w:r>
        <w:rPr>
          <w:rFonts w:ascii="Arial" w:cs="Arial" w:eastAsia="Arial" w:hAnsi="Arial"/>
          <w:sz w:val="18"/>
          <w:szCs w:val="18"/>
          <w:color w:val="auto"/>
        </w:rPr>
        <w:t>Product to Medarex until the later of (i) the expiration of the last to expire applicable patent and (ii) the tenth anniversary of the first commercial sale of such licensed product.</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and Medarex have also entered into a research and commercialization agreement, as amended, that provides us with certain rights to obtain exclusive commercial licenses to proprietary monoclonal antibodies raised against certain antigens utilizing the Medarex UltiMAb technology platform for generating antibodies until December 2015. Under the terms of the agreement, we may be required to pay milestones of up to $7.0 million upon obtaining first approval for commercial sale in a first indication of a product containing a licensed antibody and royalty payments in the low-to-mid 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we exercised an option under our agreement, whereby we licensed from Medarex access to the UltiMab technology to develop and commercialize human antibodies to CD27, including varlilumab.</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November 2005, we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We may be required to pay milestones of up to $3.9 million upon obtaining first approval for commercial sale in a first indication of a product targeting the licensed receptor and royalty payments in the low-to-mid single digits on any net product sales to Rockefeller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September 2006, we and Duke entered into a license agreement that gave us access and reference to the clinical data generated by Duke and its collaborators in order for us to generate our own filing with the FDA relating to rindopepimut. We may be required to pay milestones of up to $0.7 million upon obtaining first approval for commercial sale in a first indication and royalty payments in the low-single digits on any net product sales to Duke with respect to development and commercialization of rindopepimut.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October 2006, we and Ludwig entered into an agreement for the nonexclusive rights to certain cancer tumor targets for use in combination with our APC Targeting Technology. We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In October 2005, we completed the acquisition of the assets of Alteris, including the EGFRvIII molecule. We may be required to pay Alteris up to $5.0 million upon obtaining the first approval for commercial sale of a product containing EGFRvIII, including rindopepimut.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November 2008, we entered into a license agreement with Southampton to develop human antibodies towards CD27, a potentially important target for immunotherapy of various cancers. We may be required to pay milestones of up to approximately $1.4 million upon obtaining first approval for</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 w:name="page16"/>
    <w:bookmarkEnd w:id="15"/>
    <w:p>
      <w:pPr>
        <w:ind w:right="440"/>
        <w:spacing w:after="0" w:line="268" w:lineRule="auto"/>
        <w:rPr>
          <w:sz w:val="20"/>
          <w:szCs w:val="20"/>
          <w:color w:val="auto"/>
        </w:rPr>
      </w:pPr>
      <w:r>
        <w:rPr>
          <w:rFonts w:ascii="Arial" w:cs="Arial" w:eastAsia="Arial" w:hAnsi="Arial"/>
          <w:sz w:val="18"/>
          <w:szCs w:val="18"/>
          <w:color w:val="auto"/>
        </w:rPr>
        <w:t>commercial sale in a first indication and royalty payments in the low-single digits on any net product sales to Southampton with respect to development and commercialization of varlilumab.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jc w:val="both"/>
        <w:ind w:right="280" w:firstLine="351"/>
        <w:spacing w:after="0" w:line="298" w:lineRule="auto"/>
        <w:rPr>
          <w:sz w:val="20"/>
          <w:szCs w:val="20"/>
          <w:color w:val="auto"/>
        </w:rPr>
      </w:pPr>
      <w:r>
        <w:rPr>
          <w:rFonts w:ascii="Arial" w:cs="Arial" w:eastAsia="Arial" w:hAnsi="Arial"/>
          <w:sz w:val="16"/>
          <w:szCs w:val="16"/>
          <w:color w:val="auto"/>
        </w:rPr>
        <w:t>In March 2009, we entered into a license agreement with Amgen to acquire the exclusive rights to CDX-301 and CD40 ligand, or CD40L. CDX-301 and CD40L are immune modulating molecules that increase the numbers and activity of immune cells that control immune responses. We may be required to pay milestones of up to $1.0 million upon obtaining first approval for commercial sale in a first indication and royalty payments in the low-single digits on any net product sales to Amgen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Fremont (formerly Abgenix)</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 connection with our acquisition of CuraGen Corporation in 2009, we assumed the license agreement between CuraGen and Amgen Fremont (successor in-interest to Abgenix) to develop fully-human monoclonal antibody therapeutics. In May 2009, an amendment to the license agreement was entered into related to CuraGen's exclusive rights to develop and commercialize glembatumumab vedotin, CDX-014 and 10 other licensed antigens. Under the amendment, CuraGen and Amgen Fremont agreed to modify the terms of their existing cross-license of antigens whereby our amended license is fully paid-up and royalty-free.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In connection with our acquisition of CuraGen, we assumed the license agreement between CuraGen and Seattle Genetics whereby CuraGen acquired the rights to proprietary ADC technology, with the right to sublicense, for use with its proprietary antibodies for the potential treatment of cancer. Under the terms of the agreement, we have the responsibility of using commercially reasonable efforts to develop, commercialize and market such treatment. In furtherance of these responsibilities, technical assistance from Seattle Genetics is available to us as necessary. In February 2014, we paid $2.5 million in milestones to Seattle Genetics as a result of the METRIC initiation. We may be required to pay milestones of up to $5.0 million upon obtaining first approval for commercial sale in a first indication and royalty payments in the mid-single digits on any net product sales to Seattle Genetics with respect to development and commercialization of the ADC technology, including glembatumumab vedotin and CDX-014. The term of the agreement varies country to country and may be until the later of the</w:t>
      </w:r>
    </w:p>
    <w:p>
      <w:pPr>
        <w:spacing w:after="0" w:line="209" w:lineRule="auto"/>
        <w:rPr>
          <w:sz w:val="20"/>
          <w:szCs w:val="20"/>
          <w:color w:val="auto"/>
        </w:rPr>
      </w:pPr>
      <w:r>
        <w:rPr>
          <w:rFonts w:ascii="Arial" w:cs="Arial" w:eastAsia="Arial" w:hAnsi="Arial"/>
          <w:sz w:val="18"/>
          <w:szCs w:val="18"/>
          <w:color w:val="auto"/>
        </w:rPr>
        <w:t>expiration of the last relevant patent 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anniversary of the first commercial sale. The agreement allows Celldex to terminate with prior written notice, with both parties being able to terminate the agreement for an uncured material breach or insolvency of the other party.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biotechnology and pharmaceutical industries are intensely competitive and subject to rapid and significant technological change. Many of the products that we are attempting to develop and commercialize will be competing with existing therapies. In addition, a number of companies are pursuing the development of pharmaceuticals that target the same diseases and conditions that we are targeting. We face competition from pharmaceutical and biotechnology companies both in the United States and abroad. Our competitors may utilize discovery technologies and techniques or partner with collaborators in order to develop products more rapidly or successfully than us or our collaborators are able to do. Many of our competitors, particularly large pharmaceutical companies, have substantially greater financial, technical and human resources than we do. In addition, academic institutions, government agencies and other public and private organizations conducting research may seek patent protection with respect to potentially competitive products or technologies and may establish exclusive collaborative or licensing relationships with our competitors.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ind w:firstLine="348"/>
        <w:spacing w:after="0" w:line="286"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of which we are aware that have initiated a Phase 3 study or have obtained marketing approval for a potentially competitive drug to rindopepimut for treatment of glioblastoma and/or glembatumumab vedotin for treatment of breast cancer include Arbor Pharmaceutics, Inc., AstraZeneca PLC, Bayer, Celgene Corporation, Eisai Inc., Eli Lilly and Company, Medigene AG, Northwest Biotherapeutics, Inc., Pfizer Inc., and Roche. Many other companies are developing or commercializing products in areas that we have targeted for product development. Some of these products use therapeutic approaches that may compete directly with our drug candidates. Most of our competitors possess substantially greater financial, technical and human resources than we possess. In addition, many of our competitors have significantly greater experience than we have in conducting preclinical and nonclinical testing and human clinical trials of drug candidates, scaling up manufacturing operations and obtaining regulatory approvals of drugs and manufacturing facilities. Accordingly, our competitors may succeed in obtaining regulatory approval for drugs more rapidly than we do. If we obtain regulatory approval and launch commercial sales of our drug candidates, we also will compete with respect to manufacturing efficiency and sales and marketing capabilities, areas in which we currently have limited experience.</w:t>
      </w:r>
    </w:p>
    <w:p>
      <w:pPr>
        <w:spacing w:after="0" w:line="17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also face competition from pharmaceutical and biotechnology companies, academic institutions, government agencies and private research organizations in recruiting and retaining highly qualified scientific personnel and consultants and in the development and acquisition of technologies. Moreover, technology controlled by third parties that may be advantageous to our business may be acquired or licensed by our competitors, thereby preventing us from obtaining technology on commercially reasonable terms, if at all. We will also compete for the services of third parties that may have already developed or acquired internal biotechnology capabilities or made commercial arrangements with other biopharmaceutical companies to target the diseases on which we have focused both in the U.S. and outside of the U.S.</w:t>
      </w:r>
    </w:p>
    <w:p>
      <w:pPr>
        <w:spacing w:after="0" w:line="198" w:lineRule="exact"/>
        <w:rPr>
          <w:sz w:val="20"/>
          <w:szCs w:val="20"/>
          <w:color w:val="auto"/>
        </w:rPr>
      </w:pPr>
    </w:p>
    <w:p>
      <w:pPr>
        <w:ind w:right="40" w:firstLine="351"/>
        <w:spacing w:after="0" w:line="312" w:lineRule="auto"/>
        <w:rPr>
          <w:sz w:val="20"/>
          <w:szCs w:val="20"/>
          <w:color w:val="auto"/>
        </w:rPr>
      </w:pPr>
      <w:r>
        <w:rPr>
          <w:rFonts w:ascii="Arial" w:cs="Arial" w:eastAsia="Arial" w:hAnsi="Arial"/>
          <w:sz w:val="15"/>
          <w:szCs w:val="15"/>
          <w:color w:val="auto"/>
        </w:rPr>
        <w:t>Our competitive position will also depend upon our ability to attract and retain qualified personnel, obtain patent protection or otherwise develop proprietary products or processes and secure sufficient capital resources for the often lengthy period between technological conception and commercial sales. We will require substantial capital resources to complete development of some or all of our products, obtain the necessary regulatory approvals and successfully manufacture and market our products. In order to secure capital resources, we anticipate having to sell additional capital stock, which would dilute existing stockholders. We may also attempt to obtain funds through research grants and agreements with commercial collaborators. However, these types of fundings are uncertain because they are at the discretion of the organizations and companies that control the funds. As a result, we may not receive any funds from grants or collaborations. Alternatively, we may borrow funds from commercial lenders, likely at high interest rates, which would increase the risk of any investment in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limited experience in commercial manufacturing. We rely on contract manufacturing organizations, or CMOs, to manufacture drug substance and drug product for our late-stage clinical studies of rindopepimut and glembatumumab vedotin as well as for future commercial supplies.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the extensive current Good Manufacturing Practices, or cGMP, regulations applicable to such a facility. The commercial manufacturing facility would also need to be licensed for the production of our drug candidates by the FDA. For our most advanced programs, we are working with CMOs under established manufacturing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sz w:val="20"/>
          <w:szCs w:val="20"/>
          <w:color w:val="auto"/>
        </w:rPr>
      </w:pPr>
      <w:r>
        <w:rPr>
          <w:rFonts w:ascii="Arial" w:cs="Arial" w:eastAsia="Arial" w:hAnsi="Arial"/>
          <w:sz w:val="15"/>
          <w:szCs w:val="15"/>
          <w:color w:val="auto"/>
        </w:rPr>
        <w:t>arrangements that comply with the FDA's requirements and other regulatory standards, although there is no assurance that the manufacturing will be successful.</w:t>
      </w:r>
    </w:p>
    <w:p>
      <w:pPr>
        <w:spacing w:after="0" w:line="260"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currently use rindopepimut drug product that was manufactured by Pfizer and Jubilant Hollister Stier, in the ACT IV and ReACT clinical studies. In 2013, we established a relationship with SAFC, a division of the Sigma Aldrich Corporation, to manufacture rindopepimut for late stage development and commercial supply. We rely on Biosyn and Ambiopharm for supplying suitable quantities of cGMP starting materials for the manufacture of rindopepimut. We also rely on Sanofi to supply suitable quantities of commercial quality GM-CSF which is co-administered with rindopepimut. Any manufacturing failures or delays by our rindopepimut contract manufacturers or suppliers of critical materials could cause delays in the ACT IV and ReACT studies and/or the commercial launch of rindopepimut.</w:t>
      </w:r>
    </w:p>
    <w:p>
      <w:pPr>
        <w:spacing w:after="0" w:line="198"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To date, we have utilized contract manufacturing organizations for the manufacture of clinical trial supplies of glembatumumab vedotin. In 2013, we established a relationship with Lonza, AG to manufacture the CR-011 antibody and Piramal Healthcare UK Ltd. to conjugate the CR-011 antibody and stable linker with the MMAE toxin. We rely on SAFC for sourcing of suitable quantities of vcMMAE. Any manufacturing failures or delays by our glembatumumab vedotin contract manufacturers or suppliers of materials could cause delays in the METRIC study and/or the commercial launch of glembatumumab vedotin.</w:t>
      </w:r>
    </w:p>
    <w:p>
      <w:pPr>
        <w:spacing w:after="0" w:line="16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have established our own cGMP manufacturing facility in Fall River, Massachusetts, to produce clinical materials for our current and planned Phase 1 and Phase 2 clinical trials. Our Fall River manufacturing facility has up to 1000L bioreactor capacity and is able to manufacture in compliance with FDA regulations, allowing us to distribute potential products to clinical sites in the US for early clinical trials. We manufacture clinical materials of varlilumab, CDX-1401, and CDX-301 in our Fall River facility for our current and planned Phase 1 and Phase 2 clinical trials. The products are filled and packaged at CMOs. Any manufacturing failures or compliance issues at contract manufacturers could cause delays in our Phase 1 and Phase 2 clinical studies.</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we believe that there is currently sufficient capacity worldwide for the production of our potential products through contract manufacturers, establishing long-term relationships with contract manufacturers and securing multiple sources for the necessary quantities of clinical and commercial materials required can be a challenge. Qualifying the initial source of clinical and ultimately commercial material is a time consuming and expensive process due to the highly regulated nature of the pharmaceutical/biotech industry. These costs are hopefully mitigated in the economies of scale realized in commercial manufacture and product sale. The key difficulty in qualifying more than one source for each product is the duplicated time and expense in doing so without the potential to mitigate these costs if the secondary source is never utilized.</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Use of third party manufacturers limits our control over and ability to monitor the manufacturing process. As a result, we may not be able to detect a variety of problems that may arise and may face additional costs in the process of interfacing with and monitoring the progress of our contract manufacturers. If third party manufacturers fail to meet our manufacturing needs in an acceptable manner, we would face delays and additional costs while we develop internal manufacturing capabilities or find alternative third party manufacturers. It may not be possible to have multiple third party manufacturers ready to supply us with needed material at all or without incurring significant costs.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Marketing</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retained, and in the future intend to retain, marketing rights to some of our drug candidates and immunotherapeutic delivery systems in selected geographic areas and for specified indications. We may seek marketing and distribution agreements and/or co-promotion agreements for the distribution of our products in these geographic areas and for these indications. We believe that these arrangements could enable us to generate greater financial return than might be obtained from early stage licensing and collaboration agreements for these products.</w:t>
      </w:r>
    </w:p>
    <w:p>
      <w:pPr>
        <w:spacing w:after="0" w:line="16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currently have limited marketing and sales staff and limited experience relating to marketing and distribution of commercial products. We plan to continue to expand our marketing staff in 2014 with a focus on commercial planning efforts for rindopepimut and glembatumumab vedotin. We plan to fund and complete the development and, if we obtain regulatory approval, to commercialize rindopepimut in North America ourselves. If we obtain regulatory approval, we will be required to recruit an experienced marketing and sales staff, develop a supporting distribution capability and incur significant additional expenditures. There can be no assurance that we will be able to establish a successful marketing and sales force.</w:t>
      </w:r>
    </w:p>
    <w:p>
      <w:pPr>
        <w:spacing w:after="0" w:line="170"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color w:val="auto"/>
        </w:rPr>
        <w:t>For some of our drug candidates, we may choose to enter into strategic partnerships to develop, sell, market and distribute our products. Under the terms of future partnership agreements, we may rely on the efforts of our collaborators for the distribution, sale and marketing of our products. There can be no assurance that our collaborators will develop and market our drug candidates incorporating our technologies, or, if marketed, that such efforts will be successful. The failure of our collaborators to successfully market products would harm our business. Any delay in the marketing or distribution of our products, whether it results from problems with internal capabilities or with a collaborative relationship, could harm the value of an investment in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Licenses and Proprietary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general, our intellectual property strategy is to protect our technology by filing patent applications and obtaining patent rights covering our own technology, both in the United States and in foreign countries that we consider important to our business. In addition, we have acquired and will seek to acquire as needed or desired, exclusive rights of others through assignment or license to complement our portfolio of patent rights. We also rely on trade secrets, unpatented know-how and technological expertise and innovation to develop and maintain our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successful development and marketing of products by us will depend in part on our ability to create and maintain intellectual property, including patent rights. We are the owner or exclusive licensee to proprietary patent positions in the areas of vaccine technologies, antibody technologies and complement inhibitor technology. Although we continue to pursue patent protection for our products, no assurance can be given that any pending application will issue as a patent, that any issued patent will have a scope that will be of commercial benefit, or that we will be able to successfully enforce our patent position against infringers. We routinely review our patent portfolio and adjust our strategies for prosecution and maintenance of individual cases according to a number of factors including program priorities, stage of development, and patent term.</w:t>
      </w:r>
    </w:p>
    <w:p>
      <w:pPr>
        <w:spacing w:after="0" w:line="17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own or license rights under more than 300 granted patents and national and regional patent applications in the U.S. and in major international territories covering inventions relating to our business. The key patents and patent applications owned by us or licensed to us that we consider important to our business include the following (the indicated and estimated patent expiry dates do not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include any possible Patent Term Extensions or Supplementary Protection Certificates, if these may be secured in due course):</w:t>
      </w:r>
    </w:p>
    <w:p>
      <w:pPr>
        <w:spacing w:after="0" w:line="239" w:lineRule="exact"/>
        <w:rPr>
          <w:sz w:val="20"/>
          <w:szCs w:val="20"/>
          <w:color w:val="auto"/>
        </w:rPr>
      </w:pPr>
    </w:p>
    <w:p>
      <w:pPr>
        <w:ind w:left="1080" w:right="20" w:hanging="532"/>
        <w:spacing w:after="0" w:line="254"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licensed rights from Duke University under an issued European patent, a patent application in the U.S. and patents and patent applications in other major international territories relating to uses of rindopepimut. If and where issued and maintained to full term in a form which covers commercial use of rindopepimut, the filings could potentially provide patent protection for the relevant use in the relevant territories to 2026. We also have patent applications in the U.S. and major international territories relating to methods of manufacture and formulation of rindopepimut, which, if issued in a form which covers manufacture and/or formulation of rindopepimut and maintained to full term in due course, would have estimated patent expiry dates in 2030.</w:t>
      </w:r>
    </w:p>
    <w:p>
      <w:pPr>
        <w:spacing w:after="0" w:line="225"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patent portfolio for glembatumumab vedotin includes an issued patent in Europe and pending patent applications in the U.S. and Japan. If and where issued and maintained to full term in due course, these would have estimated patent expiry dates in 2025. In addition, patent rights relating to the toxin and conjugation technology used in glembatumumab vedotin have been licensed from Seattle Genetics. The patent rights from Seattle Genetics include issued patents and pending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187" w:lineRule="exact"/>
        <w:rPr>
          <w:rFonts w:ascii="Arial" w:cs="Arial" w:eastAsia="Arial" w:hAnsi="Arial"/>
          <w:sz w:val="16"/>
          <w:szCs w:val="16"/>
          <w:color w:val="auto"/>
        </w:rPr>
      </w:pPr>
    </w:p>
    <w:p>
      <w:pPr>
        <w:ind w:left="1080" w:right="80" w:hanging="532"/>
        <w:spacing w:after="0" w:line="298"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licensed rights from the University of Southampton under issued U.S. and European patents and under pending patent applications in Japan and Canada relating to the technology used in varlilumab. If and where issued and maintained to full term in due course, these would have estimated patent expiry dates in 2027. We have filed further patent applications in the U.S. and major international territories which, if issued and maintained to full term in due course, would have estimated patent expiry dates in 2031.</w:t>
      </w:r>
    </w:p>
    <w:p>
      <w:pPr>
        <w:spacing w:after="0" w:line="180"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Patents for the technology used in CDX-301 have current expiration dates that range from 2016 in the major European territories to 2020 in the US.</w:t>
      </w:r>
    </w:p>
    <w:p>
      <w:pPr>
        <w:spacing w:after="0" w:line="212"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issued U.S. patents relating to the technology used in CDX-1401 which have estimated patent expiry dates in at least 2028 (not including increases of term due to Patent Term Adjustment). We have a corresponding issued European patent and pending patent applications in other international territories relating to the technology used in CDX-1401 which, if and where issued and maintained to full term in due course, would have estimated patent expiry dates in 2028.</w:t>
      </w:r>
    </w:p>
    <w:p>
      <w:pPr>
        <w:spacing w:after="0" w:line="210" w:lineRule="exact"/>
        <w:rPr>
          <w:rFonts w:ascii="Arial" w:cs="Arial" w:eastAsia="Arial" w:hAnsi="Arial"/>
          <w:sz w:val="18"/>
          <w:szCs w:val="18"/>
          <w:color w:val="auto"/>
        </w:rPr>
      </w:pPr>
    </w:p>
    <w:p>
      <w:pPr>
        <w:ind w:left="1080" w:right="20" w:hanging="532"/>
        <w:spacing w:after="0" w:line="25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patent portfolio for CDX-014 includes rights under an issued U.S. patent and further pending patent applications in the U.S., Europe and Japan. If issued and maintained to full term in due course, these filings would have estimated patent expiry dates in at least 2024 (not including increases of term due to Patent Term Adjustment in the U.S.). In addition, patent rights relating to toxin and conjugation technology have been licensed from Seattle Genetics. The patent rights from Seattle Genetics include issued patents and pending patent applications in Australia, Canada, Europe, the U.S. and Japan which include composition of matter claims relating to the toxin and conjugation technology. If maintained to full term in due course, the main Seattle Genetics patent rights would have estimated patent expiry dates ranging from 2023 in Europe to 2026 in the U.S.</w:t>
      </w:r>
    </w:p>
    <w:p>
      <w:pPr>
        <w:spacing w:after="0" w:line="20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There can be no assurance that patent applications owned by or licensed to us will result in granted patents or that, if granted, the resultant patents will afford protection against competitors with similar technology. It is also possible that third parties may obtain patents or other proprietary rights that may be necessary or useful to us. In cases where third parties are first to invent a particular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0" w:name="page21"/>
    <w:bookmarkEnd w:id="20"/>
    <w:p>
      <w:pPr>
        <w:spacing w:after="0" w:line="256" w:lineRule="auto"/>
        <w:rPr>
          <w:sz w:val="20"/>
          <w:szCs w:val="20"/>
          <w:color w:val="auto"/>
        </w:rPr>
      </w:pPr>
      <w:r>
        <w:rPr>
          <w:rFonts w:ascii="Arial" w:cs="Arial" w:eastAsia="Arial" w:hAnsi="Arial"/>
          <w:sz w:val="18"/>
          <w:szCs w:val="18"/>
          <w:color w:val="auto"/>
        </w:rPr>
        <w:t>product or technology, it is possible that those parties will obtain patents that will be sufficiently broad to prevent us from using important technology or from further developing or commercializing important drug candidates and immunotherapeutic systems. If licenses from third parties are necessary but cannot be obtained, commercialization of the covered products might be delayed or prevented. Even if these licenses can be obtained, they would probably require us to pay ongoing royalties and other costs, which could be substantial.</w:t>
      </w:r>
    </w:p>
    <w:p>
      <w:pPr>
        <w:spacing w:after="0" w:line="197" w:lineRule="exact"/>
        <w:rPr>
          <w:sz w:val="20"/>
          <w:szCs w:val="20"/>
          <w:color w:val="auto"/>
        </w:rPr>
      </w:pPr>
    </w:p>
    <w:p>
      <w:pPr>
        <w:ind w:right="20" w:firstLine="341"/>
        <w:spacing w:after="0" w:line="314" w:lineRule="auto"/>
        <w:rPr>
          <w:sz w:val="20"/>
          <w:szCs w:val="20"/>
          <w:color w:val="auto"/>
        </w:rPr>
      </w:pPr>
      <w:r>
        <w:rPr>
          <w:rFonts w:ascii="Arial" w:cs="Arial" w:eastAsia="Arial" w:hAnsi="Arial"/>
          <w:sz w:val="15"/>
          <w:szCs w:val="15"/>
          <w:color w:val="auto"/>
        </w:rPr>
        <w:t>Although a patent has a statutory presumption of validity in the United States, the issuance of a patent is not conclusive as to validity or as to the enforceable scope of the patent claims. The validity or enforceability of a patent after its issuance by the Patent and Trademark Office can be challenged in litigation. As a business that uses a substantial amount of intellectual property, we face a heightened risk of intellectual property litigation. If the outcome of the litigation is adverse to the owner of the patent, third parties may then be able to use the invention covered by the patent without authorization or payment. There can be no assurance that our issued patents or any patents subsequently issued to or licensed by us will not be successfully challenged in the future. In addition, there can be no assurance that our patents will not be infringed or that the coverage of our patents will not be successfully avoided by competitors through design innovation.</w:t>
      </w:r>
    </w:p>
    <w:p>
      <w:pPr>
        <w:spacing w:after="0" w:line="159"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aware that others, including universities and companies, have filed patent applications and have been granted patents in the United States and other countries which claim subject matter potentially useful or necessary to the commercialization of our products. The ultimate scope and validity of existing or future patents which have been or may be granted to third parties, and the availability and cost of acquiring rights in those patents necessary to the manufacture, use or sale of our products presently cannot be determined by us.</w:t>
      </w:r>
    </w:p>
    <w:p>
      <w:pPr>
        <w:spacing w:after="0" w:line="19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Third parties may have or may obtain valid and enforceable patents or proprietary rights that could block us from developing products using our technology, including:</w:t>
      </w:r>
    </w:p>
    <w:p>
      <w:pPr>
        <w:spacing w:after="0" w:line="199" w:lineRule="exact"/>
        <w:rPr>
          <w:sz w:val="20"/>
          <w:szCs w:val="20"/>
          <w:color w:val="auto"/>
        </w:rPr>
      </w:pPr>
    </w:p>
    <w:p>
      <w:pPr>
        <w:ind w:left="1080" w:right="5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Europe owned by Sanofi-Aventis, which relate to antibody-antigen conjugates and methods of their use for eliciting an immune response against the antigen;</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patents and applications in the United States and foreign countries covering particular antigens and antigenic fragments targeted by our current drug candidates, including CDX-1401;</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patents and pending applications related to particular receptors and other molecules on dendritic cells and macrophages that may be useful for generating monoclonal antibodies and can be employed in our APC Targeting Technology;</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United States patents and related foreign patents and applications covering methods of diagnosing gliomas by detecting the presence of the EGFRvIII (tumor specific splice variant) protein;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United States patent relating to certain uses of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United States patent owned by Genentech, Inc., relating to the production of recombinant antibodies in host cells;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United States patent owned by GlaxoSmithKline plc related to methods of culturing cells under certain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patents held by third parties relating to antibody expression in particular types of host cells.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to the patents referred to in the previous paragraphs, there may be other patent applications and issued patents belonging to competitors that may require us to alter our drug candidates and immunotherapeutic delivery systems, pay licensing fees or cease some of our activities. If our drug candidates conflict with patents that have been or may be granted to competitors,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line="294" w:lineRule="auto"/>
        <w:rPr>
          <w:sz w:val="20"/>
          <w:szCs w:val="20"/>
          <w:color w:val="auto"/>
        </w:rPr>
      </w:pPr>
      <w:r>
        <w:rPr>
          <w:rFonts w:ascii="Arial" w:cs="Arial" w:eastAsia="Arial" w:hAnsi="Arial"/>
          <w:sz w:val="16"/>
          <w:szCs w:val="16"/>
          <w:color w:val="auto"/>
        </w:rPr>
        <w:t>universities or others, the patent owners could bring legal action against us claiming damages and seeking to enjoin manufacturing and marketing of the patented products. If any of these actions is successful, in addition to any potential liability for damages, we could be required to obtain a license in order to continue to manufacture or market the affected products. There can be no assurance that we would prevail in any such action or that any license required under any such third party patent would be made available on acceptable terms or at all. We believe that there may be significant litigation in the biotechnology industry regarding patent and other intellectual property rights. If we become involved in that litigation, we could consume substantial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Licenses</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have entered into several significant license agreements relating to technologies that are being developed by us. In general, these institutions have granted us an exclusive worldwide license (with right to sublicense) to make, use and sell products embodying the licensed technology, subject to the reservation by the licensor of a non-exclusive right to use the technologies for non-commercial research purposes. Generally, the term of each license is through the expiration of the last of the patents issued with respect to the technologies covered by the license. We have generally agreed to use reasonable efforts to develop and commercialize licensed products and to achieve specified milestones and pay license fees, milestone payments and royalties based on the net sales of the licensed products or to pay a percentage of sublicense income. If we breach our obligations, the licensor has the right to terminate the license, and, in some cases, convert the license to a non-exclusive license. Generally, we control and are responsible for the cost of defending the patent rights of the technologies that we license.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Rights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also rely on unpatented technology, trade secrets and confidential information, and no assurance can be given that others will not independently develop substantially equivalent information and techniques or otherwise gain access to our know-how and information, or that we can meaningfully protect our rights in such unpatented technology, trade secrets and information. We require each of our employees, consultants and advisors to execute a confidentiality agreement at the commencement of an employment or consulting relationship with us. The agreements generally provide that all inventions conceived by the individual in the course of employment or in providing services to us and all confidential information developed by, or made known to, the individual during the term of the relationship shall be the exclusive property of us and shall be kept confidential and not disclosed to third parties except in limited specified circumstances. There can be no assurance, however, that these agreements will provide meaningful protection for our information in the event of unauthorized use or disclosure of such confidential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activities and products are significantly regulated by a number of governmental entities, including the FDA in the United States and by comparable authorities in other countries. These entities regulate, among other things, the manufacture, testing, safety, effectiveness, labeling, documentation, advertising and sale of our products. We must obtain regulatory approval for a product in all of these areas before we can commercialize the product. Product development within this regulatory framework takes a number of years and involves the expenditure of substantial resources. Many products that initially appear promising ultimately do not reach the market because they are found to be unsafe or ineffective when tested. Our inability to commercialize a product would impair our ability to earn future revenues.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FDA Approval Process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the United States, immunotherapeutics for human use are subject to FDA approval as "biologics" under the Public Health Service Act or as "drugs" under the Federal Food, Drug and Cosmetic Act. The steps required before a new product can be commercialized include: preclinical studies in animals, clinical trials in humans to determine safety and efficacy and FDA approval of the product for commercial sale.</w:t>
      </w:r>
    </w:p>
    <w:p>
      <w:pPr>
        <w:spacing w:after="0" w:line="19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Data obtained at any stage of testing is susceptible to varying interpretations, which could delay, limit or prevent regulatory approval. Moreover, during the regulatory process, new or changed drug approval policies may cause unanticipated delays or rejection of our product. We may not obtain necessary regulatory approvals within a reasonable period of time, if at all, or avoid delays or other problems in testing our products. Moreover, even if we received regulatory approval for a product, the approval may require limitations on use, which could restrict the size of the potential market for the product.</w:t>
      </w:r>
    </w:p>
    <w:p>
      <w:pPr>
        <w:spacing w:after="0" w:line="16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FDA provides that human clinical trials may begin thirty (30) days after receipt and review of an IND application, unless the FDA requests additional information or changes to the study protocol within that period. An IND must be sponsored and filed for each of our proposed products. Authorization to conduct a clinical trial in no way assures that the FDA will ultimately approve the product. Clinical trials are generally conducted in three sequential phases. In a Phase 1 trial, the product is given to a small number of healthy volunteers to test for safety (adverse effects). Phase 2 trials are conducted on a limited group of the target patient population; safety, optimal dosage and efficacy are studied. A Phase 3 trial is performed in a large patient population, generally over a wide geographic area to provide evidence for the safety and efficacy of the product. The FDA has ongoing oversight over all these trials and can order a temporary or permanent discontinuation if warranted. Such an action could materially harm us. Clinical trials are critical to the success of our products but are subject to unforeseen and uncontrollable delay, including delay in enrollment of patients. Any delay in clinical trials could delay our commercialization of a product.</w:t>
      </w:r>
    </w:p>
    <w:p>
      <w:pPr>
        <w:spacing w:after="0" w:line="17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 product's safety and effectiveness in one clinical trial is not necessarily indicative of its safety and effectiveness in another clinical trial. Moreover, we may not discover all potential problems with a product even after completing clinical trials on it. Some of our products and technologies have undergone only preclinical testing. As a result, we do not know whether they are safe or effective for humans. Also, regulatory authorities may decide, contrary to our findings, that a product is unsafe or not as effective in actual use as its clinical trial results indicated. This could prevent the product's widespread use, require its withdrawal from the market or expose us to liability.</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results of the clinical trials, nonclinical testing, and all supporting manufacturing data are submitted to the FDA for approval. A Biologics License Application (BLA) is submitted for a biologic product; a New Drug Application (NDA) for a drug product. The interval between IND filing and BLA/NDA filing is usually at least several years due to the length of the clinical trials, and the BLA/NDA review process can take over a year. During this time the FDA may request further testing or additional trials or may turn down the application. Even with approval, the FDA frequently requires post-marketing safety studies (known as Phase 4 trials) to be performed.</w:t>
      </w:r>
    </w:p>
    <w:p>
      <w:pPr>
        <w:spacing w:after="0" w:line="197"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The FDA requires that the manufacturing facility that produces a licensed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Expedited Review and Approval</w:t>
      </w:r>
    </w:p>
    <w:p>
      <w:pPr>
        <w:spacing w:after="0" w:line="225" w:lineRule="exact"/>
        <w:rPr>
          <w:sz w:val="20"/>
          <w:szCs w:val="20"/>
          <w:color w:val="auto"/>
        </w:rPr>
      </w:pPr>
    </w:p>
    <w:p>
      <w:pPr>
        <w:ind w:right="220" w:firstLine="348"/>
        <w:spacing w:after="0" w:line="291" w:lineRule="auto"/>
        <w:rPr>
          <w:sz w:val="20"/>
          <w:szCs w:val="20"/>
          <w:color w:val="auto"/>
        </w:rPr>
      </w:pPr>
      <w:r>
        <w:rPr>
          <w:rFonts w:ascii="Arial" w:cs="Arial" w:eastAsia="Arial" w:hAnsi="Arial"/>
          <w:sz w:val="16"/>
          <w:szCs w:val="16"/>
          <w:color w:val="auto"/>
        </w:rPr>
        <w:t>The FDA has various programs, including breakthrough therapy, fast track, priority review, and accelerated approval, that are intended to expedite or simplify the process for reviewing products, and/or provide for approval on the basis of surrogate endpoints. Generally, products that may be eligible for these programs are those for serious or life-threatening conditions, those with the potential to address unmet medical needs, and those that offer meaningful benefits over existing treatments, however, these programs do not affect the standards for approval. These expedited review programs apply to the combination of the product and the specific indication for which it is being studied. As a condition of approval, the FDA may require that a sponsor of a product receiving accelerated approval perform post-marketing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Under the Orphan Drug Act, the FDA may grant orphan drug designation to products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product for this type of disease or condition will be recovered from sales in the United States for that product. If a product that has orphan drug designation subsequently receives the first FDA approval for the disease for which it has such designation, the product is entitled to orphan product exclusivity, which means that the FDA may not approve any other applications to market the same product for the same indication, except in very limited circumstances, for seven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 Approval</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Once an approval is granted, the FDA may withdraw the approval if compliance with regulatory standards is not maintained or if problems occur after the product reaches the market. After approval, some types of changes to the approved product, such as adding new indications, manufacturing changes and additional labeling claims, are subject to further FDA review and approval. In addition, the FDA may require testing and surveillance programs to monitor the effect of approved products that have been commercialized, and the FDA has the power to prevent or limit further marketing of a product based on the results of these post-marketing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foreign regulations governing clinical trials, manufacture, and commercial sales and distribution of our products.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Approval by the FDA does not ensure approval by the regulatory bodies of other countries.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Under the European Union regulatory system, we will submit most of our marketing authorization applications under the centralized procedure. The centralized procedure is compulsory for medicines produced by biotechnology, or are for the treatment of cancer, or officially designated as 'orphan medicines', provides for the grant of a single marketing authorization that is valid for all European Union member states. As in the United States, we may apply for designation of our products as orphan drug for the treatment of a specific indication in the European Union before the application for marketing authorization is made. Orphan drugs in Europe enjoy economic and marketing benefits, including a 10-year market exclusivity period for the approved indication, but not for the same product, unless another applicant can show that its product is safer, more effective or otherwise clinically superior to the orphan-designated product.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 w:name="page25"/>
    <w:bookmarkEnd w:id="24"/>
    <w:p>
      <w:pPr>
        <w:ind w:left="360"/>
        <w:spacing w:after="0"/>
        <w:rPr>
          <w:sz w:val="20"/>
          <w:szCs w:val="20"/>
          <w:color w:val="auto"/>
        </w:rPr>
      </w:pPr>
      <w:r>
        <w:rPr>
          <w:rFonts w:ascii="Arial" w:cs="Arial" w:eastAsia="Arial" w:hAnsi="Arial"/>
          <w:sz w:val="16"/>
          <w:szCs w:val="16"/>
          <w:color w:val="auto"/>
        </w:rPr>
        <w:t>Our collaborators are also subject to all of the above-described regulations in connection with the commercialization of products utilizing our technology.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Processes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are subject to a variety of financial disclosure and securities trading regulations as a public company in the U.S., including laws relating to the oversight activities of the SEC and the regulations of the NASDAQ Global Market, on which our shares are traded. We are also subject to regulation under other federal laws and regulation under state and local laws, including laws relating to occupational safety, laboratory practices, environmental regulations, and hazardous substance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right="280" w:firstLine="341"/>
        <w:spacing w:after="0" w:line="306" w:lineRule="auto"/>
        <w:rPr>
          <w:sz w:val="20"/>
          <w:szCs w:val="20"/>
          <w:color w:val="auto"/>
        </w:rPr>
      </w:pPr>
      <w:r>
        <w:rPr>
          <w:rFonts w:ascii="Arial" w:cs="Arial" w:eastAsia="Arial" w:hAnsi="Arial"/>
          <w:sz w:val="16"/>
          <w:szCs w:val="16"/>
          <w:color w:val="auto"/>
        </w:rPr>
        <w:t>As of December 31, 2013, we employed 129 employees (120 full-time, 2 part-time and 7 interns), 18 of whom have Ph.D. and/or M.D. degrees. Of these employees, 106 were engaged in or directly support research and development activities. We believe that our employee relations are good. We believe that our future success will depend in large part on our ability to attract and retain experienced and skilled employees.</w:t>
      </w:r>
    </w:p>
    <w:p>
      <w:pPr>
        <w:spacing w:after="0" w:line="15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80" w:firstLine="345"/>
        <w:spacing w:after="0" w:line="268" w:lineRule="auto"/>
        <w:rPr>
          <w:sz w:val="20"/>
          <w:szCs w:val="20"/>
          <w:color w:val="auto"/>
        </w:rPr>
      </w:pPr>
      <w:r>
        <w:rPr>
          <w:rFonts w:ascii="Arial" w:cs="Arial" w:eastAsia="Arial" w:hAnsi="Arial"/>
          <w:sz w:val="18"/>
          <w:szCs w:val="18"/>
          <w:color w:val="auto"/>
        </w:rPr>
        <w:t>You should consider carefully these risk factors together with all of the information included or incorporated by reference in this Annual Report in addition to our financial statements and the notes to our financial statements. This section includes forward-looking statements.</w:t>
      </w:r>
    </w:p>
    <w:p>
      <w:pPr>
        <w:spacing w:after="0" w:line="186" w:lineRule="exact"/>
        <w:rPr>
          <w:sz w:val="20"/>
          <w:szCs w:val="20"/>
          <w:color w:val="auto"/>
        </w:rPr>
      </w:pPr>
    </w:p>
    <w:p>
      <w:pPr>
        <w:jc w:val="both"/>
        <w:ind w:right="220" w:firstLine="348"/>
        <w:spacing w:after="0" w:line="259" w:lineRule="auto"/>
        <w:rPr>
          <w:sz w:val="20"/>
          <w:szCs w:val="20"/>
          <w:color w:val="auto"/>
        </w:rPr>
      </w:pPr>
      <w:r>
        <w:rPr>
          <w:rFonts w:ascii="Arial" w:cs="Arial" w:eastAsia="Arial" w:hAnsi="Arial"/>
          <w:sz w:val="18"/>
          <w:szCs w:val="18"/>
          <w:color w:val="auto"/>
        </w:rPr>
        <w:t>The following is a discussion of the risk factors that we believe are material to us at this time. These risks and uncertainties are not the only ones facing us and there may be additional matters that we are unaware of or that we currently consider immaterial. All of these could adversely affect our business, results of operations, financial condition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product revenue and will need to raise capital to operate our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date, we have generated no product revenue and cannot predict when and if we will generate product revenue. We had an accumulated deficit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$345.7 million as of December 31, 2013. Until, and unless, we complete clinical trials and further development, and receive approval from the FDA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regulatory authorities, for our product candidates, we cannot sell our drugs and will not have product revenue. We expect to spend substantial funds to continue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research, development and testing of our products that are in the preclinical and clinical testing stages of development and to prepare to commercialize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in anticipation of FDA approval. Therefore, for the foreseeable future, we will have to fund all of our operations and development expenditures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on hand, equity or debt financings, licensing fees and grants. Additional financing will be required to meet our long term liquidity needs. If we do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succeed in raising additional funds on acceptable terms, we might not be able to complete planned preclinical and clinical trials or obtain approval of any product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candidates from the FDA and other regulatory authorities. In addition, we could be forced to discontinue product development, reduce or forego sales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marketing efforts, forego attractive business opportunities or curtail operations. Any additional sources of financing could involve the issuance of our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which would have a dilutive effect on our stockholders. No assurance can be given that additional financing will be available to us when needed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acceptable terms, or at all.</w:t>
      </w:r>
    </w:p>
    <w:p>
      <w:pPr>
        <w:spacing w:after="0" w:line="219"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We expect to incur future losses and we may never become profitable.</w:t>
      </w:r>
    </w:p>
    <w:p>
      <w:pPr>
        <w:spacing w:after="0" w:line="225"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We have incurred operating losses of $81.4 million, $58.1 million and $43.4 million during 2013, 2012 and 2011, respectively, and expect to incur an operating loss in 2014. We believe that operating losses will continue in and beyond 2014 because we are planning to incur significant costs associated with the clinical development, manufacturing of commercial supply and building a commercial organization to prepare for the potential launch of rindopepimut and glembatumumab vedotin. In addition, we are planning to incur significant costs in the clinical development of varlilumab, CDX-301 and CDX-1401. Our net losses have had and will continue to have an adverse effect on, among other things, our stockholders' equity, total assets and working capital. We expect that losses will fluctuate from quarter to quarter and year to year, and that such fluctuations may be substantial. We cannot predict when we will become profitable, if at all.</w:t>
      </w:r>
    </w:p>
    <w:p>
      <w:pPr>
        <w:spacing w:after="0" w:line="2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long term success depends heavily on our ability to fund and complete the research and development activities for and to commercialize our program assets, including our lead drug candidates, rindopepimut and glembatumumab vedotin.</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are building a commercial organization to allow us the strategic option to retain the full commercial benefits of our program assets or to seek favorable economic terms through advantageous commercial partnerships. We plan to commercialize our lead drug candidate rindopepimut ourselves in North America. We may enter into co-development and commercialization partnerships for any of our programs where appropriate, including rindopepimut for commercialization outside of North America, glembatumumab vedotin and varlilumab. We must allocate a significant portion of our time, personnel and financial resources to the development of rindopepimut and glembatumumab vedotin. We initiated ACT IV, our pivotal Phase 3 clinical trial of rindopepimut, in December 2011. We anticipate ACT IV to cost over $70 million during its duration. We initiated METRIC, a randomized, controlled study of glembatumumab vedotin designed to obtain accelerated approval, in December 2013. The study is expected to include up to 100 sites and will enroll approximately 300 patients. We anticipate METRIC to cost over $30 million during its duration.</w:t>
      </w:r>
    </w:p>
    <w:p>
      <w:pPr>
        <w:spacing w:after="0" w:line="17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management team lacks significant experience in completing Phase 3 clinical trials and bringing a drug through commercialization. If we face delays, difficulties or unanticipated costs in completing the development of rindopepimut or glembatumumab vedotin, we will need substantial additional financing. Further, even if we complete the development of rindopepimut or glembatumumab vedotin and gain marketing approvals from the FDA and comparable foreign regulatory authorities in a timely manner, we cannot be sure that rindopepimut or glembatumumab vedotin will be commercially successful in the pharmaceutical market. If the results of clinical trials, the anticipated or actual timing of marketing approvals, or the market acceptance of rindopepimut or glembatumumab vedotin, if approved, do not meet the expectations of investors or public market analysts, the market price of our common stock would likely decline.</w:t>
      </w:r>
    </w:p>
    <w:p>
      <w:pPr>
        <w:spacing w:after="0" w:line="174"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b w:val="1"/>
          <w:bCs w:val="1"/>
          <w:i w:val="1"/>
          <w:iCs w:val="1"/>
          <w:color w:val="auto"/>
        </w:rPr>
        <w:t>We will need additional capital to fund our operations, including the development, manufacture and potential commercialization of our drug candidates. If we do not have or cannot raise additional capital when needed, we may be unable to develop and ultimately commercialize our drug candidates successfully.</w:t>
      </w:r>
    </w:p>
    <w:p>
      <w:pPr>
        <w:spacing w:after="0" w:line="116"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expect to incur significant costs as we develop our drug candidates. In particular, the continuing development and commercialization of rindopepimut, glembatumumab vedotin and our other drug candidates requires additional capital beyond our current resources. As of December 31, 2013, we had cash, cash equivalents and marketable securities of $303.0 million. We may take further steps to raise additional capital to fund our long-term liquidity needs. Our capital raising activities may include, but may not be limited to, one or more of the following:</w:t>
      </w:r>
    </w:p>
    <w:p>
      <w:pPr>
        <w:spacing w:after="0" w:line="180" w:lineRule="exact"/>
        <w:rPr>
          <w:sz w:val="20"/>
          <w:szCs w:val="20"/>
          <w:color w:val="auto"/>
        </w:rPr>
      </w:pPr>
    </w:p>
    <w:p>
      <w:pPr>
        <w:ind w:left="5620" w:right="5240" w:hanging="5072"/>
        <w:spacing w:after="0" w:line="613" w:lineRule="auto"/>
        <w:tabs>
          <w:tab w:leader="none" w:pos="1082" w:val="left"/>
        </w:tabs>
        <w:numPr>
          <w:ilvl w:val="0"/>
          <w:numId w:val="8"/>
        </w:numPr>
        <w:rPr>
          <w:rFonts w:ascii="Arial" w:cs="Arial" w:eastAsia="Arial" w:hAnsi="Arial"/>
          <w:sz w:val="16"/>
          <w:szCs w:val="16"/>
          <w:color w:val="auto"/>
        </w:rPr>
      </w:pPr>
      <w:r>
        <w:rPr>
          <w:rFonts w:ascii="Arial" w:cs="Arial" w:eastAsia="Arial" w:hAnsi="Arial"/>
          <w:sz w:val="16"/>
          <w:szCs w:val="16"/>
          <w:color w:val="auto"/>
        </w:rPr>
        <w:t>licensing of drug candidates with existing or new collaborative partners;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possible business combinations;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 of debt;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issuance of common stock or other securities via private placements or public offerings.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multiple late stage clinical trials for a variety of product candidates simultaneously.</w:t>
      </w:r>
    </w:p>
    <w:p>
      <w:pPr>
        <w:spacing w:after="0" w:line="225" w:lineRule="exact"/>
        <w:rPr>
          <w:sz w:val="20"/>
          <w:szCs w:val="20"/>
          <w:color w:val="auto"/>
        </w:rPr>
      </w:pPr>
    </w:p>
    <w:p>
      <w:pPr>
        <w:ind w:right="60" w:firstLine="341"/>
        <w:spacing w:after="0" w:line="287" w:lineRule="auto"/>
        <w:rPr>
          <w:sz w:val="20"/>
          <w:szCs w:val="20"/>
          <w:color w:val="auto"/>
        </w:rPr>
      </w:pPr>
      <w:r>
        <w:rPr>
          <w:rFonts w:ascii="Arial" w:cs="Arial" w:eastAsia="Arial" w:hAnsi="Arial"/>
          <w:sz w:val="16"/>
          <w:szCs w:val="16"/>
          <w:color w:val="auto"/>
        </w:rPr>
        <w:t>As our current clinical trials progress, we may need to manage multiple late stage clinical trials simultaneously in order to continue developing all of our current products. Our management team does not have significant experience in completing late stage clinical trials and the management of late stage clinical trials is more complex and time consuming than early stage trials. Typically, early stage trials involve several hundred patients in no more than 10-30 clinical sites. Late stage (Phase 3) trials may involve up to several thousand patients in up to several hundred clinical sites and may require facilities in several countries. Therefore, the project management required to supervise and control such an extensive program is substantially larger than early stage programs. As the need for these resources is not known until some months before the trials begin, it is necessary to recruit large numbers of experienced and talented individuals very quickly. If the labor market does not allow this team to be recruited quickly, the sponsor is faced with a decision to delay the program or to initiate it with inadequate management resources. This may result in recruitment of inappropriate patients, inadequate monitoring of clinical investigators and inappropriate handling of data or data analysis. Consequently it is possible that conclusions of efficacy or safety may not be acceptable to permit filing of a BLA or NDA for any one of the above reasons or a combination of several.</w:t>
      </w:r>
    </w:p>
    <w:p>
      <w:pPr>
        <w:spacing w:after="0" w:line="177" w:lineRule="exact"/>
        <w:rPr>
          <w:sz w:val="20"/>
          <w:szCs w:val="20"/>
          <w:color w:val="auto"/>
        </w:rPr>
      </w:pPr>
    </w:p>
    <w:p>
      <w:pPr>
        <w:ind w:right="940"/>
        <w:spacing w:after="0" w:line="268" w:lineRule="auto"/>
        <w:rPr>
          <w:sz w:val="20"/>
          <w:szCs w:val="20"/>
          <w:color w:val="auto"/>
        </w:rPr>
      </w:pPr>
      <w:r>
        <w:rPr>
          <w:rFonts w:ascii="Arial" w:cs="Arial" w:eastAsia="Arial" w:hAnsi="Arial"/>
          <w:sz w:val="18"/>
          <w:szCs w:val="18"/>
          <w:b w:val="1"/>
          <w:bCs w:val="1"/>
          <w:i w:val="1"/>
          <w:iCs w:val="1"/>
          <w:color w:val="auto"/>
        </w:rPr>
        <w:t>We rely on third parties to plan, conduct and monitor our clinical tests, and their failure to perform as required would interfere with our product development.</w:t>
      </w:r>
    </w:p>
    <w:p>
      <w:pPr>
        <w:spacing w:after="0" w:line="186"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rely on third parties to conduct a significant portion of our clinical development activities. These activities include clinical patient recruitment and observation, clinical trial monitoring, clinical data management and analysis, safety monitoring and project management. We conduct project management and medical and safety monitoring in-house for some of our programs and rely on third parties for the remainder of our clinical development activities.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significant third parties who we currently rely on for clinical development activities include Novella Clinical, a Quintiles company, for our ACT IV study and PPD Development, LLC for our METRIC study. If Novella or PPD Development is unable to perform in a quality and timely manner, and at a feasible cost, ACT IV or METRIC will face delays. Further, if any of these third parties fails to perform as we expect or if their work fails to meet regulatory standards, our testing could be delayed, cancelled or rendered ineffective.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7" w:name="page28"/>
    <w:bookmarkEnd w:id="27"/>
    <w:p>
      <w:pPr>
        <w:jc w:val="both"/>
        <w:ind w:right="100"/>
        <w:spacing w:after="0" w:line="259" w:lineRule="auto"/>
        <w:rPr>
          <w:sz w:val="20"/>
          <w:szCs w:val="20"/>
          <w:color w:val="auto"/>
        </w:rPr>
      </w:pPr>
      <w:r>
        <w:rPr>
          <w:rFonts w:ascii="Arial" w:cs="Arial" w:eastAsia="Arial" w:hAnsi="Arial"/>
          <w:sz w:val="18"/>
          <w:szCs w:val="18"/>
          <w:b w:val="1"/>
          <w:bCs w:val="1"/>
          <w:i w:val="1"/>
          <w:iCs w:val="1"/>
          <w:color w:val="auto"/>
        </w:rPr>
        <w:t>We may enter into collaboration agreements for the licensing, development and ultimate commercialization of some of our drug candidates including, where appropriate, for our lead drug candidates. In such cases, we will depend greatly on our third-party collaborators to license, develop and commercialize such drug candidates, and they may not meet our expectations.</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may enter into co-development and commercialization partnerships for certain products, including rindopepimut for commercialization outside of North America, glembatumumab vedotin and varlilumab. The process of identifying collaborators and negotiating collaboration agreements for the licensing, development and ultimate commercialization of some of our drug candidates may cause delays and increased costs. We may not be able to enter into collaboration agreements on terms favorable to us. Furthermore some of those agreements may give substantial responsibility over our drug candidates to the collaborator. Some collaborators may be unable or unwilling to devote sufficient resources to develop our drug candidates as their agreements require. They often face business risks similar to ours, and this could interfere with their efforts. Also, collaborators may choose to devote their resources to products that compete with ours. If a collaborator does not successfully develop any one of our products, we will need to find another collaborator to do so. The success of our search for a new collaborator will depend on our legal right to do so at the time and whether the product remains commercially viable.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enter into collaboration agreements for one or more of our lead drug candidates, the success of such drug candidates will depend in great part upon our and our collaborators' success in promoting them as superior to other treatment alternatives. We believe that our drug candidates can be proven to offer disease prevention and treatment with notable advantages over drugs in terms of patient compliance and effectiveness. However, there can be no assurance that we will be able to prove these advantages or that the advantages will be sufficient to support the successful commercialization of our drug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face delays, difficulties or unanticipated costs in establishing sales, distribution and manufacturing capabilities for our commercially ready products.</w:t>
      </w:r>
    </w:p>
    <w:p>
      <w:pPr>
        <w:spacing w:after="0" w:line="260"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are in the process of building a commercial organization which we believe will provide us with the strategic options to either retain full economic rights to our drug candidates or seek favorable economic terms through advantageous commercial partnerships. As a result, we may have full responsibility for commercialization of these products if and when they are approved for sale. We currently lack the marketing, sales and distribution capabilities that we will need to carry out this strategy. To market any of our products directly, we must develop a substantial marketing and sales force with technical expertise and a supporting distribution capability. We have little expertise in this area, and we may not succeed. We may find it necessary to enter into strategic partnerships on uncertain but potentially unfavorable terms to sell, market and distribute our products when they are approved for sale.</w:t>
      </w:r>
    </w:p>
    <w:p>
      <w:pPr>
        <w:spacing w:after="0" w:line="174"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Some of our products are difficult to manufacture, especially in large quantities, and we have not yet developed commercial scale manufacturing processes for any of our products. We do not currently plan to develop internal manufacturing capabilities to produce any of our products at commercial scale if they are approved for sale. To the extent that we choose to market and distribute these products ourselves, this strategy will make us dependent on other companies to produce our products in adequate quantities, in compliance with regulatory requirements, and at a competitive cost. We may not find third parties capable of meeting those manufacturing needs.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extensive regulatory scrutiny.</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All of our drug candidates are at various stages of development and commercialization and our activities and drug candidates are significantly regulated by a number of governmental entities,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160"/>
        <w:spacing w:after="0" w:line="289" w:lineRule="auto"/>
        <w:rPr>
          <w:sz w:val="20"/>
          <w:szCs w:val="20"/>
          <w:color w:val="auto"/>
        </w:rPr>
      </w:pPr>
      <w:r>
        <w:rPr>
          <w:rFonts w:ascii="Arial" w:cs="Arial" w:eastAsia="Arial" w:hAnsi="Arial"/>
          <w:sz w:val="16"/>
          <w:szCs w:val="16"/>
          <w:color w:val="auto"/>
        </w:rPr>
        <w:t>including the FDA in the United States and by comparable authorities in other countries. These entities regulate, among other things, the manufacture, testing, safety, effectiveness, labeling, documentation, advertising and sale of drugs and drug candidates. We or our partners must obtain regulatory approval for a drug candidate in all of these areas before we can commercialize the drug candidate. Product development within this regulatory framework takes a number of years and involves the expenditure of substantial resources. This process typically requires extensive preclinical and clinical testing, which may take longer or cost more than we anticipate, and may prove unsuccessful due to numerous factors. Many drug candidates that initially appear promising ultimately do not reach the market because they are found to be unsafe or ineffective when tested. Companies in the pharmaceutical, biotechnology and immunotherapeutic drug industries have suffered significant setbacks in advanced clinical trials, even after obtaining promising results in earlier trials. Our inability to commercialize a drug candidate would impair our ability to earn future revenues.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pass required tests for safety and effectiveness, we will not be able to derive commercial revenue from them.</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order to succeed, we will need to derive commercial revenue from the products we have under development. The FDA has not approved our lead drug candidates, rindopepimut or glembatumumab vedotin, or any of our other products for sale to date. Our drug candidates are in various stages of preclinical and clinical testing. Preclinical tests are performed at an early stage of a product's development and provide information about a product's safety and effectiveness on laboratory animals. Preclinical tests can last years. If a product passes its preclinical tests satisfactorily, and we determine that further development is warranted, we would file an IND application for the product with the FDA, and if the FDA gives its approval we would begin Phase 1 clinical tests. Phase 1 testing generally lasts between 6 and 24 months. If Phase 1 test results are satisfactory and the FDA gives its approval, we can begin Phase 2 clinical tests. Phase 2 testing generally lasts between 6 and 36 months. If Phase 2 test results are satisfactory and the FDA gives its approval, we can begin Phase 3 pivotal studies. Phase 3 studies generally last between 12 and 48 months. Once clinical testing is completed and a new drug application is filed with the FDA, it may take more than a year to receive FDA approval.</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all cases we must show that a pharmaceutical product is both safe and effective before the FDA, or drug approval agencies of other countries where we intend to sell the product, will approve it for sale. Our research and testing programs must comply with drug approval requirements both in the United States and in other countries, since we are developing our lead products with the intention to, or could later decide to, commercialize them both in the U.S. and abroad. A product may fail for safety or effectiveness at any stage of the testing process. A major risk we face is the possibility that none of our products under development will come through the testing process to final approval for sale, with the result that we cannot derive any commercial revenue from them after investing significant amounts of capital in multiple stages of preclinical and clinical testing.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testing is critical to the success of our products but subject to delay or cancellation if we have difficulty enrolling patients.</w:t>
      </w:r>
    </w:p>
    <w:p>
      <w:pPr>
        <w:spacing w:after="0" w:line="225"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As our portfolio of potential products moves from preclinical testing to clinical testing, and then through progressively larger and more complex clinical trials, we will need to enroll an increasing number of patients with the appropriate characteristics. At times we have experienced difficulty enrolling patients and we may experience more difficulty as the scale of our clinical testing program increases. The factors that affect our ability to enroll patients are largely uncontrollable and include principally the following:</w:t>
      </w:r>
    </w:p>
    <w:p>
      <w:pPr>
        <w:spacing w:after="0" w:line="211"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nature of the clinical test;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of the patient population;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patients' willingness to receive a placebo or less effective treatment on the control arm of a clinical study;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distance between patients and clinical test sites;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eligibility criteria for the trial.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we cannot enroll patients as needed, our costs may increase or we may be forced to delay or terminate testing for a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delays in completing our clinical trials and we may not complete them at all.</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not completed the clinical trials necessary to obtain FDA approval to market rindopepimut, glembatumumab vedotin or any of our other products in development. We initiated a Phase 3 study of rindopepimut in December 2011 and a study designed for accelerated approval for glembatumumab vedotin in December 2013 but we have not initiated Phase 3 studies for any of our other products in development. Our management lacks significant experience in completing Phase 3 trials and bringing a drug through commercialization. Our rindopepimut Phase 3 trial, glembatumumab vedotin accelerated approval study and clinical trials for other products in development may be delayed or terminated as a result of many factors, including the following:</w:t>
      </w:r>
    </w:p>
    <w:p>
      <w:pPr>
        <w:spacing w:after="0" w:line="18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enrolling patients in our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patients failing to complete clinical trials due to dissatisfaction with the treatment, side effects or other reasons;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by regulators to authorize us to commence a clinical trial;</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suspension or termination by regulators of clinical research for many reasons, including concerns about patient safety or failure of our contract manufacturers to comply with cGMP requirements;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or failure to obtain clinical supply for our products necessary to conduct clinical trials from contract manufacturers, including commercial grade clinical supply for our Phase 3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treatment candidates demonstrating a lack of efficacy during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continue to fund clinical trials or to find a partner to fund the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ongoing clinical trials and scheduling conflicts with participating clinicians;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completing data collection and analysis for clinical trials.</w:t>
      </w:r>
    </w:p>
    <w:p>
      <w:pPr>
        <w:spacing w:after="0" w:line="225"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Any delay or failure to complete clinical trials and obtain FDA approval for our drug candidates could have a material adverse effect on our cost to develop and commercialize, and our ability to generate revenue from, a particular drug candidate.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delay in obtaining regulatory approval would have an adverse impact on our ability to earn future revenues.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It is possible that none of the drug candidates that we develop will obtain the regulatory approvals necessary for us to begin commercializing them. The time required to obtain FDA and other approvals is unpredictable but often can take years following the commencement of clinical trials, depending upon the nature of the drug candidate. Any analysis we perform of data from clinical activities is subject to confirmation and interpretation by regulatory authorities, which could delay, limit or prevent regulatory approval. Any delay or failure in obtaining required approvals could have a material adverse effect on our ability to generate revenues from the particular drug candidate including, but not limited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0" w:name="page31"/>
    <w:bookmarkEnd w:id="30"/>
    <w:p>
      <w:pPr>
        <w:ind w:right="400"/>
        <w:spacing w:after="0" w:line="259" w:lineRule="auto"/>
        <w:rPr>
          <w:sz w:val="20"/>
          <w:szCs w:val="20"/>
          <w:color w:val="auto"/>
        </w:rPr>
      </w:pPr>
      <w:r>
        <w:rPr>
          <w:rFonts w:ascii="Arial" w:cs="Arial" w:eastAsia="Arial" w:hAnsi="Arial"/>
          <w:sz w:val="18"/>
          <w:szCs w:val="18"/>
          <w:color w:val="auto"/>
        </w:rPr>
        <w:t>to, loss of patent term during the approval period. Furthermore, if we, or our partners, do not reach the market with our products before our competitors offer products for the same or similar uses, or if we, or our partners, are not effective in marketing our products, our revenues from product sales, if any, will be reduced.</w:t>
      </w:r>
    </w:p>
    <w:p>
      <w:pPr>
        <w:spacing w:after="0" w:line="19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face intense competition in our development activities. We face competition from many companies in the United States and abroad, including a number of large pharmaceutical companies, firms specialized in the development and production of vaccines, adjuvants and vaccine and immunotherapeutic delivery systems and major universities and research institutions. The competitors of which we are aware that have initiated a Phase 3 study or have obtained marketing approval for a potentially competitive drug to rindopepimut for treatment of glioblastoma and/or glembatumumab vedotin for treatment of breast cancer include Arbor Pharmaceutics, Inc., AstraZeneca PLC, Bayer, Celgene Corporation, Eisai Inc., Eli Lilly and Company, Medigene AG, Northwest Biotherapeutics, Inc., Pfizer Inc., and Roche. Most of our competitors have substantially greater resources, more extensive experience in conducting preclinical studies and clinical testing and obtaining regulatory approvals for their products, greater operating experience, greater research and development and marketing capabilities and greater production capabilities than those of ours. These companies might succeed in obtaining regulatory approval for competitive products more rapidly than we can for our products, especially if we experience any delay in obtaining required regulatory approvals.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applicable regulatory requirements would adversely impact our operations.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Even after receiving regulatory approval, our products would be subject to extensive regulatory requirements, and our failure to comply with applicable regulatory requirements will adversely impact our operations. In the United States, the FDA requires that the manufacturing facility that produces a product meet specified standards, undergo an inspection and obtain an establishment license prior to commercial marketing. Subsequent discovery of previously unknown problems with a product or its manufacturing process may result in restrictions on the product or the manufacturer, including withdrawal of the product from the market. Failure to comply with the applicable regulatory requirements can result in fines, suspensions of regulatory approvals, product recalls, operating restrictions and criminal prosecution.</w:t>
      </w:r>
    </w:p>
    <w:p>
      <w:pPr>
        <w:spacing w:after="0" w:line="19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depend greatly on the intellectual capabilities and experience of our key executives and scientists and the loss of any of them could affect our ability to develop our products.</w:t>
      </w:r>
    </w:p>
    <w:p>
      <w:pPr>
        <w:spacing w:after="0" w:line="186"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The loss of Anthony S. Marucci, our President and Chief Executive Officer, or other key members of our staff, including Avery W. Catlin, our Chief Financial Officer, Dr. Thomas Davis, our Chief Medical Officer, Dr. Tibor Keler, our Chief Scientific Officer or Dr. Ronald Pepin, our Chief Business Officer, could harm us. We entered into employment agreements with Messrs. Marucci, Catlin, Davis, Keler and Pepin although an employment agreement as a practical matter does not guarantee retention of an employee. We also depend on our scientific and clinical collaborators and advisors, all of whom have outside commitments that may limit their availability to us. In addition, we believe that our future success will depend in large part upon our ability to attract and retain highly skilled scientific, managerial and marketing personnel, particularly as we expand our activities in clinical trials, the regulatory approval process and sales and manufacturing. We routinely enter into consulting agreements with our scientific and clinical collaborators and advisors, key opinion leaders and heads of academic departments in the ordinary course of our business. We also enter into contractual agreements with physicians and institutions who recruit patients into our clinical trials on our behalf in the ordinary course of our business. Notwithstanding these arrangements, we face significant competition for this type of personnel from other companies, research and academic institutions, government entities and other organizations. We cannot predict our success in hiring or retaining the personnel we require for continued growth.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right="420"/>
        <w:spacing w:after="0" w:line="332" w:lineRule="auto"/>
        <w:rPr>
          <w:sz w:val="20"/>
          <w:szCs w:val="20"/>
          <w:color w:val="auto"/>
        </w:rPr>
      </w:pPr>
      <w:r>
        <w:rPr>
          <w:rFonts w:ascii="Arial" w:cs="Arial" w:eastAsia="Arial" w:hAnsi="Arial"/>
          <w:sz w:val="16"/>
          <w:szCs w:val="16"/>
          <w:b w:val="1"/>
          <w:bCs w:val="1"/>
          <w:i w:val="1"/>
          <w:iCs w:val="1"/>
          <w:color w:val="auto"/>
        </w:rPr>
        <w:t>We rely on contract manufacturers over whom we have limited control. Should the cost, delivery and quality of clinical and commercial grade materials supplied by contract manufacturers vary to our disadvantage, our business operations could suffer significant harm.</w:t>
      </w:r>
    </w:p>
    <w:p>
      <w:pPr>
        <w:spacing w:after="0" w:line="13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limited experience in commercial manufacturing. We rely on contract manufacturing organizations, or CMOs, to manufacture drug substance and drug product for our late-stage clinical studies of rindopepimut and glembatumumab vedotin as well as for future commercial supplies. We also rely on CMOs for filling, packaging, storage and shipping of drug product. In order for us to establish our own commercial manufacturing facility, we would require substantial additional funds and would need to hire and retain significant additional personnel and comply with the extensive cGMP regulations applicable to such a facility. The commercial manufacturing facility would also need to be licensed for the production of our drug candidates by the FDA. For our most advanced programs, we are working with CMOs under established manufacturing arrangements that comply with the FDA's requirements and other regulatory standards, although there is no assurance that the manufacturing will be successful.</w:t>
      </w:r>
    </w:p>
    <w:p>
      <w:pPr>
        <w:spacing w:after="0" w:line="17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currently use rindopepimut drug product that was manufactured by Pfizer and Jubilant Hollister Stier, in the ACT IV and ReACT clinical studies. In 2013, we established a relationship with SAFC, a division of the Sigma Aldrich Corporation, to manufacture rindopepimut for late stage development and commercial supply. We rely on Biosyn and Ambiopharm for supplying suitable quantities of cGMP starting materials for the manufacture of rindopepimut. We also rely on Sanofi to supply suitable quantities of commercial quality GM-CSF which is co-administered with rindopepimut. Any manufacturing failures or delays by our rindopepimut contract manufacturers or suppliers of critical materials could cause delays in the ACT IV and ReACT studies and/or the commercial launch of rindopepimut.</w:t>
      </w:r>
    </w:p>
    <w:p>
      <w:pPr>
        <w:spacing w:after="0" w:line="198" w:lineRule="exact"/>
        <w:rPr>
          <w:sz w:val="20"/>
          <w:szCs w:val="20"/>
          <w:color w:val="auto"/>
        </w:rPr>
      </w:pPr>
    </w:p>
    <w:p>
      <w:pPr>
        <w:ind w:right="240" w:firstLine="348"/>
        <w:spacing w:after="0" w:line="298" w:lineRule="auto"/>
        <w:rPr>
          <w:sz w:val="20"/>
          <w:szCs w:val="20"/>
          <w:color w:val="auto"/>
        </w:rPr>
      </w:pPr>
      <w:r>
        <w:rPr>
          <w:rFonts w:ascii="Arial" w:cs="Arial" w:eastAsia="Arial" w:hAnsi="Arial"/>
          <w:sz w:val="16"/>
          <w:szCs w:val="16"/>
          <w:color w:val="auto"/>
        </w:rPr>
        <w:t>To date, we have utilized contract manufacturing organizations for the manufacture of clinical trial supplies of glembatumumab vedotin. In 2013, we established a relationship with Lonza, AG to manufacture the CR-011 antibody and Piramal Healthcare UK Ltd. to conjugate the CR-011 antibody and stable linker with the MMAE toxin. We rely on SAFC for sourcing of suitable quantities of vcMMAE. Any manufacturing failures or delays by our glembatumumab vedotin contract manufacturers or suppliers of materials could cause delays in the METRIC study and/or the commercial launch of glembatumumab vedotin.</w:t>
      </w:r>
    </w:p>
    <w:p>
      <w:pPr>
        <w:spacing w:after="0" w:line="167"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We have established our own cGMP manufacturing facility in Fall River, Massachusetts, to produce clinical materials for our current and planned Phase 1 and Phase 2 clinical trials. Our Fall River manufacturing facility has up to 1000L bioreactor capacity and is able to manufacture in compliance with FDA and EMEA regulations, allowing us to distribute potential products to clinical sites in both the US and EU for early clinical trials. We manufacture clinical materials of varlilumab, CDX-1401, and CDX-301 in our Fall River facility for our current and planned Phase 1 and Phase 2 clinical trials. The products are filled and packaged at CMOs. Any manufacturing failures or compliance issues at contract manufacturers could cause delays in our Phase 1 and Phase 2 clinical studies.</w:t>
      </w:r>
    </w:p>
    <w:p>
      <w:pPr>
        <w:spacing w:after="0" w:line="15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manufacturing processes for our drug candidates and immunotherapeutic delivery systems utilize known technologies. We believe that the products we currently have under development can be scaled up to permit manufacture in commercial quantities. However, there can be no assurance that we will not encounter difficulties in scaling up the manufacturing processes.</w:t>
      </w:r>
    </w:p>
    <w:p>
      <w:pPr>
        <w:spacing w:after="0" w:line="194"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leading drug candidates require specialized manufacturing capabilities and processes. We may face difficulty in securing commitments from U.S. and foreign contract manufacturers as these manufacturers could be unwilling or unable to accommodate our needs. Relying on foreign manufacturers involves peculiar and increased risks, including the risk relating to the difficulty foreign manufacturers may face in complying with cGMP requirements as a result of language barriers, lack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ind w:right="660"/>
        <w:spacing w:after="0" w:line="259" w:lineRule="auto"/>
        <w:rPr>
          <w:sz w:val="20"/>
          <w:szCs w:val="20"/>
          <w:color w:val="auto"/>
        </w:rPr>
      </w:pPr>
      <w:r>
        <w:rPr>
          <w:rFonts w:ascii="Arial" w:cs="Arial" w:eastAsia="Arial" w:hAnsi="Arial"/>
          <w:sz w:val="18"/>
          <w:szCs w:val="18"/>
          <w:color w:val="auto"/>
        </w:rPr>
        <w:t>familiarity with cGMP or the FDA regulatory process or other causes, economic or political instability in or affecting the home countries of our foreign manufacturers, shipping delays, potential changes in foreign regulatory laws governing the sales of our product supplies, fluctuations in foreign currency exchange rates and the imposition or application of trade restrictions.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 can be no assurances that contract manufacturers will be able to meet our timetable and requirements. Further, contract manufacturers must operate in compliance with cGMP and failure to do so could result in, among other things, the disruption of product supplies. As noted above, non-U.S. contract manufacturers may face special challenges in complying with cGMP requirements, and although we are not currently dependent on non-U.S. collaborators or contract manufacturers, we may choose or be required to rely on non-U.S. sources in the future as we seek to develop stable supplies of increasing quantities of materials for ongoing clinical trials of larger scale. Our dependence upon third parties for the manufacture of our products may adversely affect our profit margins and our ability to develop and deliver products on a timely and competitive basis.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factors could affect the demand for and sales of any products that we may commercialize in the future.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other factors that could affect the demand for and sales and profitability of our products include, but are not limited to:</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regulatory approval, if any, of competitive products;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or any other of our partners' pricing decisions, as applicable, including a decision to increase or decrease the price of a product, and the pricing decisions of our competitors;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government and third-party payer reimbursement and coverage decisions that affect the utilization of our products and competing products;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safety or efficacy data from new clinical studies conducted either in the U.S. or internationally by any party could cause the sales of our products to decrease or a product to be recalled;</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degree of patent protection afforded our products by patents granted to or licensed by us and by the outcome of litigation involving our or any of our licensor's patents;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outcome of litigation involving patents of other companies concerning our products or processes related to production and formulation of those products or uses of those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increasing use and development of alternate therapies;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market penetration by competing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termination of, or change in, existing arrangements with our partners.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could have a material adverse effect on the sales of any products that we may commercialize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the risk of product liability claims, which could exceed our insurance coverage, and produce recalls, each of which could deplete our cash resources.</w:t>
      </w:r>
    </w:p>
    <w:p>
      <w:pPr>
        <w:spacing w:after="0" w:line="260"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As a participant in the pharmaceutical, biotechnology and immunotherapeutic drug industries, we are exposed to the risk of product liability claims alleging that use of our drug candidates caused an injury or harm. These claims can arise at any point in the development, testing, manufacture, marketing or sale of our drug candidates and may be made directly by patients involved in clinical trials of our products, by consumers or healthcare providers or by individuals, organizations or companies selling our products. Product liability claims can be expensive to defend, even if the drug or drug candidate did not actually cause the alleged injury or harm.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ind w:right="40" w:firstLine="351"/>
        <w:spacing w:after="0" w:line="289" w:lineRule="auto"/>
        <w:rPr>
          <w:sz w:val="20"/>
          <w:szCs w:val="20"/>
          <w:color w:val="auto"/>
        </w:rPr>
      </w:pPr>
      <w:r>
        <w:rPr>
          <w:rFonts w:ascii="Arial" w:cs="Arial" w:eastAsia="Arial" w:hAnsi="Arial"/>
          <w:sz w:val="16"/>
          <w:szCs w:val="16"/>
          <w:color w:val="auto"/>
        </w:rPr>
        <w:t>Insurance covering product liability claims becomes increasingly expensive as a drug candidate moves through the development pipeline to commercialization. Under our license agreements, we are required to maintain clinical trial liability insurance coverage up to $15 million. However, there can be no assurance that such insurance coverage is or will continue to be adequate or available to us at a cost acceptable to us or at all. We may choose or find it necessary under our collaborative agreements to increase our insurance coverage in the future. We may not be able to secure greater or broader product liability insurance coverage on acceptable terms or at reasonable costs when needed. Any liability for damages resulting from a product liability claim could exceed the amount of our coverage, require us to pay a substantial monetary award from our own cash resources and have a material adverse effect on our business, financial condition and results of operations. Moreover, a product recall, if required, could generate substantial negative publicity about our products and business and inhibit or prevent commercialization of other products and drug candidates.</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some of our licensing and other agreements with third parties require or might require us to maintain product liability insurance. If we cannot maintain acceptable amounts of coverage on commercially reasonable terms in accordance with the terms set forth in these agreements, the corresponding agreements would be subject to termination, which could have a material adverse impact on our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third parties requires us to share our trade secrets, which increases the possibility that a competitor will discover them.</w:t>
      </w:r>
    </w:p>
    <w:p>
      <w:pPr>
        <w:spacing w:after="0" w:line="24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Because we rely on third parties to develop our products, we must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We also conduct joint research and development programs which may require us to share trade secrets under the terms of research and development partnership or similar agreements.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w:t>
      </w:r>
    </w:p>
    <w:p>
      <w:pPr>
        <w:spacing w:after="0" w:line="177"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integrate newly-acquired technology with our existing technology or to modify our technologies to create new immunotherapeutic drugs</w:t>
      </w:r>
    </w:p>
    <w:p>
      <w:pPr>
        <w:spacing w:after="0" w:line="186"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part of our acquisition of technology assets from entities such as Amgen, we have acquired access to Fms-like tyrosine kinase 3 ligand, or Flt3L, which may improve the immunogenicity of our immunotherapeutic drugs. If we are able to integrate these licensed assets with our immunotherapy technologies, we believe these assets will give our immunotherapeutic drugs a competitive advantage. However, if we are unable to successfully integrate licensed assets, or other technologies which we have acquired or may acquire in the future, with our existing technologies and potential products currently under development, we may be unable to realize any benefit from our acquisition of these assets, or other technologies which we have acquired or may acquire in the future and may face the loss of our investment of financial resources and time in the integration process.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ind w:right="100" w:firstLine="348"/>
        <w:spacing w:after="0" w:line="256" w:lineRule="auto"/>
        <w:rPr>
          <w:sz w:val="20"/>
          <w:szCs w:val="20"/>
          <w:color w:val="auto"/>
        </w:rPr>
      </w:pPr>
      <w:r>
        <w:rPr>
          <w:rFonts w:ascii="Arial" w:cs="Arial" w:eastAsia="Arial" w:hAnsi="Arial"/>
          <w:sz w:val="18"/>
          <w:szCs w:val="18"/>
          <w:color w:val="auto"/>
        </w:rPr>
        <w:t>We believe that our immunotherapy technology portfolio may offer opportunities to develop immunotherapeutic drugs that treat a variety of oncology, inflammatory and infectious diseases by stimulating a patient's immune system against those disease organisms. If our immunotherapy technology portfolio cannot be used to create effective immunotherapeutic drugs against a variety of disease organisms, we may lose all or portions of our investment in development efforts for new drug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license technology from other companies to develop products, and those companies could influence research and development or restrict our use of it.</w:t>
      </w:r>
    </w:p>
    <w:p>
      <w:pPr>
        <w:spacing w:after="0" w:line="260"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Companies that license technologies to us that we use in our research and development programs may require us to achieve milestones or devote minimum amounts of resources to develop products using those technologies. They may also require us to make significant royalty and milestone payments, including a percentage of any sublicensing income, as well as payments to reimburse them for patent costs. The number and variety of our research and development programs require us to establish priorities and to allocate available resources among competing programs. From time to time we may choose to slow down or cease our efforts on particular products. If in doing so we fail to fully perform our obligations under a license, the licensor can terminate the licenses or permit our competitors to use the technology. Moreover, we may lose our right to market and sell any products based on the licensed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many competitors in our field and they may develop technologies that make ours obsolete.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Biotechnology, pharmaceuticals and therapeutics are rapidly evolving fields in which scientific and technological developments are expected to continue at a rapid pace. We have many competitors in the U.S. and abroad. The competitors of which we are aware that have initiated a Phase 3 study or have obtained marketing approval for a potentially competitive drug to rindopepimut for treatment of glioblastoma and/or glembatumumab vedotin for treatment of breast cancer include Arbor Pharmaceutics, Inc., AstraZeneca PLC, Bayer, Celgene Corporation, Eisai Inc., Eli Lilly and Company, Medigene AG, Northwest Biotherapeutics, Inc., Pfizer Inc., and Roche. Our success depends upon our ability to develop and maintain a competitive position in the product categories and technologies on which we focus. Many of our competitors have greater capabilities, experience and financial resources than we do. Competition is intense and is expected to increase as new products enter the market and new technologies become available. Our competitors may:</w:t>
      </w:r>
    </w:p>
    <w:p>
      <w:pPr>
        <w:spacing w:after="0" w:line="186"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 technologies and products that are more effective than ours, making ours obsolete or otherwise noncompetitive;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for products more rapidly or effectively than us;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patent protection or other intellectual property rights that would block our ability to develop competitive products.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rely on patents, patent applications and other intellectual property protections to protect our technology and trade secrets; which are expensive and may not provide sufficient protection.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success depends in part on our ability to obtain and maintain patent protection for technologies that we use. Biotechnology patents involve complex legal, scientific and factual questions and are highly uncertain. To date, there is no consistent policy regarding the breadth of claims allowed in biotechnology patents, particularly in regard to patents for technologies for human uses like those we use in our business. We cannot predict whether the patents we seek will issue. If they do issue, a competitor may challenge them and limit their scope. Moreover, our patents may not afford effective protection against competitors with similar technology. A successful challenge to any one of our patents could result in a third party's ability to use the technology covered by the patent. We also face the risk that others will infringe, avoid or circumvent our patents. Technology that we license from others is subject to similar risks and this could harm our ability to use that technology. If we, or a company that licenses technology to us, were not the first creator of an invention that we use, our use of the underlying product or technology will face restrictions, including elimination.</w:t>
      </w:r>
    </w:p>
    <w:p>
      <w:pPr>
        <w:spacing w:after="0" w:line="17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If we must defend against suits brought against us or prosecute suits against others involving intellectual property rights, we will incur substantial costs. In addition to any potential liability for significant monetary damages, a decision against us may require us to obtain licenses to patents or other intellectual property rights of others on potentially unfavorable terms. If those licenses from third parties are necessary but we cannot acquire them, we would attempt to design around the relevant technology, which would cause higher development costs and delays, and may ultimately prove impracticable.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requires us to use hazardous materials, which increases our exposure to dangerous and costly accidents.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research and development activities involve the use of hazardous chemicals, biological materials and radioactive compounds. Although we believe that our safety procedures for handling and disposing of hazardous materials comply with the standards prescribed by applicable laws and regulations, we cannot completely eliminate the risk of accidental contamination or injury from these materials. In the event of an accident, an injured party will likely sue us for any resulting damages with potentially significant liability. The ongoing cost of complying with environmental laws and regulations is significant and may increase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and restrictions on reimbursement may limit our returns on potential products.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Because our strategy ultimately depends on the commercial success of our products, we assume, among other things, that end users of our products will be able to pay for them. In the United States and other countries, in most cases, the volume of sales of products like those we are developing depends on the availability of reimbursement from third-party payors, including national health care agencies, private health insurance plans and health maintenance organizations. Third-party payors increasingly challenge the prices charged for medical products and services. Accordingly, if we succeed in bringing products to market, and reimbursement is not available or is insufficient, we could be prevented from successfully commercializing our potential products.</w:t>
      </w:r>
    </w:p>
    <w:p>
      <w:pPr>
        <w:spacing w:after="0" w:line="170"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health care industry in the United States and in Europe is undergoing fundamental changes as a result of political, economic and regulatory influences. Reforms proposed from time to time include mandated basic health care benefits, controls on health care spending, the establishment of governmental controls over the cost of therapies, creation of large medical services and products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36" w:name="page37"/>
    <w:bookmarkEnd w:id="36"/>
    <w:p>
      <w:pPr>
        <w:spacing w:after="0" w:line="255" w:lineRule="auto"/>
        <w:rPr>
          <w:sz w:val="20"/>
          <w:szCs w:val="20"/>
          <w:color w:val="auto"/>
        </w:rPr>
      </w:pPr>
      <w:r>
        <w:rPr>
          <w:rFonts w:ascii="Arial" w:cs="Arial" w:eastAsia="Arial" w:hAnsi="Arial"/>
          <w:sz w:val="18"/>
          <w:szCs w:val="18"/>
          <w:color w:val="auto"/>
        </w:rPr>
        <w:t>purchasing groups and fundamental changes to the health care delivery system. We anticipate ongoing review and assessment of health care delivery systems and methods of payment in the United States and other countries. We cannot predict whether any particular reform initiatives will result or, if adopted, what their impact on us will be. However, we expect that adoption of any reform proposed will impair our ability to market products at acceptable prices and that uncertainty concerning future government regulation of consumer healthcare purchasing and insurance may result in difficulties for drug development companies, like us, in raising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affecting the health care industry could adversely affect our business.</w:t>
      </w:r>
    </w:p>
    <w:p>
      <w:pPr>
        <w:spacing w:after="0" w:line="225" w:lineRule="exact"/>
        <w:rPr>
          <w:sz w:val="20"/>
          <w:szCs w:val="20"/>
          <w:color w:val="auto"/>
        </w:rPr>
      </w:pPr>
    </w:p>
    <w:p>
      <w:pPr>
        <w:ind w:right="40" w:firstLine="351"/>
        <w:spacing w:after="0" w:line="287" w:lineRule="auto"/>
        <w:rPr>
          <w:sz w:val="20"/>
          <w:szCs w:val="20"/>
          <w:color w:val="auto"/>
        </w:rPr>
      </w:pPr>
      <w:r>
        <w:rPr>
          <w:rFonts w:ascii="Arial" w:cs="Arial" w:eastAsia="Arial" w:hAnsi="Arial"/>
          <w:sz w:val="16"/>
          <w:szCs w:val="16"/>
          <w:color w:val="auto"/>
        </w:rPr>
        <w:t>In the U.S., there have been numerous proposals considered at the federal and state levels to reform the health care industry and its cost, and it is likely that federal and state legislatures and health agencies will continue to focus on health care reform in the future. While additional health care reform may increase the number of patients who have insurance coverage for our products, it may also include cost containment measures that adversely affect reimbursement for our products. Congress has also considered legislation to change the Medicare reimbursement system for outpatient drugs, increase the amount of rebates that manufacturers pay for coverage of their drugs by Medicaid programs and facilitate the importation of lower-cost prescription drugs that are marketed outside the U.S.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77"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and our collaborators and partners operate in a highly regulated industry. As a result, governmental actions may adversely affect our business, operations or financial condition, including:</w:t>
      </w:r>
    </w:p>
    <w:p>
      <w:pPr>
        <w:spacing w:after="0" w:line="199" w:lineRule="exact"/>
        <w:rPr>
          <w:sz w:val="20"/>
          <w:szCs w:val="20"/>
          <w:color w:val="auto"/>
        </w:rPr>
      </w:pPr>
    </w:p>
    <w:p>
      <w:pPr>
        <w:ind w:left="1080" w:right="3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regulations or judicial decisions, or new interpretations of existing laws, regulations or decisions, related to health care availability, method of delivery and payment for health care products and services;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FDA and foreign regulatory approval processes that may delay or prevent the approval of new products and result in lost market opportunity;</w:t>
      </w:r>
    </w:p>
    <w:p>
      <w:pPr>
        <w:spacing w:after="0" w:line="199" w:lineRule="exact"/>
        <w:rPr>
          <w:rFonts w:ascii="Arial" w:cs="Arial" w:eastAsia="Arial" w:hAnsi="Arial"/>
          <w:sz w:val="18"/>
          <w:szCs w:val="18"/>
          <w:color w:val="auto"/>
        </w:rPr>
      </w:pPr>
    </w:p>
    <w:p>
      <w:pPr>
        <w:ind w:left="1080" w:right="320" w:hanging="532"/>
        <w:spacing w:after="0" w:line="306"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laws, regulations and judicial decisions affecting pricing or marketing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tax laws relating to our operations.</w:t>
      </w:r>
    </w:p>
    <w:p>
      <w:pPr>
        <w:spacing w:after="0" w:line="225"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enactment in the U.S. of health care reform, possible legislation which could ease the entry of competing follow-on biologics in the marketplace,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the Food and Drug Administration Amendments Act of 2007 included new authorization for the FDA to require post-market safety monitoring, along with an expanded clinical trials registry and clinical trials results database,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expanded authority for the FDA to impose civil monetary penalties on companies that fail to meet certain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physicians, patients and third-party payors do not accept any future drugs that we may develop, we may be unable to generate significant revenue, if any.</w:t>
      </w:r>
    </w:p>
    <w:p>
      <w:pPr>
        <w:spacing w:after="0" w:line="260"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Even if our drug candidates as well as any drug candidates that we may develop or acquire in the future obtain regulatory approval, they may not gain market acceptance among physicians, patients and health care payors. Physicians may elect not to recommend these drugs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market introduction of competitive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lower demonstrated clinical safety and efficacy compared to other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cost-effectiveness;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lack of availability of reimbursement from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convenience and ease of administration;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prevalence and severity of adverse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potential advantages of alternative treatment methods;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 marketing and distribution support.</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If any drugs that we are developing fail to achieve market acceptance, we would not be able to generate sufficient revenue from product sales to maintain or grow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history of losses and uncertainty of future profitability make our common stock a highly speculative investment.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had no commercial revenue to date from sales of our drug candidates. We had an accumulated deficit of $345.7 million as of December 31,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expect to spend substantial funds to continue the research and development testing of our products candidates.</w:t>
      </w:r>
    </w:p>
    <w:p>
      <w:pPr>
        <w:spacing w:after="0" w:line="219"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anticipation of FDA approval of these products, we will need to make substantial investments to establish sales, marketing, quality control, regulatory compliance capabilities and commercial manufacturing alliances. These investments will increase if and when any of these products receive FDA approval. We cannot predict how quickly our lead products will progress through the regulatory approval process. As a result, we may continue to lose money for several years.</w:t>
      </w:r>
    </w:p>
    <w:p>
      <w:pPr>
        <w:spacing w:after="0" w:line="142"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cannot be certain that we will achieve or sustain profitability in the future. Failure to achieve profitability could diminish our ability to sustain operations, pay dividends on our common stock, obtain additional required funds and make required payments on our present or future indebtedness.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has been and could remain volatile.</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market price of our common stock has historically experienced and may continue to experience significant volatility. From January 2013 through December 2013, the market price of our common stock has fluctuated from a high of $38.84 per share in the fourth quarter of 2013, to a low of $6.81 per share in the first quarter of 2013. Our progress in developing and commercializing our products, the impact of government regulations on our products and industry, the potential sale of a large volume of our common stock by stockholders, our quarterly operating results, changes in general conditions in the economy or the financial markets and other developments affecting us or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8"/>
          <w:szCs w:val="18"/>
          <w:color w:val="auto"/>
        </w:rPr>
        <w:t>competitors could cause the market price of our common stock to fluctuate substantially with significant market losses. If our stockholders sell a substantial number of shares of common stock, especially if those sales are made during a short period of time, those sales could adversely affect the market price of our common stock and could impair our ability to raise capital. In addition, in recent years, the stock market has experienced significant price and volume fluctuations. This volatility has affected the market prices of securities issued by many companies for reasons unrelated to their operating performance and may adversely affect the price of our common stock. In addition, we could be subject to a securities class action litigation as a result of volatility in the price of our stock, which could result in substantial costs and diversion of management's attention and resources and could harm our stock price, business, prospects, results of operations and financial condition.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 carryforwards will be subject to limitation and, under certain circumstances, may be eliminated.</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Utilization of our net operating loss and research and development credit carryforwards may be subject to substantial annual limitation due to ownership change limitations that have occurred previously or that could occur in the future provided by Section 382 of the Internal Revenue Code of 1986, or Section 382, as well as similar state provisions. In general, an ownership change, as defined by Section 382, results from transactions increasing the ownership of certain shareholders or public groups in the stock of a corporation by more than 50 percentage points over a three-year period.</w:t>
      </w:r>
    </w:p>
    <w:p>
      <w:pPr>
        <w:spacing w:after="0" w:line="16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October 2007, June 2009 and in December 2009, we experienced a change in ownership as defined by Section 382 of the Internal Revenue Code. Historically, we have raised capital through the issuance of capital stock on several occasions which, combined with shareholders' subsequent disposition of those shares, has resulted in three changes of control, as defined by Section 382. As a result of the ownership change in October 2007, utilization of our Federal net operating loss carryforwards is subject to an annual limitation. Any unused annual limitation may be carried over to later years, and the amount of the limitation may, under certain circumstances, be subject to adjustment if the fair value of the our net assets are determined to be below or in excess of the tax basis of such assets at the time of the ownership change, and such unrealized loss or gain is recognized during the five-year period after the ownership change. Subsequent ownership changes, as defined in Section 382, could further limit the amount of net operating loss carryforwards and research and development credits that can be utilized annually to offset future taxable income.</w:t>
      </w:r>
    </w:p>
    <w:p>
      <w:pPr>
        <w:spacing w:after="0" w:line="17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have not undertaken a study to assess whether an ownership change or multiple ownership changes has occurred for (i) AVANT or CuraGen prior to our acquisitions, (ii) the Company on the state level, (iii) the Company since October 2012, or (iv) research and development credits. If, based on such a study, we were to determine that there has been an ownership change at any time since its formation, utilization of net operating loss or tax credit carryforwards would be subject to an annual limitation under Section 382.</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 to Note 15, "Income Taxes," in the accompanying notes to the consolidated financial statements for additional discussion on income taxes.</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our significant leased properties are described below.</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3"/>
              </w:rPr>
              <w:t>Approximate</w:t>
            </w:r>
          </w:p>
        </w:tc>
        <w:tc>
          <w:tcPr>
            <w:tcW w:w="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Property Location</w:t>
            </w:r>
          </w:p>
        </w:tc>
        <w:tc>
          <w:tcPr>
            <w:tcW w:w="900" w:type="dxa"/>
            <w:vAlign w:val="bottom"/>
          </w:tcPr>
          <w:p>
            <w:pPr>
              <w:jc w:val="right"/>
              <w:ind w:right="39"/>
              <w:spacing w:after="0"/>
              <w:rPr>
                <w:sz w:val="20"/>
                <w:szCs w:val="20"/>
                <w:color w:val="auto"/>
              </w:rPr>
            </w:pPr>
            <w:r>
              <w:rPr>
                <w:rFonts w:ascii="Arial" w:cs="Arial" w:eastAsia="Arial" w:hAnsi="Arial"/>
                <w:sz w:val="14"/>
                <w:szCs w:val="14"/>
                <w:b w:val="1"/>
                <w:bCs w:val="1"/>
                <w:color w:val="auto"/>
                <w:w w:val="94"/>
              </w:rPr>
              <w:t>Square Feet</w:t>
            </w:r>
          </w:p>
        </w:tc>
        <w:tc>
          <w:tcPr>
            <w:tcW w:w="160" w:type="dxa"/>
            <w:vAlign w:val="bottom"/>
          </w:tcPr>
          <w:p>
            <w:pPr>
              <w:spacing w:after="0"/>
              <w:rPr>
                <w:sz w:val="14"/>
                <w:szCs w:val="14"/>
                <w:color w:val="auto"/>
              </w:rPr>
            </w:pPr>
          </w:p>
        </w:tc>
        <w:tc>
          <w:tcPr>
            <w:tcW w:w="2840" w:type="dxa"/>
            <w:vAlign w:val="bottom"/>
          </w:tcPr>
          <w:p>
            <w:pPr>
              <w:ind w:left="1300"/>
              <w:spacing w:after="0"/>
              <w:rPr>
                <w:sz w:val="20"/>
                <w:szCs w:val="20"/>
                <w:color w:val="auto"/>
              </w:rPr>
            </w:pPr>
            <w:r>
              <w:rPr>
                <w:rFonts w:ascii="Arial" w:cs="Arial" w:eastAsia="Arial" w:hAnsi="Arial"/>
                <w:sz w:val="14"/>
                <w:szCs w:val="14"/>
                <w:b w:val="1"/>
                <w:bCs w:val="1"/>
                <w:color w:val="auto"/>
              </w:rPr>
              <w:t>Use</w:t>
            </w:r>
          </w:p>
        </w:tc>
        <w:tc>
          <w:tcPr>
            <w:tcW w:w="16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4"/>
                <w:szCs w:val="14"/>
                <w:b w:val="1"/>
                <w:bCs w:val="1"/>
                <w:color w:val="auto"/>
                <w:w w:val="92"/>
              </w:rPr>
              <w:t>Lease 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Hampton, New Jersey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Headquarters, Office and Laboratory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2019(1)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Needham, Massachusetts</w:t>
            </w:r>
          </w:p>
        </w:tc>
        <w:tc>
          <w:tcPr>
            <w:tcW w:w="900" w:type="dxa"/>
            <w:vAlign w:val="bottom"/>
          </w:tcPr>
          <w:p>
            <w:pPr>
              <w:jc w:val="right"/>
              <w:spacing w:after="0"/>
              <w:rPr>
                <w:sz w:val="20"/>
                <w:szCs w:val="20"/>
                <w:color w:val="auto"/>
              </w:rPr>
            </w:pPr>
            <w:r>
              <w:rPr>
                <w:rFonts w:ascii="Arial" w:cs="Arial" w:eastAsia="Arial" w:hAnsi="Arial"/>
                <w:sz w:val="18"/>
                <w:szCs w:val="18"/>
                <w:color w:val="auto"/>
              </w:rPr>
              <w:t>35,200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 and Laboratory</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April 2017(2)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Fall River, Massachusetts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3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Manufacturing Facility</w:t>
            </w:r>
          </w:p>
        </w:tc>
        <w:tc>
          <w:tcPr>
            <w:tcW w:w="1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December 2017(3)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Branford, Connecticut</w:t>
            </w:r>
          </w:p>
        </w:tc>
        <w:tc>
          <w:tcPr>
            <w:tcW w:w="900" w:type="dxa"/>
            <w:vAlign w:val="bottom"/>
          </w:tcPr>
          <w:p>
            <w:pPr>
              <w:jc w:val="right"/>
              <w:spacing w:after="0"/>
              <w:rPr>
                <w:sz w:val="20"/>
                <w:szCs w:val="20"/>
                <w:color w:val="auto"/>
              </w:rPr>
            </w:pPr>
            <w:r>
              <w:rPr>
                <w:rFonts w:ascii="Arial" w:cs="Arial" w:eastAsia="Arial" w:hAnsi="Arial"/>
                <w:sz w:val="18"/>
                <w:szCs w:val="18"/>
                <w:color w:val="auto"/>
              </w:rPr>
              <w:t>6,600</w:t>
            </w:r>
          </w:p>
        </w:tc>
        <w:tc>
          <w:tcPr>
            <w:tcW w:w="3000" w:type="dxa"/>
            <w:vAlign w:val="bottom"/>
            <w:gridSpan w:val="2"/>
          </w:tcPr>
          <w:p>
            <w:pPr>
              <w:ind w:left="160"/>
              <w:spacing w:after="0"/>
              <w:rPr>
                <w:sz w:val="20"/>
                <w:szCs w:val="20"/>
                <w:color w:val="auto"/>
              </w:rPr>
            </w:pPr>
            <w:r>
              <w:rPr>
                <w:rFonts w:ascii="Arial" w:cs="Arial" w:eastAsia="Arial" w:hAnsi="Arial"/>
                <w:sz w:val="18"/>
                <w:szCs w:val="18"/>
                <w:color w:val="auto"/>
              </w:rPr>
              <w:t>Office</w:t>
            </w:r>
          </w:p>
        </w:tc>
        <w:tc>
          <w:tcPr>
            <w:tcW w:w="1600" w:type="dxa"/>
            <w:vAlign w:val="bottom"/>
            <w:gridSpan w:val="2"/>
          </w:tcPr>
          <w:p>
            <w:pPr>
              <w:ind w:left="160"/>
              <w:spacing w:after="0"/>
              <w:rPr>
                <w:sz w:val="20"/>
                <w:szCs w:val="20"/>
                <w:color w:val="auto"/>
              </w:rPr>
            </w:pPr>
            <w:r>
              <w:rPr>
                <w:rFonts w:ascii="Arial" w:cs="Arial" w:eastAsia="Arial" w:hAnsi="Arial"/>
                <w:sz w:val="18"/>
                <w:szCs w:val="18"/>
                <w:color w:val="auto"/>
              </w:rPr>
              <w:t>January 2018(4)</w:t>
            </w: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 includes one renewal option of five years.</w:t>
      </w:r>
    </w:p>
    <w:p>
      <w:pPr>
        <w:spacing w:after="0" w:line="238"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 includes two renewal options of five years each. Lease also includes provision for early termination in December 2015 upon prior notice of one year.</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Lease includes one renewal option of five years. Lease also includes provision for early termination with 12 months notice.</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84" w:right="39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Our common stock currently trades on the Nasdaq Global Market (NASDAQ) under the symbol "CLDX". The following table sets forth for the periods indicated the high and low sale prices per share for our common stock, as reported by NASDAQ.</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Fiscal Period</w:t>
            </w:r>
          </w:p>
        </w:tc>
        <w:tc>
          <w:tcPr>
            <w:tcW w:w="120" w:type="dxa"/>
            <w:vAlign w:val="bottom"/>
          </w:tcPr>
          <w:p>
            <w:pPr>
              <w:spacing w:after="0"/>
              <w:rPr>
                <w:sz w:val="14"/>
                <w:szCs w:val="14"/>
                <w:color w:val="auto"/>
              </w:rPr>
            </w:pPr>
          </w:p>
        </w:tc>
        <w:tc>
          <w:tcPr>
            <w:tcW w:w="500" w:type="dxa"/>
            <w:vAlign w:val="bottom"/>
          </w:tcPr>
          <w:p>
            <w:pPr>
              <w:jc w:val="right"/>
              <w:ind w:right="7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2013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38.84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As of February 19, 2014, there were approximately 412 shareholders of record of our common stock. On February 19, 2014 the closing price of our common stock, as reported by NASDAQ, was $27.48 per share. We have not paid any dividends on our common stock since our inception and do not intend to pay any dividends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following table provides information as of December 31, 2013 regarding shares of our common stock that may be issued under our existing equity compensation plans, including our 2008 Stock Option and Incentive Plan (the "2008 Plan") and our 2004 Employee Stock Purchase Plan (the "2004 ESPP Plan").</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540" w:type="dxa"/>
            <w:vAlign w:val="bottom"/>
            <w:gridSpan w:val="7"/>
          </w:tcPr>
          <w:p>
            <w:pPr>
              <w:jc w:val="right"/>
              <w:ind w:right="1740"/>
              <w:spacing w:after="0"/>
              <w:rPr>
                <w:sz w:val="20"/>
                <w:szCs w:val="20"/>
                <w:color w:val="auto"/>
              </w:rPr>
            </w:pPr>
            <w:r>
              <w:rPr>
                <w:rFonts w:ascii="Arial" w:cs="Arial" w:eastAsia="Arial" w:hAnsi="Arial"/>
                <w:sz w:val="14"/>
                <w:szCs w:val="14"/>
                <w:b w:val="1"/>
                <w:bCs w:val="1"/>
                <w:color w:val="auto"/>
              </w:rPr>
              <w:t>Equity Compensation Plan Information</w:t>
            </w: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 available for</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future issuance under equity</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to be issued upon exercise</w:t>
            </w:r>
          </w:p>
        </w:tc>
        <w:tc>
          <w:tcPr>
            <w:tcW w:w="12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compensation plan</w:t>
            </w: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12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4"/>
              </w:rPr>
              <w:t>outstanding options</w:t>
            </w:r>
          </w:p>
        </w:tc>
        <w:tc>
          <w:tcPr>
            <w:tcW w:w="160" w:type="dxa"/>
            <w:vAlign w:val="bottom"/>
          </w:tcPr>
          <w:p>
            <w:pPr>
              <w:spacing w:after="0"/>
              <w:rPr>
                <w:sz w:val="12"/>
                <w:szCs w:val="12"/>
                <w:color w:val="auto"/>
              </w:rPr>
            </w:pPr>
          </w:p>
        </w:tc>
        <w:tc>
          <w:tcPr>
            <w:tcW w:w="2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(excluding securities</w:t>
            </w: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and rights(1)</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and rights</w:t>
            </w:r>
          </w:p>
        </w:tc>
        <w:tc>
          <w:tcPr>
            <w:tcW w:w="160" w:type="dxa"/>
            <w:vAlign w:val="bottom"/>
          </w:tcPr>
          <w:p>
            <w:pPr>
              <w:spacing w:after="0"/>
              <w:rPr>
                <w:sz w:val="14"/>
                <w:szCs w:val="14"/>
                <w:color w:val="auto"/>
              </w:rPr>
            </w:pPr>
          </w:p>
        </w:tc>
        <w:tc>
          <w:tcPr>
            <w:tcW w:w="2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referenced in column (a))</w:t>
            </w:r>
          </w:p>
        </w:tc>
      </w:tr>
      <w:tr>
        <w:trPr>
          <w:trHeight w:val="201"/>
        </w:trPr>
        <w:tc>
          <w:tcPr>
            <w:tcW w:w="20" w:type="dxa"/>
            <w:vAlign w:val="bottom"/>
          </w:tcPr>
          <w:p>
            <w:pPr>
              <w:spacing w:after="0"/>
              <w:rPr>
                <w:sz w:val="17"/>
                <w:szCs w:val="17"/>
                <w:color w:val="auto"/>
              </w:rPr>
            </w:pPr>
          </w:p>
        </w:tc>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Equity compensation plans approved by security</w:t>
            </w:r>
          </w:p>
        </w:tc>
        <w:tc>
          <w:tcPr>
            <w:tcW w:w="1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holders(2)</w:t>
            </w:r>
          </w:p>
        </w:tc>
        <w:tc>
          <w:tcPr>
            <w:tcW w:w="2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5,770,544(3)$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22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2,267,066(4)</w:t>
            </w:r>
          </w:p>
        </w:tc>
      </w:tr>
      <w:tr>
        <w:trPr>
          <w:trHeight w:val="108"/>
        </w:trPr>
        <w:tc>
          <w:tcPr>
            <w:tcW w:w="20" w:type="dxa"/>
            <w:vAlign w:val="bottom"/>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any Restricted Stock as such shares are already reflected in our outstanding shares.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the 2008 Plan, 2004 ESPP Plan, Celldex Research's 2005 Equity Incentive Plan and CuraGen's 2007 Stock Plan.</w:t>
      </w:r>
    </w:p>
    <w:p>
      <w:pPr>
        <w:spacing w:after="0" w:line="26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purchase rights accruing under the 2004 ESPP Plan because the purchase price (and therefore the number of shares to be purchased) will not be determined until the end of the purchase period.</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2008 Plan and the 2004 ESPP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b w:val="1"/>
          <w:bCs w:val="1"/>
          <w:color w:val="auto"/>
        </w:rPr>
        <w:t>CELLDEX THEAPEUTICS, INC., NASDAQ MARKET INDEX—U.S. AND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PEER GROUP INDICES</w:t>
      </w:r>
    </w:p>
    <w:p>
      <w:pPr>
        <w:spacing w:after="0" w:line="21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graph below compares the cumulative total stockholder return on the common stock for the period from December 31, 2008 through December 31, 2013, with the cumulative return on (i) NASDAQ Market Index—U.S. Companies, (ii) NASDAQ Pharmaceutical Index, (iii) NASDAQ US Benchmark TR Index, and (iv) NASDAQ Pharmaceutical (Subsector) Index. As a result of a change in the total return data made available to us through our vendor provider, our performance graphs going forward will be using comparable indices provided by NASDAQ OMX Global Indexes. Specifically, we will use the NASDAQ US Benchmark TR Index going forward instead of the NASDAQ Stock Market (U.S.) Index and the NASDAQ Pharmaceutical (Subsector) Index instead of the NASDAQ Pharmaceutical Stock Index. The comparison assumes investment of $100 on December 31, 2008 in our common stock and in each of the indices and, in each case, assumes reinvestment of all dividends. The points on the graph are as of December 31 of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114935</wp:posOffset>
            </wp:positionV>
            <wp:extent cx="4090670" cy="29070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9067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Celldex Therapeutics, Inc.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Stock Index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NASDAQ US Benchmark TR Index</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NASDAQ Pharmaceutical (Subsector) Index</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following selected consolidated financial data are derived from our financial statements. The consolidated statement of operations data for the years ended December 31, 2013, 2012 and 2011 and the consolidated balance sheet data as of December 31, 2013 and 2012 have been derived from our audited consolidated financial statements included elsewhere in this Annual Report on Form 10-K. This data should be read in conjunction with our audited consolidated financial statements and related notes which are included elsewhere in this Annual Report on Form 10-K, and "Management's Discussion and Analysis of Financial Condition and Results of Operations" included in Item 7 below.</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2" w:name="page43"/>
    <w:bookmarkEnd w:id="42"/>
    <w:p>
      <w:pPr>
        <w:ind w:right="160" w:firstLine="351"/>
        <w:spacing w:after="0" w:line="256" w:lineRule="auto"/>
        <w:rPr>
          <w:sz w:val="20"/>
          <w:szCs w:val="20"/>
          <w:color w:val="auto"/>
        </w:rPr>
      </w:pPr>
      <w:r>
        <w:rPr>
          <w:rFonts w:ascii="Arial" w:cs="Arial" w:eastAsia="Arial" w:hAnsi="Arial"/>
          <w:sz w:val="18"/>
          <w:szCs w:val="18"/>
          <w:color w:val="auto"/>
        </w:rPr>
        <w:t>On October 1, 2009, our acquisition of CuraGen became effective. The CuraGen acquisition was accounted for using the acquisition method of accounting and was treated as our acquisition of CuraGen. Accordingly, the financial information presented below for periods prior to October 1, 2009 reflects the financial position and the results of operations of us alone, and for periods from October 1, 2009 forward the combined financial position and combined results of operations of us and CuraGen.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13"/>
          </w:tcPr>
          <w:p>
            <w:pPr>
              <w:jc w:val="right"/>
              <w:ind w:right="582"/>
              <w:spacing w:after="0"/>
              <w:rPr>
                <w:sz w:val="20"/>
                <w:szCs w:val="20"/>
                <w:color w:val="auto"/>
              </w:rPr>
            </w:pPr>
            <w:r>
              <w:rPr>
                <w:rFonts w:ascii="Arial" w:cs="Arial" w:eastAsia="Arial" w:hAnsi="Arial"/>
                <w:sz w:val="14"/>
                <w:szCs w:val="14"/>
                <w:b w:val="1"/>
                <w:bCs w:val="1"/>
                <w:color w:val="auto"/>
                <w:w w:val="88"/>
              </w:rPr>
              <w:t>Year Ended December 31,</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5"/>
              </w:rPr>
              <w:t>Product Development and Licensing Agreements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160</w:t>
            </w:r>
          </w:p>
        </w:tc>
        <w:tc>
          <w:tcPr>
            <w:tcW w:w="6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146</w:t>
            </w:r>
          </w:p>
        </w:tc>
        <w:tc>
          <w:tcPr>
            <w:tcW w:w="6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40,187</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281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Product Royalties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10,775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11,202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46,793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20" w:type="dxa"/>
            <w:vAlign w:val="bottom"/>
            <w:gridSpan w:val="2"/>
          </w:tcPr>
          <w:p>
            <w:pPr>
              <w:ind w:left="1140"/>
              <w:spacing w:after="0"/>
              <w:rPr>
                <w:sz w:val="20"/>
                <w:szCs w:val="20"/>
                <w:color w:val="auto"/>
              </w:rPr>
            </w:pPr>
            <w:r>
              <w:rPr>
                <w:rFonts w:ascii="Arial" w:cs="Arial" w:eastAsia="Arial" w:hAnsi="Arial"/>
                <w:sz w:val="18"/>
                <w:szCs w:val="18"/>
                <w:color w:val="auto"/>
              </w:rPr>
              <w:t>OPERATING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47,398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27,650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Royalty</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10,775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12,077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15,818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11,106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11,106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13,521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Total Operating Expense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85,553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69,279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52,664</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53,248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5"/>
              </w:rPr>
              <w:t>(81,442)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(58,077)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w w:val="95"/>
              </w:rPr>
              <w:t>(43,399)</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(6,455)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(36,850)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Investment and Other Income,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86"/>
              </w:rPr>
              <w:t>819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w w:val="79"/>
              </w:rPr>
              <w:t>530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(1,337)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Net Loss Before Income Taxes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86"/>
              </w:rPr>
              <w:t>(81,550)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0"/>
              </w:rPr>
              <w:t>(59,123)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(44,799)</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(2,533)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(37,054)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4"/>
              </w:rPr>
              <w:t>(81,550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5"/>
              </w:rPr>
              <w:t>(59,123</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(44,799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(2,533</w:t>
            </w:r>
          </w:p>
        </w:tc>
        <w:tc>
          <w:tcPr>
            <w:tcW w:w="80" w:type="dxa"/>
            <w:vAlign w:val="bottom"/>
          </w:tcPr>
          <w:p>
            <w:pPr>
              <w:jc w:val="right"/>
              <w:ind w:right="2"/>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(36,525</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8"/>
              </w:rPr>
              <w:t>Basic and Diluted Net Loss Per Common Share</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32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26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(1.13)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2"/>
              <w:spacing w:after="0" w:line="196" w:lineRule="exact"/>
              <w:rPr>
                <w:sz w:val="20"/>
                <w:szCs w:val="20"/>
                <w:color w:val="auto"/>
              </w:rPr>
            </w:pPr>
            <w:r>
              <w:rPr>
                <w:rFonts w:ascii="Arial" w:cs="Arial" w:eastAsia="Arial" w:hAnsi="Arial"/>
                <w:sz w:val="18"/>
                <w:szCs w:val="18"/>
                <w:color w:val="auto"/>
              </w:rPr>
              <w:t>(0.08)</w:t>
            </w:r>
          </w:p>
        </w:tc>
        <w:tc>
          <w:tcPr>
            <w:tcW w:w="2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gridSpan w:val="4"/>
            <w:vMerge w:val="restart"/>
          </w:tcPr>
          <w:p>
            <w:pPr>
              <w:ind w:left="1140"/>
              <w:spacing w:after="0"/>
              <w:rPr>
                <w:sz w:val="20"/>
                <w:szCs w:val="20"/>
                <w:color w:val="auto"/>
              </w:rPr>
            </w:pPr>
            <w:r>
              <w:rPr>
                <w:rFonts w:ascii="Arial" w:cs="Arial" w:eastAsia="Arial" w:hAnsi="Arial"/>
                <w:sz w:val="18"/>
                <w:szCs w:val="18"/>
                <w:color w:val="auto"/>
                <w:w w:val="89"/>
              </w:rPr>
              <w:t>Shares Used in Calculating Basic and Diluted Net Loss Per</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gridSpan w:val="4"/>
            <w:vMerge w:val="continue"/>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76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79,777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57,713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39,501</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31,868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9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December 31,</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284,839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67,429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40,386</w:t>
            </w:r>
          </w:p>
        </w:tc>
        <w:tc>
          <w:tcPr>
            <w:tcW w:w="3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42,739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69,569</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347,095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6"/>
              </w:rPr>
              <w:t>125,541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97,994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109,943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140,364</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12,082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14,974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14,480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52,190</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(345,679)</w:t>
            </w:r>
          </w:p>
        </w:tc>
        <w:tc>
          <w:tcPr>
            <w:tcW w:w="1100" w:type="dxa"/>
            <w:vAlign w:val="bottom"/>
            <w:gridSpan w:val="7"/>
          </w:tcPr>
          <w:p>
            <w:pPr>
              <w:jc w:val="right"/>
              <w:ind w:right="36"/>
              <w:spacing w:after="0"/>
              <w:rPr>
                <w:sz w:val="20"/>
                <w:szCs w:val="20"/>
                <w:color w:val="auto"/>
              </w:rPr>
            </w:pPr>
            <w:r>
              <w:rPr>
                <w:rFonts w:ascii="Arial" w:cs="Arial" w:eastAsia="Arial" w:hAnsi="Arial"/>
                <w:sz w:val="18"/>
                <w:szCs w:val="18"/>
                <w:color w:val="auto"/>
              </w:rPr>
              <w:t>(264,129)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2"/>
              <w:spacing w:after="0"/>
              <w:rPr>
                <w:sz w:val="20"/>
                <w:szCs w:val="20"/>
                <w:color w:val="auto"/>
              </w:rPr>
            </w:pPr>
            <w:r>
              <w:rPr>
                <w:rFonts w:ascii="Arial" w:cs="Arial" w:eastAsia="Arial" w:hAnsi="Arial"/>
                <w:sz w:val="18"/>
                <w:szCs w:val="18"/>
                <w:color w:val="auto"/>
                <w:w w:val="90"/>
              </w:rPr>
              <w:t>(205,006)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(160,207)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(157,674)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319,795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87"/>
              </w:rPr>
              <w:t>95,774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68,722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75,255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73,767</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are a biopharmaceutical company focused on the development and commercialization of several immunotherapy technologies for the treatment of cancer and other difficult-to-treat diseases. Our drug candidates are derived from a broad set of complementary technologies which have the ability to utilize the human immune system and enable the creation of therapeutic agents. We are using these technologies to develop targeted immunotherapeutics comprised of antibodies, adjuvants and monotherapies and antibody-drug conjugates that prevent or treat cancer and other diseases that modify undesirable activity by the body's own proteins or cells.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lead drug candidates include rindopepimut (also referred to as CDX-110) and glembatumumab vedotin (also referred to as CDX-011). Rindopepimut is a targeted immunotherapeutic in a pivotal Phase 3 study for the treatment of front-line glioblastoma and a Phase 2 study for the treatment of recurrent glioblastoma. Glembatumumab vedotin is a targeted antibody-drug conjugate in a randomized study for the treatment of triple negative breast cancer designed to obtain accelerated approval . We also have a number of earlier stage drug candidates in clinical development, including varlilumab (also referred to as CDX-1127), a fully human therapeutic monoclonal antibody for cancer indications, CDX-301, an immune cell mobilizing agent and dendritic cell growth factor and CDX-1401, a targeted immunotherapeutic aimed at antigen presenting cells, or APC, for cancer indications. Our drug candidates address market opportunities for which we believe current therapies are inadequate or non-existent.</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are building a fully integrated, commercial-stage biopharmaceutical company that develops important therapies for patients with unmet medical needs.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the programs that we currently believe are significant to our business: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Product (generic)</w:t>
            </w:r>
          </w:p>
        </w:tc>
        <w:tc>
          <w:tcPr>
            <w:tcW w:w="1120" w:type="dxa"/>
            <w:vAlign w:val="bottom"/>
          </w:tcPr>
          <w:p>
            <w:pPr>
              <w:spacing w:after="0"/>
              <w:rPr>
                <w:sz w:val="14"/>
                <w:szCs w:val="14"/>
                <w:color w:val="auto"/>
              </w:rPr>
            </w:pPr>
          </w:p>
        </w:tc>
        <w:tc>
          <w:tcPr>
            <w:tcW w:w="3340" w:type="dxa"/>
            <w:vAlign w:val="bottom"/>
          </w:tcPr>
          <w:p>
            <w:pPr>
              <w:ind w:left="1200"/>
              <w:spacing w:after="0"/>
              <w:rPr>
                <w:sz w:val="20"/>
                <w:szCs w:val="20"/>
                <w:color w:val="auto"/>
              </w:rPr>
            </w:pPr>
            <w:r>
              <w:rPr>
                <w:rFonts w:ascii="Arial" w:cs="Arial" w:eastAsia="Arial" w:hAnsi="Arial"/>
                <w:sz w:val="14"/>
                <w:szCs w:val="14"/>
                <w:b w:val="1"/>
                <w:bCs w:val="1"/>
                <w:color w:val="auto"/>
              </w:rPr>
              <w:t>Indication/Field</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Partner</w:t>
            </w:r>
          </w:p>
        </w:tc>
        <w:tc>
          <w:tcPr>
            <w:tcW w:w="16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Status</w:t>
            </w: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CLINICAL</w:t>
            </w:r>
          </w:p>
        </w:tc>
        <w:tc>
          <w:tcPr>
            <w:tcW w:w="1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Rindopepimut</w:t>
            </w:r>
          </w:p>
        </w:tc>
        <w:tc>
          <w:tcPr>
            <w:tcW w:w="4460" w:type="dxa"/>
            <w:vAlign w:val="bottom"/>
            <w:gridSpan w:val="2"/>
          </w:tcPr>
          <w:p>
            <w:pPr>
              <w:ind w:left="1100"/>
              <w:spacing w:after="0"/>
              <w:rPr>
                <w:sz w:val="20"/>
                <w:szCs w:val="20"/>
                <w:color w:val="auto"/>
              </w:rPr>
            </w:pPr>
            <w:r>
              <w:rPr>
                <w:rFonts w:ascii="Arial" w:cs="Arial" w:eastAsia="Arial" w:hAnsi="Arial"/>
                <w:sz w:val="18"/>
                <w:szCs w:val="18"/>
                <w:color w:val="auto"/>
              </w:rPr>
              <w:t>Front-line glioblastoma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3</w:t>
            </w: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Glembatumumab vedotin</w:t>
            </w:r>
          </w:p>
        </w:tc>
        <w:tc>
          <w:tcPr>
            <w:tcW w:w="4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Metastatic breast cancer and melanoma</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2b</w:t>
            </w: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Rindopepimut</w:t>
            </w:r>
          </w:p>
        </w:tc>
        <w:tc>
          <w:tcPr>
            <w:tcW w:w="4460" w:type="dxa"/>
            <w:vAlign w:val="bottom"/>
            <w:gridSpan w:val="2"/>
          </w:tcPr>
          <w:p>
            <w:pPr>
              <w:ind w:left="1100"/>
              <w:spacing w:after="0"/>
              <w:rPr>
                <w:sz w:val="20"/>
                <w:szCs w:val="20"/>
                <w:color w:val="auto"/>
              </w:rPr>
            </w:pPr>
            <w:r>
              <w:rPr>
                <w:rFonts w:ascii="Arial" w:cs="Arial" w:eastAsia="Arial" w:hAnsi="Arial"/>
                <w:sz w:val="18"/>
                <w:szCs w:val="18"/>
                <w:color w:val="auto"/>
              </w:rPr>
              <w:t>Recurrent glioblastoma</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2</w:t>
            </w: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Varlilumab</w:t>
            </w:r>
          </w:p>
        </w:tc>
        <w:tc>
          <w:tcPr>
            <w:tcW w:w="4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Lymphoma/leukemia and solid tumors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080" w:type="dxa"/>
            <w:vAlign w:val="bottom"/>
            <w:gridSpan w:val="2"/>
          </w:tcPr>
          <w:p>
            <w:pPr>
              <w:ind w:left="160"/>
              <w:spacing w:after="0"/>
              <w:rPr>
                <w:sz w:val="20"/>
                <w:szCs w:val="20"/>
                <w:color w:val="auto"/>
              </w:rPr>
            </w:pPr>
            <w:r>
              <w:rPr>
                <w:rFonts w:ascii="Arial" w:cs="Arial" w:eastAsia="Arial" w:hAnsi="Arial"/>
                <w:sz w:val="18"/>
                <w:szCs w:val="18"/>
                <w:color w:val="auto"/>
              </w:rPr>
              <w:t>CDX-301</w:t>
            </w:r>
          </w:p>
        </w:tc>
        <w:tc>
          <w:tcPr>
            <w:tcW w:w="4460" w:type="dxa"/>
            <w:vAlign w:val="bottom"/>
            <w:gridSpan w:val="2"/>
          </w:tcPr>
          <w:p>
            <w:pPr>
              <w:ind w:left="1100"/>
              <w:spacing w:after="0"/>
              <w:rPr>
                <w:sz w:val="20"/>
                <w:szCs w:val="20"/>
                <w:color w:val="auto"/>
              </w:rPr>
            </w:pPr>
            <w:r>
              <w:rPr>
                <w:rFonts w:ascii="Arial" w:cs="Arial" w:eastAsia="Arial" w:hAnsi="Arial"/>
                <w:sz w:val="18"/>
                <w:szCs w:val="18"/>
                <w:color w:val="auto"/>
                <w:w w:val="94"/>
              </w:rPr>
              <w:t>Cancer, autoimmune disease and transplant</w:t>
            </w:r>
          </w:p>
        </w:tc>
        <w:tc>
          <w:tcPr>
            <w:tcW w:w="16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CDX-1401</w:t>
            </w:r>
          </w:p>
        </w:tc>
        <w:tc>
          <w:tcPr>
            <w:tcW w:w="4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Multiple solid tumors</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Phase 1</w:t>
            </w: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11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CDX-014</w:t>
            </w:r>
          </w:p>
        </w:tc>
        <w:tc>
          <w:tcPr>
            <w:tcW w:w="4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Ovarian and renal cancer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Preclinical</w:t>
            </w:r>
          </w:p>
        </w:tc>
      </w:tr>
    </w:tbl>
    <w:p>
      <w:pPr>
        <w:spacing w:after="0" w:line="208"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product candidate. It is not unusual for the clinical development of these types of product candidates to each take five years or more, and for total development costs to exceed $100 million for each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candidate. Our estimates that clinical trials of the type we generally conduct are typically completed over the following timelines: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Completion</w:t>
            </w: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4"/>
              </w:rPr>
              <w:t>Clinical Phase</w:t>
            </w:r>
          </w:p>
        </w:tc>
        <w:tc>
          <w:tcPr>
            <w:tcW w:w="6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7"/>
              </w:rPr>
              <w:t>Period</w:t>
            </w: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6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1 - 2 Years</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Phase 2</w:t>
            </w:r>
          </w:p>
        </w:tc>
        <w:tc>
          <w:tcPr>
            <w:tcW w:w="62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1 - 5 Years</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Phase 3</w:t>
            </w:r>
          </w:p>
        </w:tc>
        <w:tc>
          <w:tcPr>
            <w:tcW w:w="6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1 - 5 Years</w:t>
            </w: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test potential product candidates in numerous preclinical studies for safety, toxicology and immunogenicity. We may then conduct multiple clinical trials for each product candidate. As we obtain results from trials, we may elect to discontinue or delay clinical trials for certain product candidates in order to focus our resources on more promising product candidates.</w:t>
      </w:r>
    </w:p>
    <w:p>
      <w:pPr>
        <w:spacing w:after="0" w:line="194"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An element of our business strategy is to pursue the research and development of a broad portfolio of product candidates. This is intended to allow us to diversify the risks associated with our research and development expenditures. As a result, we believe our future capital requirements and our future financial success are not substantially dependent on any one product candidate. To the extent we are unable to maintain a broad range of product candidates, our dependence on the success of one or a few product candidates increases.</w:t>
      </w:r>
    </w:p>
    <w:p>
      <w:pPr>
        <w:spacing w:after="0" w:line="197"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Regulatory approval is required before we can market our product candidates as therapeutic products. In order to proceed to subsequent clinical trial stages and to ultimately achieve regulatory approval, the regulatory agency must conclude that our clinical data is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7"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Furthermore, our business strategy includes the option of entering into collaborative arrangements with third parties to complete the development and commercialization of our product candidates. In the event that third parties take over the clinical trial process for one of our product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98"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jc w:val="both"/>
        <w:ind w:right="280"/>
        <w:spacing w:after="0" w:line="259" w:lineRule="auto"/>
        <w:rPr>
          <w:sz w:val="20"/>
          <w:szCs w:val="20"/>
          <w:color w:val="auto"/>
        </w:rPr>
      </w:pPr>
      <w:r>
        <w:rPr>
          <w:rFonts w:ascii="Arial" w:cs="Arial" w:eastAsia="Arial" w:hAnsi="Arial"/>
          <w:sz w:val="18"/>
          <w:szCs w:val="18"/>
          <w:color w:val="auto"/>
        </w:rPr>
        <w:t>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4" w:lineRule="exact"/>
        <w:rPr>
          <w:sz w:val="20"/>
          <w:szCs w:val="20"/>
          <w:color w:val="auto"/>
        </w:rPr>
      </w:pPr>
    </w:p>
    <w:p>
      <w:pPr>
        <w:jc w:val="both"/>
        <w:ind w:right="280" w:firstLine="351"/>
        <w:spacing w:after="0" w:line="298" w:lineRule="auto"/>
        <w:rPr>
          <w:sz w:val="20"/>
          <w:szCs w:val="20"/>
          <w:color w:val="auto"/>
        </w:rPr>
      </w:pPr>
      <w:r>
        <w:rPr>
          <w:rFonts w:ascii="Arial" w:cs="Arial" w:eastAsia="Arial" w:hAnsi="Arial"/>
          <w:sz w:val="16"/>
          <w:szCs w:val="16"/>
          <w:color w:val="auto"/>
        </w:rPr>
        <w:t>During the past five years through December 31, 2013, we incurred an aggregate of $201.1 million in research and development expenses. The following table indicates the amount incurred for each of our significant research programs and for other identified research and development activities during the years ended December 31, 2013, 2012 and 2011. The amounts disclosed in the following table reflect direct research and development costs, license fees associated with the underlying technology and an allocation of indirect research and development costs to each program.</w:t>
      </w:r>
    </w:p>
    <w:p>
      <w:pPr>
        <w:spacing w:after="0" w:line="15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7"/>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16"/>
              <w:spacing w:after="0"/>
              <w:rPr>
                <w:sz w:val="20"/>
                <w:szCs w:val="20"/>
                <w:color w:val="auto"/>
              </w:rPr>
            </w:pPr>
            <w:r>
              <w:rPr>
                <w:rFonts w:ascii="Arial" w:cs="Arial" w:eastAsia="Arial" w:hAnsi="Arial"/>
                <w:sz w:val="14"/>
                <w:szCs w:val="14"/>
                <w:b w:val="1"/>
                <w:bCs w:val="1"/>
                <w:color w:val="auto"/>
                <w:w w:val="85"/>
              </w:rPr>
              <w:t>December 31, 2013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ind w:right="17"/>
              <w:spacing w:after="0"/>
              <w:rPr>
                <w:sz w:val="20"/>
                <w:szCs w:val="20"/>
                <w:color w:val="auto"/>
              </w:rPr>
            </w:pPr>
            <w:r>
              <w:rPr>
                <w:rFonts w:ascii="Arial" w:cs="Arial" w:eastAsia="Arial" w:hAnsi="Arial"/>
                <w:sz w:val="14"/>
                <w:szCs w:val="14"/>
                <w:b w:val="1"/>
                <w:bCs w:val="1"/>
                <w:color w:val="auto"/>
                <w:w w:val="85"/>
              </w:rPr>
              <w:t>December 31,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2011</w:t>
            </w:r>
          </w:p>
        </w:tc>
      </w:tr>
      <w:tr>
        <w:trPr>
          <w:trHeight w:val="142"/>
        </w:trPr>
        <w:tc>
          <w:tcPr>
            <w:tcW w:w="3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Rindopepimut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8,366</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Glembatumumab vedotin</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4,917</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Varlilumab</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5,965</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CDX-301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1,112</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CDX-1401</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2,464</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CDX-014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481</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CDX-1135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5,524</w:t>
            </w: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Other Programs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3,610</w:t>
            </w:r>
          </w:p>
        </w:tc>
      </w:tr>
      <w:tr>
        <w:trPr>
          <w:trHeight w:val="20"/>
        </w:trPr>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32,439</w:t>
            </w:r>
          </w:p>
        </w:tc>
      </w:tr>
      <w:tr>
        <w:trPr>
          <w:trHeight w:val="20"/>
        </w:trPr>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Rindopepimut</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Rindopepimut is an immunotherapeutic that targets the tumor-specific molecule epidermal growth factor receptor variant III, or EGFRvIII. EGFRvIII is a mutated form of the epidermal growth factor receptor, or EGFR, that is only expressed in cancer cells and not in normal tissue and can directly contribute to cancer cell growth. EGFRvIII is expressed in approximately 30% of glioblastoma multiforme, or GBM, tumors, the most common and aggressive form of brain cancer. Rindopepimut is composed of the EGFRvIII peptide linked to a carrier protein called Keyhole Limpet Hemocyanin, or KLH, and administered together with the adjuvant GM-CSF. The Food and Drug Administration, or FDA, and the European Medicines Agency, or EMA, have both granted orphan drug designation for rindopepimut for the treatment of EGFRvIII expressing GBM. The FDA has also granted Fast Track designation.</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Phase 2a study of rindopepimut referred to as ACTIVATE was led by collaborating investigators at the Brain Center at Duke Comprehensive Cancer Center in Durham, North Carolina and at M.D. Anderson Cancer Center in Houston, Texas and enrolled 18 evaluable GBM patients. An extension of the Phase 2a study referred to as ACT II evaluated 22 additional GBM patients treated in combination with the current standard of care, maintenance temozolomide, or TMZ, at the same two institutions.</w:t>
      </w:r>
    </w:p>
    <w:p>
      <w:pPr>
        <w:spacing w:after="0" w:line="197"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Phase 2b study of rindopepimut referred to as ACT III combined rindopepimut with standard of care, TMZ, in patients with newly diagnosed GBM. The ACT III study provided for a multi-center, non-randomized dataset for rindopepimut in 65 patients at over 30 sites throughout the United States.</w:t>
      </w:r>
    </w:p>
    <w:p>
      <w:pPr>
        <w:spacing w:after="0" w:line="13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In November 2013, we announced the four- and five-year survival data from the 105 patients enrolled in the three Phase 2 rindopepimut clinical studies (ACTIVATE, ACT II and ACT III) 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ind w:right="440"/>
        <w:spacing w:after="0" w:line="268" w:lineRule="auto"/>
        <w:rPr>
          <w:sz w:val="20"/>
          <w:szCs w:val="20"/>
          <w:color w:val="auto"/>
        </w:rPr>
      </w:pPr>
      <w:r>
        <w:rPr>
          <w:rFonts w:ascii="Arial" w:cs="Arial" w:eastAsia="Arial" w:hAnsi="Arial"/>
          <w:sz w:val="18"/>
          <w:szCs w:val="18"/>
          <w:color w:val="auto"/>
        </w:rPr>
        <w:t>EGFRvIII-positive GBM. Across these three Phase 2 studies of rindopepimut, survival data remains consistent and suggests a continuing survival benefit in comparison to independent control datasets (see chart below) at the median and at all other time points evaluated.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Phase 2 Frontline Long-term Overall Survival Assessments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Median, Years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2-year</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3-year</w:t>
            </w: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4-year</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5-year</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(95% CI)</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2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rate</w:t>
            </w:r>
          </w:p>
        </w:tc>
        <w:tc>
          <w:tcPr>
            <w:tcW w:w="24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2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rate</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2 rindopepimut studies (n=105)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 (1.8, 2.4)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Matched historical control (n=17)(1)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 (0.9, 1.7)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1680" w:right="260" w:hanging="531"/>
        <w:spacing w:after="0" w:line="268" w:lineRule="auto"/>
        <w:tabs>
          <w:tab w:leader="none" w:pos="168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Patients treated at M.D. Anderson contemporaneously to ACTIVATE, matched for major eligibility requirements, including EGFRvIII-positive GBM, gross total resection and no disease progression through chemoradiation treatment.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pooled overall long-term survival results continue to be consistent with the ACT III Phase 2 study (18% for 4-years and 14% for 5-years).</w:t>
      </w:r>
    </w:p>
    <w:p>
      <w:pPr>
        <w:spacing w:after="0" w:line="248"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December 2011, we initiated ACT IV, a pivotal, randomized, double-blind, controlled Phase 3 study of rindopepimut in patients with surgically resected, EGFRvIII-positive GBM. Patients are randomized after the completion of surgery and standard chemoradiation treatment. The treatment regimen includes a rindopepimut priming phase post-radiation followed by an adjuvant TMZ phase and a rindopepimut maintenance therapy phase. Patients are treated until disease progression or intolerance to therapy. The primary objective of the study is to determine whether rindopepimut plus adjuvant GM-CSF improves the overall survival of patients with newly diagnosed EGFRvIII-positive GBM after Gross Total Resection, or GTR, when compared to treatment with TMZ and a control injection of KLH. KLH is a component of rindopepimut and was selected due to its ability to generate a similar injection site reaction to that observed with rindopepimut. ACT IV is enrolling patients at over 200 centers worldwide to recruit approximately 374 patients with GTR to be included in the primary analysis. Based on current projections, we anticipate completion of enrollment in mid-2014.</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December 2011, we also initiated ReACT, a Phase 2 study of rindopepimut in combination with Avastin® in patients with recurrent EGFRvIII-positive GBM. ReACT was initially planned to enroll approximately 95 patients in a first or second relapse of GBM following receipt of standard therapy at approximately 25 sites across the United States. In August 2013, we announced the addition of an expansion cohort of approximately 75 patients to better characterize the potential activity of rindopepimut in this refractory patient population. This decision was based on early evidence of anti-tumor activity, including stable disease, tumor shrinkage and investigator-reported response. As amended, the ReACT study will now enroll approximately 170 patients across three groups. Approximately 70 patients who have yet to receive Avastin will be randomized to receive either rindopepimut and Avastin or a control injection of KLH and Avastin in a blinded fashion. Another 100 patients, including the expansion cohort of 75 patients, who are refractory to Avastin having received Avastin in either the frontline or recurrent setting with subsequent progression will receive rindopepimut plus Avastin in a single treatment arm. Study endpoints include 6 month progression free survival rate, objective response rate, or ORR, overall survival and safety and tolerability.</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November 2013, we reported interim data from our ongoing Phase 2 ReACT study. Rindopepimut plus Avastin was very well tolerated (dosing up to 13+ months) and the results demonstrated promising signs of clinical activity in advanced patient populations, including evidence of anti-tumor activity (tumor shrinkage, objective response and stable disease). Strong immune response correlated with improved outcome. In Avastin-naïve patients treated with both rindopepimut and Avastin, a strong survival trend has also been seen to date versus the control group (see chart below).</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Interim ReACT Overall Survival and Progression-free Survival in Avastin-Naïve Recurrent GBM</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Rindopepimut &amp;</w:t>
            </w:r>
          </w:p>
        </w:tc>
        <w:tc>
          <w:tcPr>
            <w:tcW w:w="1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Control &amp; Avastin</w:t>
            </w:r>
          </w:p>
        </w:tc>
        <w:tc>
          <w:tcPr>
            <w:tcW w:w="17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Avastin (n=20)</w:t>
            </w:r>
          </w:p>
        </w:tc>
        <w:tc>
          <w:tcPr>
            <w:tcW w:w="1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(n=20)</w:t>
            </w:r>
          </w:p>
        </w:tc>
        <w:tc>
          <w:tcPr>
            <w:tcW w:w="170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5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Overall survival</w:t>
            </w:r>
          </w:p>
        </w:tc>
        <w:tc>
          <w:tcPr>
            <w:tcW w:w="1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12.0 months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7.9 months</w:t>
            </w:r>
          </w:p>
        </w:tc>
        <w:tc>
          <w:tcPr>
            <w:tcW w:w="1700" w:type="dxa"/>
            <w:vAlign w:val="bottom"/>
            <w:shd w:val="clear" w:color="auto" w:fill="CCEEFF"/>
          </w:tcPr>
          <w:p>
            <w:pPr>
              <w:jc w:val="center"/>
              <w:ind w:left="52"/>
              <w:spacing w:after="0" w:line="201" w:lineRule="exact"/>
              <w:rPr>
                <w:sz w:val="20"/>
                <w:szCs w:val="20"/>
                <w:color w:val="auto"/>
              </w:rPr>
            </w:pPr>
            <w:r>
              <w:rPr>
                <w:rFonts w:ascii="Arial" w:cs="Arial" w:eastAsia="Arial" w:hAnsi="Arial"/>
                <w:sz w:val="18"/>
                <w:szCs w:val="18"/>
                <w:color w:val="auto"/>
                <w:w w:val="89"/>
              </w:rPr>
              <w:t>Hazard ratio = .43</w:t>
            </w: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0"/>
              </w:rPr>
              <w:t>(0.13, 1.44); p=0.16</w:t>
            </w:r>
          </w:p>
        </w:tc>
      </w:tr>
      <w:tr>
        <w:trPr>
          <w:trHeight w:val="424"/>
        </w:trPr>
        <w:tc>
          <w:tcPr>
            <w:tcW w:w="5060" w:type="dxa"/>
            <w:vAlign w:val="bottom"/>
            <w:gridSpan w:val="2"/>
          </w:tcPr>
          <w:p>
            <w:pPr>
              <w:spacing w:after="0"/>
              <w:rPr>
                <w:sz w:val="20"/>
                <w:szCs w:val="20"/>
                <w:color w:val="auto"/>
              </w:rPr>
            </w:pPr>
            <w:r>
              <w:rPr>
                <w:rFonts w:ascii="Arial" w:cs="Arial" w:eastAsia="Arial" w:hAnsi="Arial"/>
                <w:sz w:val="18"/>
                <w:szCs w:val="18"/>
                <w:color w:val="auto"/>
              </w:rPr>
              <w:t>Progression-free survival</w:t>
            </w: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3.7 months</w:t>
            </w:r>
          </w:p>
        </w:tc>
        <w:tc>
          <w:tcPr>
            <w:tcW w:w="1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2.0 months</w:t>
            </w:r>
          </w:p>
        </w:tc>
        <w:tc>
          <w:tcPr>
            <w:tcW w:w="1700" w:type="dxa"/>
            <w:vAlign w:val="bottom"/>
          </w:tcPr>
          <w:p>
            <w:pPr>
              <w:jc w:val="center"/>
              <w:ind w:left="52"/>
              <w:spacing w:after="0"/>
              <w:rPr>
                <w:sz w:val="20"/>
                <w:szCs w:val="20"/>
                <w:color w:val="auto"/>
              </w:rPr>
            </w:pPr>
            <w:r>
              <w:rPr>
                <w:rFonts w:ascii="Arial" w:cs="Arial" w:eastAsia="Arial" w:hAnsi="Arial"/>
                <w:sz w:val="18"/>
                <w:szCs w:val="18"/>
                <w:color w:val="auto"/>
                <w:w w:val="89"/>
              </w:rPr>
              <w:t>Hazard ratio = .74</w:t>
            </w: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tcPr>
          <w:p>
            <w:pPr>
              <w:jc w:val="center"/>
              <w:ind w:left="72"/>
              <w:spacing w:after="0"/>
              <w:rPr>
                <w:sz w:val="20"/>
                <w:szCs w:val="20"/>
                <w:color w:val="auto"/>
              </w:rPr>
            </w:pPr>
            <w:r>
              <w:rPr>
                <w:rFonts w:ascii="Arial" w:cs="Arial" w:eastAsia="Arial" w:hAnsi="Arial"/>
                <w:sz w:val="18"/>
                <w:szCs w:val="18"/>
                <w:color w:val="auto"/>
                <w:w w:val="90"/>
              </w:rPr>
              <w:t>(0.34, 1.61); p=0.47</w:t>
            </w:r>
          </w:p>
        </w:tc>
      </w:tr>
    </w:tbl>
    <w:p>
      <w:pPr>
        <w:spacing w:after="0" w:line="21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Avastin-refractory patients treated with both rindopepimut and Avastin, a median progression-free survival, or PFS, of 1.9 months and an overall survival, or OS, of 5.6 months was observed. The median overall survival of 5.6 months is noteworthy in these heavily pre-treated, refractory EGFRvIII-positive patients. A review of the literature assessing survival in recurrent patients who are Avastin-experienced across eight independent studies suggests a weighted-average survival of 3.6 months (range of 2.6 to 5.8 months) in all-comers. It is important to note that these eight studies do not necessarily meet the strict definition of refractory applied in the ReACT study and that these studies included EGFRvIII-negative patients who tend to perform better. Progression-free survival results in this refractory population may be more consistent with the profile of an immunotherapy candidate where progression-free survival does not always correlate directly with an overall survival benefit.</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Enrollment in ReACT is expected to be completed in late 2014 with data anticipated by year-end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Glembatumumab Vedotin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Glembatumumab vedotin is an antibody-drug conjugate, or ADC, that consists of a fully-human monoclonal antibody, CR011, linked to a potent cell-killing drug, monomethyl-auristatin E, or MMAE. The CR011 antibody specifically targets glycoprotein NMB, referred to as gpNMB, that is over-expressed in a variety of cancers including breast cancer and melanoma. The ADC technology, comprised of MMAE and a stable linker system for attaching it to CR011, was licensed from Seattle Genetics, Inc. and is the same as that used in the marketed product Adcetris®. The ADC is designed to be stable in the bloodstream. Following intravenous administration, glembatumumab vedotin targets and binds to gpNMB and upon internalization into the targeted cell, glembatumumab vedotin is designed to release MMAE from CR011 to produce a cell-killing effect. The FDA has granted Fast Track designation to glembatumumab vedotin for the treatment of advanced, refractory/resistant gpNMB-expressing breast cancer.</w:t>
      </w:r>
    </w:p>
    <w:p>
      <w:pPr>
        <w:spacing w:after="0" w:line="16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b w:val="1"/>
          <w:bCs w:val="1"/>
          <w:color w:val="auto"/>
        </w:rPr>
        <w:t xml:space="preserve">Treatment of Breast Cancer: </w:t>
      </w:r>
      <w:r>
        <w:rPr>
          <w:rFonts w:ascii="Arial" w:cs="Arial" w:eastAsia="Arial" w:hAnsi="Arial"/>
          <w:sz w:val="16"/>
          <w:szCs w:val="16"/>
          <w:color w:val="auto"/>
        </w:rPr>
        <w:t>The Phase 1/2 study of glembatumumab vedotin administered intravenously once every three weeks evaluated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locally advanced or metastatic breast cancer who had received prior therapy (median of seven prior regimens). The study began with a bridging phase to confirm the maximum tolerated dose, or MTD, and then expanded into a Phase 2 open-label, multi-center study. The study confirmed the safety of glembatumumab vedotin at the pre-defined maximum dose level (1.88 mg/kg) in 6 patients. An additional 28 patients were enrolled in an expanded Phase 2 cohort (for a total of 34 treated patients at 1.88 mg/kg, the Phase 2 dose) to evaluate the PFS rate at 12 weeks. The 1.88 mg/kg dose was well tolerated in this patient population with the most common adverse events of rash, alopecia, and fatigue. The primary activity endpoint, which called for at least 5 of 25 (20%) patients in the Phase 2 study portion to be progression-free at 12 weeks, was met as 9 of 26 (35%) evaluable patients were progression-free at 12 weeks.</w:t>
      </w:r>
    </w:p>
    <w:p>
      <w:pPr>
        <w:spacing w:after="0" w:line="173"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all patients treated at the maximum dose level, tumor shrinkage was seen in 62% (16/26) and median PFS was 9.1 weeks. A subset of 10 patients had "triple negative disease," a more aggressive breast cancer subtype that carries a high risk of relapse and reduced survival as well as limited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right="40"/>
        <w:spacing w:after="0" w:line="306" w:lineRule="auto"/>
        <w:rPr>
          <w:sz w:val="20"/>
          <w:szCs w:val="20"/>
          <w:color w:val="auto"/>
        </w:rPr>
      </w:pPr>
      <w:r>
        <w:rPr>
          <w:rFonts w:ascii="Arial" w:cs="Arial" w:eastAsia="Arial" w:hAnsi="Arial"/>
          <w:sz w:val="16"/>
          <w:szCs w:val="16"/>
          <w:color w:val="auto"/>
        </w:rPr>
        <w:t>therapeutic options due to lack of over-expression of HER2/neu, estrogen and progesterone receptors. In these patients, 78% (7/9) had some tumor shrinkage, 12-week PFS rate was 70% (7/10), and median PFS was 17.9 weeks. Tumor samples from a subset of patients across all dose groups were analyzed for gpNMB expression. The tumor samples from most patients showed evidence of stromal and/or tumor cell expression of gpNMB.</w:t>
      </w:r>
    </w:p>
    <w:p>
      <w:pPr>
        <w:spacing w:after="0" w:line="161" w:lineRule="exact"/>
        <w:rPr>
          <w:sz w:val="20"/>
          <w:szCs w:val="20"/>
          <w:color w:val="auto"/>
        </w:rPr>
      </w:pPr>
    </w:p>
    <w:p>
      <w:pPr>
        <w:ind w:right="180" w:firstLine="351"/>
        <w:spacing w:after="0" w:line="253" w:lineRule="auto"/>
        <w:rPr>
          <w:sz w:val="20"/>
          <w:szCs w:val="20"/>
          <w:color w:val="auto"/>
        </w:rPr>
      </w:pPr>
      <w:r>
        <w:rPr>
          <w:rFonts w:ascii="Arial" w:cs="Arial" w:eastAsia="Arial" w:hAnsi="Arial"/>
          <w:sz w:val="18"/>
          <w:szCs w:val="18"/>
          <w:color w:val="auto"/>
        </w:rPr>
        <w:t>In December 2012, we announced final results from the EMERGE study, a randomized, multi-center Phase 2b study of glembatumumab vedotin in 122 patients with heavily pre-treated, advanced, gpNMB positive breast cancer. Patients were randomized (2:1) to receive either glembatumumab vedotin or single-agent Investigator's Choice, or IC, chemotherapy. Patients randomized to receive IC were allowed to cross over to receive glembatumumab vedotin following disease progression. Activity endpoints included response rate, PFS and OS. The final results, as shown below, suggested that glembatumumab vedotin induces significant response rates compared to currently available therapies in patient subsets with advanced, refractory breast cancers with gpNMB over-expression (expression in greater than 25% of tumor cells) and in patients with triple negative breast cancer. The OS and PFS of patients treated with glembatumumab vedotin was also observed to be greatest in patients with triple negative breast cancer who also over-express gpNMB and all patients with gpNMB over-expression.</w:t>
      </w: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Overall Response Rate and Disease Control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Triple Negative and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1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gpNMB Over-Expression</w:t>
            </w:r>
          </w:p>
        </w:tc>
        <w:tc>
          <w:tcPr>
            <w:tcW w:w="2060" w:type="dxa"/>
            <w:vAlign w:val="bottom"/>
            <w:gridSpan w:val="4"/>
          </w:tcPr>
          <w:p>
            <w:pPr>
              <w:ind w:left="220"/>
              <w:spacing w:after="0"/>
              <w:rPr>
                <w:sz w:val="20"/>
                <w:szCs w:val="20"/>
                <w:color w:val="auto"/>
              </w:rPr>
            </w:pPr>
            <w:r>
              <w:rPr>
                <w:rFonts w:ascii="Arial" w:cs="Arial" w:eastAsia="Arial" w:hAnsi="Arial"/>
                <w:sz w:val="14"/>
                <w:szCs w:val="14"/>
                <w:b w:val="1"/>
                <w:bCs w:val="1"/>
                <w:color w:val="auto"/>
              </w:rPr>
              <w:t>gpNMB Over-Expression</w:t>
            </w: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3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glembatumumab</w:t>
            </w: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glembatumumab</w:t>
            </w: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vedotin</w:t>
            </w: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IC</w:t>
            </w:r>
          </w:p>
        </w:tc>
        <w:tc>
          <w:tcPr>
            <w:tcW w:w="1400" w:type="dxa"/>
            <w:vAlign w:val="bottom"/>
            <w:gridSpan w:val="2"/>
          </w:tcPr>
          <w:p>
            <w:pPr>
              <w:ind w:left="360"/>
              <w:spacing w:after="0"/>
              <w:rPr>
                <w:sz w:val="20"/>
                <w:szCs w:val="20"/>
                <w:color w:val="auto"/>
              </w:rPr>
            </w:pPr>
            <w:r>
              <w:rPr>
                <w:rFonts w:ascii="Arial" w:cs="Arial" w:eastAsia="Arial" w:hAnsi="Arial"/>
                <w:sz w:val="14"/>
                <w:szCs w:val="14"/>
                <w:b w:val="1"/>
                <w:bCs w:val="1"/>
                <w:color w:val="auto"/>
              </w:rPr>
              <w:t>vedotin</w:t>
            </w: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IC</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(n=25)</w:t>
            </w:r>
          </w:p>
        </w:tc>
        <w:tc>
          <w:tcPr>
            <w:tcW w:w="2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(n=8)</w:t>
            </w:r>
          </w:p>
        </w:tc>
        <w:tc>
          <w:tcPr>
            <w:tcW w:w="240" w:type="dxa"/>
            <w:vAlign w:val="bottom"/>
          </w:tcPr>
          <w:p>
            <w:pPr>
              <w:spacing w:after="0"/>
              <w:rPr>
                <w:sz w:val="12"/>
                <w:szCs w:val="12"/>
                <w:color w:val="auto"/>
              </w:rPr>
            </w:pPr>
          </w:p>
        </w:tc>
        <w:tc>
          <w:tcPr>
            <w:tcW w:w="1140" w:type="dxa"/>
            <w:vAlign w:val="bottom"/>
            <w:tcBorders>
              <w:top w:val="single" w:sz="8" w:color="auto"/>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(n=12)</w:t>
            </w: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(n=4)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Response</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22"/>
        </w:trPr>
        <w:tc>
          <w:tcPr>
            <w:tcW w:w="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Disease Control Rate</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102"/>
        </w:trPr>
        <w:tc>
          <w:tcPr>
            <w:tcW w:w="2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8" w:lineRule="exact"/>
        <w:rPr>
          <w:sz w:val="20"/>
          <w:szCs w:val="20"/>
          <w:color w:val="auto"/>
        </w:rPr>
      </w:pPr>
    </w:p>
    <w:p>
      <w:pPr>
        <w:ind w:left="1140" w:right="400"/>
        <w:spacing w:after="0" w:line="306" w:lineRule="auto"/>
        <w:rPr>
          <w:sz w:val="20"/>
          <w:szCs w:val="20"/>
          <w:color w:val="auto"/>
        </w:rPr>
      </w:pPr>
      <w:r>
        <w:rPr>
          <w:rFonts w:ascii="Arial" w:cs="Arial" w:eastAsia="Arial" w:hAnsi="Arial"/>
          <w:sz w:val="16"/>
          <w:szCs w:val="16"/>
          <w:i w:val="1"/>
          <w:iCs w:val="1"/>
          <w:color w:val="auto"/>
        </w:rPr>
        <w:t>Responses per RECIST 1.1; IC = Investigator's Choice; glembatumumab vedotin arm includes 15 patients who crossed over to receive glembatumumab vedotin treatment after progression on IC. Analysis of best response excludes patients who discontinued from study without evaluable post-baseline radiographic imaging (n=15 for glembatumumab vedotin arm; n=5 for IC arm).</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EMERGE: Progression Free Survival (PFS) and Overall Survival (OS)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left="287"/>
              <w:spacing w:after="0"/>
              <w:rPr>
                <w:sz w:val="20"/>
                <w:szCs w:val="20"/>
                <w:color w:val="auto"/>
              </w:rPr>
            </w:pPr>
            <w:r>
              <w:rPr>
                <w:rFonts w:ascii="Arial" w:cs="Arial" w:eastAsia="Arial" w:hAnsi="Arial"/>
                <w:sz w:val="14"/>
                <w:szCs w:val="14"/>
                <w:b w:val="1"/>
                <w:bCs w:val="1"/>
                <w:color w:val="auto"/>
                <w:w w:val="87"/>
              </w:rPr>
              <w:t>Triple Negative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left="286"/>
              <w:spacing w:after="0" w:line="149" w:lineRule="exact"/>
              <w:rPr>
                <w:sz w:val="20"/>
                <w:szCs w:val="20"/>
                <w:color w:val="auto"/>
              </w:rPr>
            </w:pPr>
            <w:r>
              <w:rPr>
                <w:rFonts w:ascii="Arial" w:cs="Arial" w:eastAsia="Arial" w:hAnsi="Arial"/>
                <w:sz w:val="14"/>
                <w:szCs w:val="14"/>
                <w:b w:val="1"/>
                <w:bCs w:val="1"/>
                <w:color w:val="auto"/>
                <w:w w:val="89"/>
              </w:rPr>
              <w:t>gpNMB</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left="287"/>
              <w:spacing w:after="0" w:line="149" w:lineRule="exact"/>
              <w:rPr>
                <w:sz w:val="20"/>
                <w:szCs w:val="20"/>
                <w:color w:val="auto"/>
              </w:rPr>
            </w:pPr>
            <w:r>
              <w:rPr>
                <w:rFonts w:ascii="Arial" w:cs="Arial" w:eastAsia="Arial" w:hAnsi="Arial"/>
                <w:sz w:val="14"/>
                <w:szCs w:val="14"/>
                <w:b w:val="1"/>
                <w:bCs w:val="1"/>
                <w:color w:val="auto"/>
                <w:w w:val="92"/>
              </w:rPr>
              <w:t>and gpNMB</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gridSpan w:val="2"/>
          </w:tcPr>
          <w:p>
            <w:pPr>
              <w:jc w:val="center"/>
              <w:ind w:left="286"/>
              <w:spacing w:after="0"/>
              <w:rPr>
                <w:sz w:val="20"/>
                <w:szCs w:val="20"/>
                <w:color w:val="auto"/>
              </w:rPr>
            </w:pPr>
            <w:r>
              <w:rPr>
                <w:rFonts w:ascii="Arial" w:cs="Arial" w:eastAsia="Arial" w:hAnsi="Arial"/>
                <w:sz w:val="14"/>
                <w:szCs w:val="14"/>
                <w:b w:val="1"/>
                <w:bCs w:val="1"/>
                <w:color w:val="auto"/>
                <w:w w:val="85"/>
              </w:rPr>
              <w:t>Over-Expression</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Borders>
              <w:bottom w:val="single" w:sz="8" w:color="auto"/>
            </w:tcBorders>
            <w:gridSpan w:val="2"/>
          </w:tcPr>
          <w:p>
            <w:pPr>
              <w:jc w:val="center"/>
              <w:ind w:left="287"/>
              <w:spacing w:after="0"/>
              <w:rPr>
                <w:sz w:val="20"/>
                <w:szCs w:val="20"/>
                <w:color w:val="auto"/>
              </w:rPr>
            </w:pPr>
            <w:r>
              <w:rPr>
                <w:rFonts w:ascii="Arial" w:cs="Arial" w:eastAsia="Arial" w:hAnsi="Arial"/>
                <w:sz w:val="14"/>
                <w:szCs w:val="14"/>
                <w:b w:val="1"/>
                <w:bCs w:val="1"/>
                <w:color w:val="auto"/>
                <w:w w:val="85"/>
              </w:rPr>
              <w:t>Over-Expression</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7"/>
              </w:rPr>
              <w:t>glembatumumab</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vedotin</w:t>
            </w: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IC</w:t>
            </w:r>
          </w:p>
        </w:tc>
        <w:tc>
          <w:tcPr>
            <w:tcW w:w="24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vedotin</w:t>
            </w: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IC</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Median PFS (months)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p=0.14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p=0.008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24"/>
        </w:trPr>
        <w:tc>
          <w:tcPr>
            <w:tcW w:w="4980" w:type="dxa"/>
            <w:vAlign w:val="bottom"/>
            <w:gridSpan w:val="3"/>
          </w:tcPr>
          <w:p>
            <w:pPr>
              <w:spacing w:after="0"/>
              <w:rPr>
                <w:sz w:val="20"/>
                <w:szCs w:val="20"/>
                <w:color w:val="auto"/>
              </w:rPr>
            </w:pPr>
            <w:r>
              <w:rPr>
                <w:rFonts w:ascii="Arial" w:cs="Arial" w:eastAsia="Arial" w:hAnsi="Arial"/>
                <w:sz w:val="18"/>
                <w:szCs w:val="18"/>
                <w:color w:val="auto"/>
              </w:rPr>
              <w:t>Median OS (months)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p=0.18</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p=0.003</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08"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When cross over patients are removed, median OS in patients with gpNMB over-expression is 10.0 months for glembatumumab vedotin vs</w:t>
      </w:r>
    </w:p>
    <w:p>
      <w:pPr>
        <w:spacing w:after="0" w:line="38"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5.2 months for IC (p=0.05) and median OS in triple negative patients with gpNMB over-expression is 10.0 months for glembatumumab vedotin vs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5.2 months for IC (p=0.009).</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ind w:firstLine="351"/>
        <w:spacing w:after="0" w:line="259" w:lineRule="auto"/>
        <w:rPr>
          <w:sz w:val="20"/>
          <w:szCs w:val="20"/>
          <w:color w:val="auto"/>
        </w:rPr>
      </w:pPr>
      <w:r>
        <w:rPr>
          <w:rFonts w:ascii="Arial" w:cs="Arial" w:eastAsia="Arial" w:hAnsi="Arial"/>
          <w:sz w:val="18"/>
          <w:szCs w:val="18"/>
          <w:color w:val="auto"/>
        </w:rPr>
        <w:t>In December 2013, we initiated METRIC, a randomized, controlled study of glembatumumab vedotin in patients with triple negative breast cancer that over-express gpNMB designed to obtain accelerated approval. METRIC will be conducted in approximately 100 sites, primarily across the United States with additional sites in Canada and Australia and will enroll approximately 300 patients.</w:t>
      </w:r>
    </w:p>
    <w:p>
      <w:pPr>
        <w:spacing w:after="0" w:line="18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b w:val="1"/>
          <w:bCs w:val="1"/>
          <w:color w:val="auto"/>
        </w:rPr>
        <w:t xml:space="preserve">Treatment of Metastatic Melanoma: </w:t>
      </w:r>
      <w:r>
        <w:rPr>
          <w:rFonts w:ascii="Arial" w:cs="Arial" w:eastAsia="Arial" w:hAnsi="Arial"/>
          <w:sz w:val="16"/>
          <w:szCs w:val="16"/>
          <w:color w:val="auto"/>
        </w:rPr>
        <w:t>The Phase 1/2 open-label, multi-center, dose escalation study evaluated the safety, tolerability and pharmacokinetics</w:t>
      </w:r>
      <w:r>
        <w:rPr>
          <w:rFonts w:ascii="Arial" w:cs="Arial" w:eastAsia="Arial" w:hAnsi="Arial"/>
          <w:sz w:val="16"/>
          <w:szCs w:val="16"/>
          <w:b w:val="1"/>
          <w:bCs w:val="1"/>
          <w:color w:val="auto"/>
        </w:rPr>
        <w:t xml:space="preserve"> </w:t>
      </w:r>
      <w:r>
        <w:rPr>
          <w:rFonts w:ascii="Arial" w:cs="Arial" w:eastAsia="Arial" w:hAnsi="Arial"/>
          <w:sz w:val="16"/>
          <w:szCs w:val="16"/>
          <w:color w:val="auto"/>
        </w:rPr>
        <w:t>of glembatumumab vedotin in 117 patients with un-resectable Stage III or Stage IV melanoma who had failed no more than one prior line of cytotoxic therapy. The MTD was determined to be 1.88 mg/kg administered intravenously once every three weeks. The study achieved its primary activity objective with an ORR in the Phase 2 cohort of 15% (5/34). Median PFS was 3.9 months. Glembatumumab vedotin was generally well tolerated, with the most frequent treatment-related adverse events being rash, fatigue, hair loss, pruritus, diarrhea and neuropathy. In the subset of patients with tumor biopsies, high levels of tumor expression of gpNMB appeared to correlate with favorable outcome. In the seven patients whose tumors were found to express high amounts of gpNMB, and who were treated at the maximum tolerated doses across all dosing schedules, median PFS was 4.9 months. The development of rash, which may be associated with the presence of gpNMB in the skin also seemed to correlate with greater PFS.</w:t>
      </w:r>
    </w:p>
    <w:p>
      <w:pPr>
        <w:spacing w:after="0" w:line="172"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Company is currently exploring conducting additional clinical studies in indications known to express gpNMB. Phase 2 studies in melanoma and squamous cell lung cancer are expected to initiate in the second half of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Varlilumab</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Varlilumab is a human monoclonal antibody that targets CD27, a potentially important target for immunotherapy of various cancers. We have entered into license agreements with the University of Southampton, UK for intellectual property related to uses of anti-CD27 antibodies and with Medarex (now a subsidiary of the Bristol-Myers Squibb Company) for access to the UltiMab technology to develop and commercialize human antibodies to CD27. In July 2013, the United States Patent and Trademark Office issued a patent to the University of Southampton, that we have exclusive license to under our license agreement, which broadly supports varlilumab. The patent includes 18 claims covering various methods of treating cancer using agonistic anti-human CD27 antibodies and relates, among other things, directly to our CD27 antibody program and therapeutic uses of varlilumab.</w:t>
      </w:r>
    </w:p>
    <w:p>
      <w:pPr>
        <w:spacing w:after="0" w:line="17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 xml:space="preserve">CD27 acts downstream from CD40 and may provide a novel way to regulate the immune responses. CD27 is a co-stimulatory molecule on T cells and is over-expressed in certain lymphomas and leukemias. Varlilumab is an agonist antibody designed to have two potential therapeutic mechanisms. Varlilumab has been shown to activate immune cells that can target and eliminate cancerous cells in tumor-bearing mice and to directly kill or inhibit the growth of CD27 expressing lymphomas and leukemias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Both mechanisms have been seen even at low doses in appropriate preclinical models.</w:t>
      </w:r>
    </w:p>
    <w:p>
      <w:pPr>
        <w:spacing w:after="0" w:line="167"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November 2013, we announced data from our ongoing open label, dose-escalating Phase 1 study of varlilumab in patients with selected malignant solid tumors or hematologic cancers at multiple clinical sites in the United States. The Phase 1 study is designed to test five escalating doses of varlilumab to determine a Phase 2 dose for further development based on safety, tolerability, potential activity and immunogenicity. The results suggest a favorable safety profile with no evidence of immune related toxicities. Clear biologic activity and promising signs of clinical activity were demonstrated in an advanced, refractory patient population including a complete response in Hodgkin disease, two additional patients with significant tumor shrinkage and eight patients with stable disease or better (PFS range of 3.0 to 14+ months). No maximum tolerated dose was reached to date and immune monitoring data in patients confirmed varlilumab's mechanism of action. Expansion cohorts have been enrolling in metastatic melanoma and renal cell carcinoma and are planned in hematologic indications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with initial data anticipated in mid-2014. We intend to initiate new studies of varlilumab in combination with various agents in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CDX-301</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CDX-301 is a FMS-like tyrosine kinase 3 ligand, or Flt3L, stem cell mobilizer and dendritic cell growth factor. We licensed CDX-301 from Amgen Inc. in March 2009. CDX-301 is a potent hematopoietic cytokine that stimulates the expansion and differentiation of hematopoietic progenitor and stem cells. CDX-301 has demonstrated a unique capacity to increase the number of circulating dendritic cells in both laboratory and clinical studies. In addition, CDX-301 has shown impressive results in models of cancer, infectious diseases and inflammatory/autoimmune diseases. We believe CDX-301 may hold significant opportunity for synergistic development in combination with other proprietary molecules in our portfolio.</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In February 2013, we announced final results from our dose-escalating Phase 1 study of CDX-301 in 30 healthy subjects in collaboration with Rockefeller University. The Phase 1 study evaluated seven different dosing regimens of CDX-301 to determine the appropriate dose for further development based on safety, tolerability, and biological activity. The data from the study were consistent with previous clinical experience and demonstrated that CDX-301 was well-tolerated and can effectively mobilize hematopoietic stem cell populations in healthy volunteers. In December 2013, we announced data from a preclinical combination study of CDX-301and Mozobil® (Plerixafor injection, formerly AMD3100) demonstrating that the combination of these agents significantly increases hematopoietic stem cell mobilization in mice. The data demonstrate a novel potent cell mobilization regimen combining CDX-301 and Mozobil®, which may have significant potential for use in autologous and allogeneic hematopoietic stem cell transplantation. Based on the safety profile and the clinical and preclinical data to date, we plan to initiate a pilot clinical study of CDX-301 as a single-agent and in combination with Mozobil in the transplant setting in the first half of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CDX-1401</w:t>
      </w:r>
    </w:p>
    <w:p>
      <w:pPr>
        <w:spacing w:after="0" w:line="225" w:lineRule="exact"/>
        <w:rPr>
          <w:sz w:val="20"/>
          <w:szCs w:val="20"/>
          <w:color w:val="auto"/>
        </w:rPr>
      </w:pPr>
    </w:p>
    <w:p>
      <w:pPr>
        <w:ind w:right="260" w:firstLine="351"/>
        <w:spacing w:after="0" w:line="314" w:lineRule="auto"/>
        <w:rPr>
          <w:sz w:val="20"/>
          <w:szCs w:val="20"/>
          <w:color w:val="auto"/>
        </w:rPr>
      </w:pPr>
      <w:r>
        <w:rPr>
          <w:rFonts w:ascii="Arial" w:cs="Arial" w:eastAsia="Arial" w:hAnsi="Arial"/>
          <w:sz w:val="15"/>
          <w:szCs w:val="15"/>
          <w:color w:val="auto"/>
        </w:rPr>
        <w:t>CDX-1401, developed from our APC Targeting Technology, is a fusion protein consisting of a fully human monoclonal antibody with specificity for the dendritic cell receptor, DEC-205, linked to the NY-ESO-1 tumor antigen. In humans, NY-ESO-1 has been detected in 20 - 30% of all melanoma, lung, esophageal, liver, gastric, prostate, ovarian and bladder cancers, thus representing a broad opportunity. This product is intended to selectively deliver the NY-ESO-1 antigen to dendritic cells for generating robust immune responses against cancer cells expressing NY-ESO-1. We are developing CDX-1401 for the treatment of malignant melanoma and a variety of solid tumors which express the proprietary cancer antigen NY-ESO-1, which we licensed from the Ludwig Institute for Cancer Research in 2006. Preclinical studies have shown that CDX-1401 is effective for activation of human T cell responses against NY-ESO-1.</w:t>
      </w:r>
    </w:p>
    <w:p>
      <w:pPr>
        <w:spacing w:after="0" w:line="159" w:lineRule="exact"/>
        <w:rPr>
          <w:sz w:val="20"/>
          <w:szCs w:val="20"/>
          <w:color w:val="auto"/>
        </w:rPr>
      </w:pPr>
    </w:p>
    <w:p>
      <w:pPr>
        <w:ind w:right="80" w:firstLine="348"/>
        <w:spacing w:after="0" w:line="284" w:lineRule="auto"/>
        <w:rPr>
          <w:sz w:val="20"/>
          <w:szCs w:val="20"/>
          <w:color w:val="auto"/>
        </w:rPr>
      </w:pPr>
      <w:r>
        <w:rPr>
          <w:rFonts w:ascii="Arial" w:cs="Arial" w:eastAsia="Arial" w:hAnsi="Arial"/>
          <w:sz w:val="16"/>
          <w:szCs w:val="16"/>
          <w:color w:val="auto"/>
        </w:rPr>
        <w:t>The Phase 1 study evaluated three different doses of CDX-1401 in combination with toll-like receptor agonists poly-ICLC or Hiltonol™ and/or R848 or resiquimod. In total, the study enrolled 45 patients with advanced malignancies that had progressed after any available curative and/or salvage therapies. 60% of patients had confirmed NY-ESO expression in archived tumor sample. Thirteen patients maintained stable disease for up to 13.4 months with a median of</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6.7 months. Treatment was well-tolerated and there were no dose limiting toxicities. Humoral responses were elicited in both NY-ESO-1 positive and negative patients. NY-ESO-1-specific T cell responses were absent or low at baseline, but increased post-vaccination in 53% of evaluable patients, including both CD4 and/or CD8 T cell responses. Robust immune responses were observed with CDX-1401 with resiquimod and Poly ICLC alone and in combination. The study has identified a well-tolerated and immunogenic regimen to take forward into the future studies. We are planning a collaborative Phase 2 study of CDX-1401 in combination with CDX-301 in malignant melanoma. This study will be conducted by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ind w:right="180"/>
        <w:spacing w:after="0" w:line="268" w:lineRule="auto"/>
        <w:rPr>
          <w:sz w:val="20"/>
          <w:szCs w:val="20"/>
          <w:color w:val="auto"/>
        </w:rPr>
      </w:pPr>
      <w:r>
        <w:rPr>
          <w:rFonts w:ascii="Arial" w:cs="Arial" w:eastAsia="Arial" w:hAnsi="Arial"/>
          <w:sz w:val="18"/>
          <w:szCs w:val="18"/>
          <w:color w:val="auto"/>
        </w:rPr>
        <w:t>Cancer Immunotherapy Trials Network under a cooperative research and development agreement, or CRADA, with the Cancer Therapy Evaluation Program of the National Cancer Institute.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CDX-1135</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CDX-1135 is a molecule that inhibits a part of the human immune system called the complement system. The complement system is a series of proteins that are important initiators of the body's acute inflammatory response against disease, infection and injury. Excessive complement activation also plays a role in some persistent inflammatory conditions. CDX-1135 is a soluble form of naturally occurring Complement Receptor 1 that has been shown to inhibit the activation of the complement cascade in animal models and in human clinical trials.</w:t>
      </w:r>
    </w:p>
    <w:p>
      <w:pPr>
        <w:spacing w:after="0" w:line="19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Dense Deposit Disease, or DDD, is a rare and devastating disease that is caused by uncontrolled activation of the alternative pathway of complement and leads to progressive kidney damage in children. There is currently no treatment for patients with DDD and about half progress to end-stage renal disease within ten years. Because DDD recurs in virtually all patients who receive a kidney transplant, transplantation is often not a viable option for these patients.</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July 2013, we initiated a pilot study of CDX-1135 in patients with DDD. Enrollment in the pilot study has been extremely difficult due to the overall rareness of patients with DDD (300-500 in the U.S.) further compounded by the need to enroll patients at a very specific point in their disease course. The study sought to enroll patients, particularly children, with enough kidney deterioration to be able to demonstrate clinical benefit/improvement but not so much disease burden that the kidneys were beyond salvaging. While we have been tracking a number of patients for potential enrollment, some patients progressed too quickly and others never progressed at all. To date, only one patient has been enrolled. While this patient demonstrated initial evidence of clinical improvement, the effect was not sustained. The results from this one patient combined with our experience using this agent in the compassionate use setting have not provided the conclusive results necessary for a feasible approval path in this disease. Due to these challenges, we have decided to close the study in DDD and focus resources on our growing immuno-oncology pipeline at this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Programs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CDX-014</w:t>
      </w:r>
    </w:p>
    <w:p>
      <w:pPr>
        <w:spacing w:after="0" w:line="225"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CDX-014 is a fully-human monoclonal ADC that targets TIM-1, a molecule that is highly expressed on renal and ovarian cancers with minimal expression in normal tissues. The antibody is linked to MMAE using Seattle Genetics' proprietary technology. The ADC is designed to be stable in the bloodstream, but to release MMAE upon internalization into TIM-1-expressing tumor cells, resulting in a targeted cell-killing effect. CDX-014 has shown potent activity in preclinical models of ovarian and renal cancer. We have conducted preclinical proof-of-concept studies to optimize the drug candidate and plan to manufacture CDX-014 at our Fall River facility in 2014 prior to initiating IND-enabling toxicology studies.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significant accounting policies are described in Note 2 to the consolidated financial statements included in Item 8 of this Form 10-K. We believe our most critical accounting policies include accounting for business combinations, revenue recognition, impairment of long-lived assets, research and development expenses and stock-based compensation expense.</w:t>
      </w:r>
    </w:p>
    <w:p>
      <w:pPr>
        <w:spacing w:after="0" w:line="194" w:lineRule="exact"/>
        <w:rPr>
          <w:sz w:val="20"/>
          <w:szCs w:val="20"/>
          <w:color w:val="auto"/>
        </w:rPr>
      </w:pPr>
    </w:p>
    <w:p>
      <w:pPr>
        <w:ind w:right="400" w:firstLine="348"/>
        <w:spacing w:after="0" w:line="370" w:lineRule="auto"/>
        <w:rPr>
          <w:sz w:val="20"/>
          <w:szCs w:val="20"/>
          <w:color w:val="auto"/>
        </w:rPr>
      </w:pPr>
      <w:r>
        <w:rPr>
          <w:rFonts w:ascii="Arial" w:cs="Arial" w:eastAsia="Arial" w:hAnsi="Arial"/>
          <w:sz w:val="15"/>
          <w:szCs w:val="15"/>
          <w:color w:val="auto"/>
        </w:rPr>
        <w:t>The methods, estimates and judgments we use in applying our most critical accounting policies have a significant impact on the results we report in our consolidated financial statements. We evaluate our estimates and judgments on an on-going basis. We base our estimates on historical experience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ind w:right="140"/>
        <w:spacing w:after="0" w:line="255" w:lineRule="auto"/>
        <w:rPr>
          <w:sz w:val="20"/>
          <w:szCs w:val="20"/>
          <w:color w:val="auto"/>
        </w:rPr>
      </w:pPr>
      <w:r>
        <w:rPr>
          <w:rFonts w:ascii="Arial" w:cs="Arial" w:eastAsia="Arial" w:hAnsi="Arial"/>
          <w:sz w:val="18"/>
          <w:szCs w:val="18"/>
          <w:color w:val="auto"/>
        </w:rPr>
        <w:t>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materially change our reported results. We believe the following accounting policies are the most critical to us in that they are important to the portrayal of our financial statements and they require our most difficult, subjective or complex judgments in the preparation of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account for business combinations under the acquisition method of accounting. We record the fair value of the consideration transferred to acquire a business to the tangible assets and identifiable intangible assets acquired and liabilities assumed on the basis of their fair values at the date of acquisition. We assess the fair value of assets, including intangible assets such as IPR&amp;D, using a variety of methods including present-value models. Each asset is measured at fair value from the perspective of a market 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our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 IPR&amp;D assets are tested for impairment on an annual basis during the third quarter, or earlier if impairment indicators are present. We performed an annual impairment test of the IPR&amp;D assets as of July 1, 2013 and concluded that the IPR&amp;D assets were not impaired.</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ind w:right="300" w:firstLine="348"/>
        <w:spacing w:after="0" w:line="306"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recorded to goodwill. Goodwill is evaluated for impairment on an annual basis during the third quarter, or earlier if impairment indicators are present. We performed an annual impairment test of the goodwill asset as of July 1, 2013 and concluded that the goodwill asset was not impaired.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recognize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We have entered into and in the future may enter into biopharmaceutical product development agreements with collaborative partners for the research and development of therapeutic drug products. The terms of the agreements may include nonrefundable signing and licensing fees, funding for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ind w:right="260"/>
        <w:spacing w:after="0" w:line="294" w:lineRule="auto"/>
        <w:rPr>
          <w:sz w:val="20"/>
          <w:szCs w:val="20"/>
          <w:color w:val="auto"/>
        </w:rPr>
      </w:pPr>
      <w:r>
        <w:rPr>
          <w:rFonts w:ascii="Arial" w:cs="Arial" w:eastAsia="Arial" w:hAnsi="Arial"/>
          <w:sz w:val="16"/>
          <w:szCs w:val="16"/>
          <w:color w:val="auto"/>
        </w:rPr>
        <w:t>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we allocate revenue to the various elements based on their relative fair value. The fair value of a revenue generating element can be based on current selling prices offered by us or another party for current products or our best estimate of a selling price for future products. Revenue allocated to an individual element is recognized when all other revenue recognition criteria are met for that element.</w:t>
      </w:r>
    </w:p>
    <w:p>
      <w:pPr>
        <w:spacing w:after="0" w:line="170"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our involvement in achieving the milestones and whether the amount of the payment is commensurate to our performance. If not considered substantive, milestones are initially deferred and recognized over the remaining performance obligation.</w:t>
      </w:r>
    </w:p>
    <w:p>
      <w:pPr>
        <w:spacing w:after="0" w:line="167" w:lineRule="exact"/>
        <w:rPr>
          <w:sz w:val="20"/>
          <w:szCs w:val="20"/>
          <w:color w:val="auto"/>
        </w:rPr>
      </w:pPr>
    </w:p>
    <w:p>
      <w:pPr>
        <w:jc w:val="both"/>
        <w:ind w:right="22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our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our licensed technologies and are recognized when the amount of and basis for such royalty payments are reported to us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evaluate the recoverability of our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Clinical trial expenses include expenses associated with clinical research organizations (CRO).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25"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We record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record stock-based compensation expense for stock options granted to non-employees based on the fair value of the stock options which is re-measured over the vesting term resulting in periodic adjustments to stock-based compensation expense.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with Year Ended December 31, 2012</w:t>
      </w:r>
    </w:p>
    <w:p>
      <w:pPr>
        <w:spacing w:after="0" w:line="3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95"/>
        </w:trPr>
        <w:tc>
          <w:tcPr>
            <w:tcW w:w="4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700" w:type="dxa"/>
            <w:vAlign w:val="bottom"/>
            <w:gridSpan w:val="6"/>
            <w:vMerge w:val="restart"/>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4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gridSpan w:val="6"/>
            <w:vMerge w:val="continue"/>
          </w:tcPr>
          <w:p>
            <w:pPr>
              <w:spacing w:after="0"/>
              <w:rPr>
                <w:sz w:val="5"/>
                <w:szCs w:val="5"/>
                <w:color w:val="auto"/>
              </w:rPr>
            </w:pPr>
          </w:p>
        </w:tc>
        <w:tc>
          <w:tcPr>
            <w:tcW w:w="9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62"/>
        </w:trPr>
        <w:tc>
          <w:tcPr>
            <w:tcW w:w="414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(8,441)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Royalty</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(8,441)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Operating Loss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(81,442)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(58,077)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23,365</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(81,550)</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(59,123)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$22.4 million increase in net loss for the year ended December 31, 2013 compared to the year ended December 31, 2012 was primarily the result of an increase in research and development and general and administrative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$1.3 million increase in contracts and grants revenue for the year ended December 31, 2013 compared to the year ended December 31, 2012 was primarily related to our Rockefeller University agreement pursuant to which we perform research and development services for Rockefeller. The agreement includes an approved project plan for the development services of $4.8 million and a term of three years. The $8.4 million decrease in product royalty revenue for the year ended December 31,</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ind w:right="280"/>
        <w:spacing w:after="0" w:line="256" w:lineRule="auto"/>
        <w:rPr>
          <w:sz w:val="20"/>
          <w:szCs w:val="20"/>
          <w:color w:val="auto"/>
        </w:rPr>
      </w:pPr>
      <w:r>
        <w:rPr>
          <w:rFonts w:ascii="Arial" w:cs="Arial" w:eastAsia="Arial" w:hAnsi="Arial"/>
          <w:sz w:val="18"/>
          <w:szCs w:val="18"/>
          <w:color w:val="auto"/>
        </w:rPr>
        <w:t>2013 compared to the year ended December 31, 2012 was related to our retained interests in Rotarix® net royalties which were not sold to Paul Royalty Fund II, L.P., or PRF, and which is equal to the amount payable to Cincinnati Children's Hospital Medical Center, or CCH, and recognized in royalty expense by us. Our agreement with GlaxoSmithKline plc, or Glaxo, terminated automatically upon the expiration of the last relevant patent right covered by the Glaxo agreement. We do not expect any more Rotarix royalty revenue.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7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67"/>
        </w:trPr>
        <w:tc>
          <w:tcPr>
            <w:tcW w:w="4360" w:type="dxa"/>
            <w:vAlign w:val="bottom"/>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9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94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62"/>
        </w:trPr>
        <w:tc>
          <w:tcPr>
            <w:tcW w:w="43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360" w:type="dxa"/>
            <w:vAlign w:val="bottom"/>
          </w:tcPr>
          <w:p>
            <w:pPr>
              <w:spacing w:after="0"/>
              <w:rPr>
                <w:sz w:val="14"/>
                <w:szCs w:val="14"/>
                <w:color w:val="auto"/>
              </w:rPr>
            </w:pP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2013</w:t>
            </w:r>
          </w:p>
        </w:tc>
        <w:tc>
          <w:tcPr>
            <w:tcW w:w="8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2"/>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17,040</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13,465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Laboratory Supplies</w:t>
            </w:r>
          </w:p>
        </w:tc>
        <w:tc>
          <w:tcPr>
            <w:tcW w:w="700" w:type="dxa"/>
            <w:vAlign w:val="bottom"/>
          </w:tcPr>
          <w:p>
            <w:pPr>
              <w:jc w:val="right"/>
              <w:spacing w:after="0"/>
              <w:rPr>
                <w:sz w:val="20"/>
                <w:szCs w:val="20"/>
                <w:color w:val="auto"/>
              </w:rPr>
            </w:pPr>
            <w:r>
              <w:rPr>
                <w:rFonts w:ascii="Arial" w:cs="Arial" w:eastAsia="Arial" w:hAnsi="Arial"/>
                <w:sz w:val="18"/>
                <w:szCs w:val="18"/>
                <w:color w:val="auto"/>
              </w:rPr>
              <w:t>3,247</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360" w:type="dxa"/>
            <w:vAlign w:val="bottom"/>
          </w:tcPr>
          <w:p>
            <w:pPr>
              <w:spacing w:after="0"/>
              <w:rPr>
                <w:sz w:val="20"/>
                <w:szCs w:val="20"/>
                <w:color w:val="auto"/>
              </w:rPr>
            </w:pPr>
            <w:r>
              <w:rPr>
                <w:rFonts w:ascii="Arial" w:cs="Arial" w:eastAsia="Arial" w:hAnsi="Arial"/>
                <w:sz w:val="18"/>
                <w:szCs w:val="18"/>
                <w:color w:val="auto"/>
              </w:rPr>
              <w:t>Product Development</w:t>
            </w:r>
          </w:p>
        </w:tc>
        <w:tc>
          <w:tcPr>
            <w:tcW w:w="700" w:type="dxa"/>
            <w:vAlign w:val="bottom"/>
          </w:tcPr>
          <w:p>
            <w:pPr>
              <w:jc w:val="right"/>
              <w:spacing w:after="0"/>
              <w:rPr>
                <w:sz w:val="20"/>
                <w:szCs w:val="20"/>
                <w:color w:val="auto"/>
              </w:rPr>
            </w:pPr>
            <w:r>
              <w:rPr>
                <w:rFonts w:ascii="Arial" w:cs="Arial" w:eastAsia="Arial" w:hAnsi="Arial"/>
                <w:sz w:val="18"/>
                <w:szCs w:val="18"/>
                <w:color w:val="auto"/>
              </w:rPr>
              <w:t>39,343</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24,426</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14,917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$3.6 million increase in personnel expenses for the year ended December 31, 2013 compared to the year ended December 31, 2012 was primarily due to higher stock-based compensation of $1.2 million and increased headcount. We expect personnel expenses to increase over the next twelve months as we plan to continue to increase our headcount, primarily to support our rindopepimut and glembatumumab vedotin programs.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Laboratory supply expenses include laboratory materials and supplies, services, and other related expenses incurred in the development of our technology. The $1.2 million increase in laboratory supply expenses for the year ended December 31, 2013 compared to the year ended December 31, 2012 was primarily due to higher manufacturing supply purchases. We expect supply expenses to remain relatively consistent over the next twelve months, although there may be fluctuations on a quarterly basis.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The $0.1 million increase in facility expenses for the year ended December 31, 2013 compared to the year ended December 31, 2012 was primarily due to higher utility and maintenance expenses. We expect facility expenses to increase over the next twelve months primarily related to the amortization of leasehold improvements made at our headquarters facility in Hampton, New Jersey.</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$14.9 million increase in product development expenses for the year ended December 31, 2013 compared to the year ended December 31, 2012 was primarily the result of an increase in clinical trial costs and contract manufacturing of $9.0 million and $5.6 million, respectively, primarily related to our rindopepimut and glembatumumab vedotin programs. We expect product development expenses to increase over the next twelve months primarily due to the increase in clinical trial and contract manufacturing expenses related to our rindopepimut and glembatumumab vedotin programs, although there may be fluctuations on a quarterly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Royalty expenses include product royalty and sublicense royalty fees on our out-licensed programs. The $8.4 million decrease in royalty expenses for the year ended December 31, 2013 compared to the year ended December 31, 2012 was due to a decrease in Rotarix related royalty fees. Our retained interests in Rotarix net royalties which were not sold to PRF are recorded as product royalty revenue and a corresponding amount that is payable to CCH is recorded as royalty expense. The Glaxo agreement terminated automatically upon the expiration of the last relevant patent right covered by the Glaxo agreement. We do not expect any more Rotarix royalty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$4.8 million increase in general and administrative expenses for the year ended December 31, 2013 compared to the year ended December 31, 2012 was primarily due to higher stock-based compensation of $1.0 million, increased headcount and rindopepimut-related commercialization planning costs. We expect general and administrative expense to increase over the next twelve months primarily due to increased commercial planning efforts for rindopepimut and glembatumumab vedotin, although there may be fluctuations on a quarterly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$0.1 million decrease in amortization expenses for the year ended December 31, 2013 compared to the year ended December 31, 2012 was due to certain intangible assets becoming fully amortized during 2012. We expect amortization expense of acquired intangible assets to remain relatively consistent over the next twelve months.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$0.3 million increase in investment and other income, net for the year ended December 31, 2013 compared to the year ended December 31, 2012 was primarily due to higher levels of cash and investment balances compared to prior year and us recognizing $0.2 million and $0.1 million in other income related to our sale of New Jersey tax benefits during the years ended December 31, 2013 and 2012, respectively. We anticipate investment income to increase over the next twelve months due to higher cash and investment balances resulting from our underwritten public offering in December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$0.6 million decrease in interest expense for the year ended December 31, 2013 compared to the year ended December 31, 2012 was primarily due to our election in May 2013 to prepay the Term Loan in full, pursuant to the terms of our loan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Year Ended December 31, 2012 compared with Year Ended December 31, 2011</w:t>
      </w:r>
    </w:p>
    <w:p>
      <w:pPr>
        <w:spacing w:after="0" w:line="200" w:lineRule="exact"/>
        <w:rPr>
          <w:sz w:val="20"/>
          <w:szCs w:val="20"/>
          <w:color w:val="auto"/>
        </w:rPr>
      </w:pP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Increase/</w:t>
            </w:r>
          </w:p>
        </w:tc>
        <w:tc>
          <w:tcPr>
            <w:tcW w:w="0" w:type="dxa"/>
            <w:vAlign w:val="bottom"/>
          </w:tcPr>
          <w:p>
            <w:pPr>
              <w:spacing w:after="0"/>
              <w:rPr>
                <w:sz w:val="1"/>
                <w:szCs w:val="1"/>
                <w:color w:val="auto"/>
              </w:rPr>
            </w:pPr>
          </w:p>
        </w:tc>
      </w:tr>
      <w:tr>
        <w:trPr>
          <w:trHeight w:val="67"/>
        </w:trPr>
        <w:tc>
          <w:tcPr>
            <w:tcW w:w="4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80" w:type="dxa"/>
            <w:vAlign w:val="bottom"/>
            <w:gridSpan w:val="6"/>
            <w:vMerge w:val="continue"/>
          </w:tcPr>
          <w:p>
            <w:pPr>
              <w:spacing w:after="0"/>
              <w:rPr>
                <w:sz w:val="5"/>
                <w:szCs w:val="5"/>
                <w:color w:val="auto"/>
              </w:rPr>
            </w:pPr>
          </w:p>
        </w:tc>
        <w:tc>
          <w:tcPr>
            <w:tcW w:w="9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62"/>
        </w:trPr>
        <w:tc>
          <w:tcPr>
            <w:tcW w:w="41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Product Development and Licensing Agreements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Product Royalties</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Operating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47,398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14,959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Royalty</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1,656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(58,077)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(43,399)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14,678</w:t>
            </w:r>
          </w:p>
        </w:tc>
        <w:tc>
          <w:tcPr>
            <w:tcW w:w="1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(59,123)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(44,799)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14,324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$14.3 million increase in net loss for the year ended December 31, 2012 compared to the year ended December 31, 2011 was primarily the result of an increase in research and development and general and administrative expenses, partially offset by a decrease in amortization expense on acquired intangible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$0.2 million increase in contracts and grants revenue for the year ended December 31, 2012 compared to the year ended December 31, 2011 was due to an APC Targeting Technology-based HIV vaccine being funded through a Small Business Innovation Research, or SBIR, grant in collaboration with Rockefeller University. The $1.7 million increase in product royalty revenue for the year ended December 31, 2012 compared to the year ended December 31, 2011 was related to our retained interests in Rotarix net royalties which were not sold to PRF and which is equal to the amount payable to CCH and recognized in royalty expense by us.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33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8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Increase/</w:t>
            </w:r>
          </w:p>
        </w:tc>
        <w:tc>
          <w:tcPr>
            <w:tcW w:w="13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5"/>
              </w:rPr>
              <w:t>Increase/</w:t>
            </w:r>
          </w:p>
        </w:tc>
        <w:tc>
          <w:tcPr>
            <w:tcW w:w="0" w:type="dxa"/>
            <w:vAlign w:val="bottom"/>
          </w:tcPr>
          <w:p>
            <w:pPr>
              <w:spacing w:after="0"/>
              <w:rPr>
                <w:sz w:val="1"/>
                <w:szCs w:val="1"/>
                <w:color w:val="auto"/>
              </w:rPr>
            </w:pPr>
          </w:p>
        </w:tc>
      </w:tr>
      <w:tr>
        <w:trPr>
          <w:trHeight w:val="95"/>
        </w:trPr>
        <w:tc>
          <w:tcPr>
            <w:tcW w:w="3980" w:type="dxa"/>
            <w:vAlign w:val="bottom"/>
          </w:tcPr>
          <w:p>
            <w:pPr>
              <w:spacing w:after="0"/>
              <w:rPr>
                <w:sz w:val="8"/>
                <w:szCs w:val="8"/>
                <w:color w:val="auto"/>
              </w:rPr>
            </w:pPr>
          </w:p>
        </w:tc>
        <w:tc>
          <w:tcPr>
            <w:tcW w:w="174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980" w:type="dxa"/>
            <w:vAlign w:val="bottom"/>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94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132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62"/>
        </w:trPr>
        <w:tc>
          <w:tcPr>
            <w:tcW w:w="398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980" w:type="dxa"/>
            <w:vAlign w:val="bottom"/>
          </w:tcPr>
          <w:p>
            <w:pPr>
              <w:spacing w:after="0"/>
              <w:rPr>
                <w:sz w:val="14"/>
                <w:szCs w:val="14"/>
                <w:color w:val="auto"/>
              </w:rPr>
            </w:pPr>
          </w:p>
        </w:tc>
        <w:tc>
          <w:tcPr>
            <w:tcW w:w="700" w:type="dxa"/>
            <w:vAlign w:val="bottom"/>
          </w:tcPr>
          <w:p>
            <w:pPr>
              <w:jc w:val="right"/>
              <w:ind w:right="121"/>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9"/>
              <w:spacing w:after="0"/>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13,465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Laboratory Supplies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2,062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Product Development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24,426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14,382</w:t>
            </w:r>
          </w:p>
        </w:tc>
        <w:tc>
          <w:tcPr>
            <w:tcW w:w="16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$0.8 million increase in personnel expenses for the year ended December 31, 2012 compared to the year ended December 31, 2011 was primarily due to higher headcount.</w:t>
      </w:r>
    </w:p>
    <w:p>
      <w:pPr>
        <w:spacing w:after="0" w:line="186"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$0.1 million increase in laboratory supply expenses for the year ended December 31, 2012 compared to the year ended December 31, 2011 was primarily due to higher manufacturing supply purchases.</w:t>
      </w:r>
    </w:p>
    <w:p>
      <w:pPr>
        <w:spacing w:after="0" w:line="186"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$0.2 million decrease in facility expenses for the year ended December 31, 2012 compared to the year ended December 31, 2011 was primarily due to lower depreciation and amortization expenses.</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$14.4 million increase in product development expenses for the year ended December 31, 2012 compared to the year ended December 31, 2011 was primarily the result of an increase in clinical trial costs of $14.3 million primarily due to our rindopepimut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Expense</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$1.7 million increase in royalty expenses for the year ended December 31, 2012 compared to the year ended December 31, 2011 was primarily due to an increase in Rotarix related royalty fees. Our retained interests in Rotarix net royalties which were not sold to PRF are recorded as product royalty revenue and a corresponding amount that is payable to CCH is recorded as royalty expense.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$0.8 million increase in general and administrative expenses for the year ended December 31, 2012 compared to the year ended December 31, 2011 was primarily due to higher headcount and rindopepimut-related commercialization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$0.8 million decrease in amortization expenses for the year ended December 31, 2012 compared to the year ended December 31, 2011 was due to certain intangible assets becoming fully amortized during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$0.1 million increase in investment and other income, net for the year ended December 31, 2012 compared to the year ended December 31, 2011 was primarily due to us recognizing $0.1 million in other income related to our sale of New Jersey tax benefits.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$0.2 million decrease in interest expense for the year ended December 31, 2012 compared to the year ended December 31, 2011 was due to a decrease in our Term Loan balance.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consulting, legal and other professional fees. To date, the primary sources of cash flows from operations have been payments received from our collaborative partners and from government entities. The timing of any new collaboration agreements, government contracts or grants and any payments under these agreements, contracts or grants cannot be easily predicted and may vary significantly from quarter to quarter.</w:t>
      </w:r>
    </w:p>
    <w:p>
      <w:pPr>
        <w:spacing w:after="0" w:line="170" w:lineRule="exact"/>
        <w:rPr>
          <w:sz w:val="20"/>
          <w:szCs w:val="20"/>
          <w:color w:val="auto"/>
        </w:rPr>
      </w:pPr>
    </w:p>
    <w:p>
      <w:pPr>
        <w:jc w:val="both"/>
        <w:ind w:right="40" w:firstLine="341"/>
        <w:spacing w:after="0" w:line="256" w:lineRule="auto"/>
        <w:rPr>
          <w:sz w:val="20"/>
          <w:szCs w:val="20"/>
          <w:color w:val="auto"/>
        </w:rPr>
      </w:pPr>
      <w:r>
        <w:rPr>
          <w:rFonts w:ascii="Arial" w:cs="Arial" w:eastAsia="Arial" w:hAnsi="Arial"/>
          <w:sz w:val="18"/>
          <w:szCs w:val="18"/>
          <w:color w:val="auto"/>
        </w:rPr>
        <w:t>At December 31, 2013, our principal sources of liquidity consisted of cash, cash equivalents and marketable securities of $303.0 million. We incurred a loss of $81.6 million for the year ended December 31, 2013. Net cash used in operations for the year ended December 31, 2013 was $67.7 million. We believe that the cash, cash equivalents and marketable securities at December 31, 2013 are sufficient to meet estimated working capital requirements and fund planned operations for more than the next two years.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next twelve months, we may take further steps to raise additional capital to fund our long-term liquidity needs. Our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we may continue to seek capital through a number of means, there can be no assurance that additional financing will be available on acceptable terms, if at all, and our negotiating position in capital-raising efforts may worsen as existing resources are used. There is also no assurance that we will be able to enter into further collaborative relationships. Additional equity financing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Net cash used in operating activities was $67.7 million for the year ended December 31, 2013 compared to $49.8 million for the year ended December 31, 2012. The increase in net cash used in operating activities was primarily due to an increase in net loss of $22.4 million. We expect that cash used in operating activities will increase over the next twelve months primarily related to costs incurred on our rindopepimut and glembatumumab vedotin programs.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as our drug candidates are developed. We plan to spend significant amounts to progress our current drug candidates through the clinical trial and commercialization processes as well as to develop additional drug candidates. As our drug candidates progress through the clinical trial process, we may be obligated to make significant milestone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Net cash used in investing activities was $77.4 million for the year ended December 31, 2013 compared to $17.0 million for the year ended December 31, 2012. The increase in net cash used in investing activities was primarily due to net purchases of marketable securities for the year ended December 31, 2013 of $73.2 million as compared to $16.9 million for the year ended December 31, 2012. We expect that cash used in investing activities will increase over the next twelve months as we purchase more marketable securities with the funds raised in December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Net cash provided by financing activities was $289.6 million for the year ended December 31, 2013 compared to $79.8 million for the year ended December 31, 2012. Net proceeds from stock issuances, including stock issued pursuant to employee benefit plans, were $301.1 million during the year ended December 31, 2013 compared to $83.8 million for the year ended December 31, 2012. We paid $11.0 million and $4.0 million in principal payments on our Term Loan during the years ended December 31, 2013 and 2012, respectively.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May 2013, pursuant to the terms of our Loan Agreement, we elected to prepay our Term Loan in full and paid $8.8 million in principal and $0.7 million in interest, prepayment and final payment fees. The Term Loan would have otherwise matured in December 2014. By prepaying the term loan in May 2013, we saved approximately $0.5 million in interest costs (net of prepayment fees) which would have been payable over the remaining term of the loan. Our obligations under the Loan Agreement had been secured by a first priority security interest in substantially all of its assets, other than its intellectual property. In connection with the repayment of the Term Loan and the termination of the Loan Agreement, those security interests were released.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April 2010, we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we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 In December 2013, we filed a new automatic shelf registration statement.</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During the years ended December 31, 2013, 2012 and 2011, we issued 21,613,483, 12,075,000 and 11,500,000 shares of our common stock in underwritten public offerings resulting in net proceeds to us of $278.6 million, $43.5 million and $33.7 million, after deducting underwriting fees and offering expenses, respectively.</w:t>
      </w:r>
    </w:p>
    <w:p>
      <w:pPr>
        <w:spacing w:after="0" w:line="194"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During the years ended December 31, 2013, 2012 and 2011, we issued 2,433,608, 8,003,290 and 575,000 shares of our common stock under our controlled equity offering sales agreement with Cantor Fitzgerald &amp; Co., as amended, resulting in net proceeds to us of $17.1 million, $40.1 million and $2.2 million, after deducting commission and offering expenses,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have entered into license agreements whereby we have received licenses or options to license technology, specified patents and/or patent applications. These license and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 regulatory and/or commercial milestones.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Because the achievement of these milestones had not occurred as of December 31, 2013, such contingencies have not been recorded in our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expect to incur approximately $3.8 million of license and milestone payments in 2014.</w:t>
      </w:r>
    </w:p>
    <w:p>
      <w:pPr>
        <w:spacing w:after="0" w:line="219"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following table summarizes our contractual obligations (not including contingent royalty and milestone payments as described above) at December 31, 2013 and the effect such obligations and commercial commitments are expected to have on our liquidity and cash flow in future years. These obligations, commitments and supporting arrangements represent expected payments based on current operating forecasts, which are subject to change:</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100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2015 - 2016</w:t>
            </w:r>
          </w:p>
        </w:tc>
        <w:tc>
          <w:tcPr>
            <w:tcW w:w="120" w:type="dxa"/>
            <w:vAlign w:val="bottom"/>
          </w:tcPr>
          <w:p>
            <w:pPr>
              <w:spacing w:after="0"/>
              <w:rPr>
                <w:sz w:val="14"/>
                <w:szCs w:val="14"/>
                <w:color w:val="auto"/>
              </w:rPr>
            </w:pPr>
          </w:p>
        </w:tc>
        <w:tc>
          <w:tcPr>
            <w:tcW w:w="88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2017 - 2018</w:t>
            </w:r>
          </w:p>
        </w:tc>
        <w:tc>
          <w:tcPr>
            <w:tcW w:w="1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Operating lease obligations(1)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10,876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2,666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18"/>
                <w:szCs w:val="18"/>
                <w:color w:val="auto"/>
              </w:rPr>
            </w:pPr>
          </w:p>
        </w:tc>
        <w:tc>
          <w:tcPr>
            <w:tcW w:w="300" w:type="dxa"/>
            <w:vAlign w:val="bottom"/>
            <w:gridSpan w:val="2"/>
          </w:tcPr>
          <w:p>
            <w:pPr>
              <w:jc w:val="right"/>
              <w:ind w:right="10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2,266</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contractual obligations(2)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10,550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480" w:type="dxa"/>
            <w:vAlign w:val="bottom"/>
            <w:gridSpan w:val="3"/>
          </w:tcPr>
          <w:p>
            <w:pPr>
              <w:spacing w:after="0"/>
              <w:rPr>
                <w:sz w:val="20"/>
                <w:szCs w:val="20"/>
                <w:color w:val="auto"/>
              </w:rPr>
            </w:pPr>
            <w:r>
              <w:rPr>
                <w:rFonts w:ascii="Arial" w:cs="Arial" w:eastAsia="Arial" w:hAnsi="Arial"/>
                <w:sz w:val="18"/>
                <w:szCs w:val="18"/>
                <w:color w:val="auto"/>
              </w:rPr>
              <w:t>Total contractual obligations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21,426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13,216</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amounts primarily consist of payments for our facility leases and do not assume the exercise of renewal terms or early termination provisions.</w:t>
      </w:r>
    </w:p>
    <w:p>
      <w:pPr>
        <w:spacing w:after="0" w:line="212" w:lineRule="exact"/>
        <w:rPr>
          <w:rFonts w:ascii="Arial" w:cs="Arial" w:eastAsia="Arial" w:hAnsi="Arial"/>
          <w:sz w:val="18"/>
          <w:szCs w:val="18"/>
          <w:color w:val="auto"/>
        </w:rPr>
      </w:pPr>
    </w:p>
    <w:p>
      <w:pPr>
        <w:ind w:left="1680" w:right="120" w:hanging="531"/>
        <w:spacing w:after="0" w:line="256"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vendors for preclinical research studies and other services and products for operating purposes. We have included obligations in the table above if the contracts are not cancelable at any time by us, generally upon 30 days prior written notice to the vendor.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2,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7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do not utilize derivative financial instruments. The carrying amounts reflected in the consolidated balance sheet of cash and cash equivalents, accounts receivables and accounts payable approximates fair value at December 31, 2013 due to the short-term maturities of these instruments.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Celldex Therapeutics, Inc.</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and comprehensive loss, of stockholders' equity, and of cash flows, present fairly, in all material respects, the financial position of Celldex Therapeutics, Inc. and its subsidiaries at December 31, 2013 and December 31, 2012, and the results of their operations and their cash flows for each of the three years in the period ended December 31, 2013 in conformity with accounting principles generally accepted in the United States of America. Also in our opinion, the Company maintained, in all material respects, effective internal control over financial reporting as of December 31, 2013, based on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2012</w:t>
            </w: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133,581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and Other Receivables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Prepaid and Other Current Assets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85,114</w:t>
            </w:r>
          </w:p>
        </w:tc>
        <w:tc>
          <w:tcPr>
            <w:tcW w:w="160" w:type="dxa"/>
            <w:vAlign w:val="bottom"/>
            <w:shd w:val="clear" w:color="auto" w:fill="CCEEFF"/>
          </w:tcPr>
          <w:p>
            <w:pPr>
              <w:spacing w:after="0"/>
              <w:rPr>
                <w:sz w:val="18"/>
                <w:szCs w:val="18"/>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347,095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Current Portion of Term Loan</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60" w:type="dxa"/>
            <w:vAlign w:val="bottom"/>
            <w:shd w:val="clear" w:color="auto" w:fill="CCEEFF"/>
          </w:tcPr>
          <w:p>
            <w:pPr>
              <w:spacing w:after="0"/>
              <w:rPr>
                <w:sz w:val="18"/>
                <w:szCs w:val="18"/>
                <w:color w:val="auto"/>
              </w:rPr>
            </w:pPr>
          </w:p>
        </w:tc>
      </w:tr>
      <w:tr>
        <w:trPr>
          <w:trHeight w:val="210"/>
        </w:trPr>
        <w:tc>
          <w:tcPr>
            <w:tcW w:w="6260" w:type="dxa"/>
            <w:vAlign w:val="bottom"/>
            <w:gridSpan w:val="2"/>
          </w:tcPr>
          <w:p>
            <w:pPr>
              <w:spacing w:after="0"/>
              <w:rPr>
                <w:sz w:val="20"/>
                <w:szCs w:val="20"/>
                <w:color w:val="auto"/>
              </w:rPr>
            </w:pPr>
            <w:r>
              <w:rPr>
                <w:rFonts w:ascii="Arial" w:cs="Arial" w:eastAsia="Arial" w:hAnsi="Arial"/>
                <w:sz w:val="18"/>
                <w:szCs w:val="18"/>
                <w:color w:val="auto"/>
              </w:rPr>
              <w:t>Term Loan, less Current Portion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5,746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(Notes 14 and 16)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Convertible Preferred Stock, $.01 Par Value; 3,000,000 Shares Authorized; No</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Issued and Outstanding at December 31, 2013 and 2012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w w:val="91"/>
              </w:rPr>
              <w:t>Common Stock, $.001 Par Value; 297,000,000 Shares Authorized; 89,246,832 and</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w w:val="95"/>
              </w:rPr>
              <w:t>64,359,513 Shares Issued and Outstanding at December 31, 2013 and 2012,</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(345,679)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(264,129)</w:t>
            </w:r>
          </w:p>
        </w:tc>
      </w:tr>
      <w:tr>
        <w:trPr>
          <w:trHeight w:val="210"/>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95,774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347,095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125,541</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64" w:name="page65"/>
    <w:bookmarkEnd w:id="64"/>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2013</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Product Royalties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Royalty</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Amortization of Acquired Intangible Assets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(81,442)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(43,399)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and Other Income, Net</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(927)</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(1,576)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(44,799)</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8"/>
              </w:rPr>
              <w:t>Basic and Diluted Net Loss Per Common Share (See Note 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1"/>
              </w:rPr>
              <w:t>Shares Used in Calculating Basic and Diluted Net Loss per Share</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(See Note 2)</w:t>
            </w: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79,777</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Unrealized (Loss) Gain on Marketable Securities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(59,030)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65" w:name="page66"/>
    <w:bookmarkEnd w:id="65"/>
    <w:p>
      <w:pPr>
        <w:jc w:val="center"/>
        <w:ind w:right="120"/>
        <w:spacing w:after="0" w:line="262" w:lineRule="auto"/>
        <w:rPr>
          <w:sz w:val="20"/>
          <w:szCs w:val="20"/>
          <w:color w:val="auto"/>
        </w:rPr>
      </w:pPr>
      <w:r>
        <w:rPr>
          <w:rFonts w:ascii="Arial" w:cs="Arial" w:eastAsia="Arial" w:hAnsi="Arial"/>
          <w:sz w:val="18"/>
          <w:szCs w:val="18"/>
          <w:b w:val="1"/>
          <w:bCs w:val="1"/>
          <w:color w:val="auto"/>
        </w:rPr>
        <w:t>CELLDEX THERAPEUTICS, INC. CONSOLIDATED STATEMENTS OF STOCKHOLDERS' EQUITY (In thousands, except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 Par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94"/>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32,055,382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232,679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(160,207)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75,255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80,254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11,500,000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33,684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33,695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(44,799)</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(44,799)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44,210,636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271,032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(205,006)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68,722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70,587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8,003,290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12,075,000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43,483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(59,123)</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(59,123)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64,359,513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357,094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(264,129)</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95,774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3"/>
              </w:rPr>
              <w:t>Shares Issued under Stock Option and</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Employee Stock Purchase Plans</w:t>
            </w:r>
          </w:p>
        </w:tc>
        <w:tc>
          <w:tcPr>
            <w:tcW w:w="920" w:type="dxa"/>
            <w:vAlign w:val="bottom"/>
          </w:tcPr>
          <w:p>
            <w:pPr>
              <w:jc w:val="right"/>
              <w:spacing w:after="0"/>
              <w:rPr>
                <w:sz w:val="20"/>
                <w:szCs w:val="20"/>
                <w:color w:val="auto"/>
              </w:rPr>
            </w:pPr>
            <w:r>
              <w:rPr>
                <w:rFonts w:ascii="Arial" w:cs="Arial" w:eastAsia="Arial" w:hAnsi="Arial"/>
                <w:sz w:val="18"/>
                <w:szCs w:val="18"/>
                <w:color w:val="auto"/>
              </w:rPr>
              <w:t>840,228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5,403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Cantor Agreement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2,433,608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Shares Issued in Underwritten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Offering</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21,613,483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278,541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278,563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Arial" w:cs="Arial" w:eastAsia="Arial" w:hAnsi="Arial"/>
                <w:sz w:val="18"/>
                <w:szCs w:val="18"/>
                <w:color w:val="auto"/>
              </w:rPr>
              <w:t>Adjustments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Losses on Marketable</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(81,550)</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(81,550)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89,246,832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662,717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(345,679)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319,795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60"/>
          </w:cols>
          <w:pgMar w:left="1380" w:top="125" w:right="125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December 31, 2013</w:t>
            </w:r>
          </w:p>
        </w:tc>
        <w:tc>
          <w:tcPr>
            <w:tcW w:w="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 2012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(81,550)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(59,123)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(44,799)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Adjustments to Reconcile Net Loss to Cash Used in Operating</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Amortization and Premium of Marketable Securities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Realized (Gain) Loss on Sales and Maturities of Marketable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Gain on Sale or Disposal of Assets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Non-Cash Interest Expense</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Accounts and Other Receivables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(67,669)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Marketable Securities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(112,118)</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(69,255)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(52,717)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Proceeds from Sale or Disposal of Assets</w:t>
            </w: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(77,422)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Stock Issuances</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w w:val="92"/>
              </w:rPr>
              <w:t>Proceeds from Issuance of Stock from Employee Benefit Plans</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5,403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Issuance of Term Loan</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(11,029)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Payment of Convertible Subordinated Debt</w:t>
            </w:r>
          </w:p>
        </w:tc>
        <w:tc>
          <w:tcPr>
            <w:tcW w:w="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 of Other Liabilities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289,599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144,505</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169,402</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OVERVIEW</w:t>
      </w:r>
    </w:p>
    <w:p>
      <w:pPr>
        <w:spacing w:after="0" w:line="231" w:lineRule="exact"/>
        <w:rPr>
          <w:sz w:val="20"/>
          <w:szCs w:val="20"/>
          <w:color w:val="auto"/>
        </w:rPr>
      </w:pPr>
    </w:p>
    <w:p>
      <w:pPr>
        <w:ind w:right="220" w:firstLine="351"/>
        <w:spacing w:after="0" w:line="289" w:lineRule="auto"/>
        <w:rPr>
          <w:sz w:val="20"/>
          <w:szCs w:val="20"/>
          <w:color w:val="auto"/>
        </w:rPr>
      </w:pPr>
      <w:r>
        <w:rPr>
          <w:rFonts w:ascii="Arial" w:cs="Arial" w:eastAsia="Arial" w:hAnsi="Arial"/>
          <w:sz w:val="16"/>
          <w:szCs w:val="16"/>
          <w:color w:val="auto"/>
        </w:rPr>
        <w:t>Celldex Therapeutics, Inc. (the "Company" or "Celldex") is a biopharmaceutical company focused on the development and commercialization of several immunotherapy technologies for the treatment of cancer and other difficult-to-treat diseases. The Company's lead drug candidates include rindopepimut (also referred to as CDX-110) and glembatumumab vedotin (also referred to as CDX-011). Rindopepimut is a targeted immunotherapeutic in a pivotal Phase 3 study for the treatment of front-line glioblastoma and a Phase 2 study for the treatment of recurrent glioblastoma. Glembatumumab vedotin is an antibody-drug conjugate in a randomized study in patients with triple negative breast cancer that over-express gpNMB designed to obtain accelerated approval. The Company has a number of earlier stage candidates in clinical development, including varlilumab (also referred to as CDX-1127), a fully human therapeutic monoclonal antibody in a Phase 1 study for cancer indications, CDX-301, an immune cell mobilizing agent and dendritic cell growth factor and CDX-1401, a targeted immunotherapeutic aimed at antigen presenting cells for cancer indications.</w:t>
      </w:r>
    </w:p>
    <w:p>
      <w:pPr>
        <w:spacing w:after="0" w:line="172"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At December 31, 2013, the Company had cash, cash equivalents and marketable securities of $303.0 million. The Company incurred a loss of $81.6 million for the year ended December 31, 2013. Net cash used in operations for the year ended December 31, 2013 was $67.7 million. The Company believes that the cash, cash equivalents and marketable securities at December 31, 2013 will be sufficient to meet estimated working capital requirements and fund planned operations for at least the next twelve months.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During the next twelve months, the Company may take further steps to raise additional capital to meet its long-term liquidity needs. These capital raising activities may include, but may not be limited to, one or more of the following: the licensing of technology programs with existing or new collaborative partners, possible business combinations, issuance of debt, or the issuance of common stock or other securities via private placements or public offerings. While the Company continues to seek capital through a number of means,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accompanying consolidated financial statements reflect the operations of the Company and its wholly-owned subsidiary. All intercompany balances and transactions have been eliminated in consolidation. The Company operates in one segment, which is the business of development, manufacturing and commercialization of novel therapeutics for human health care.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of America (U.S. GAAP) requires management to make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estimates and use assumptions that affect the reported amounts of assets and liabilities and the disclosure of contingent assets and liabilities at the dates of the consolidated financial statements and the reported amounts of revenues and expenses during the reporting period. Actual results could differ from those estimates.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Company considers all highly liquid investments purchased with a maturity date of 90 days or less at the date of purchase to be cash equivalents. Cash equivalents consist principally of money market funds and debt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Company invests its excess cash balances in marketable securities including municipal bond securities, U.S. government agency securities, and high-grade corporate bonds. The Company classifies all of its marketable securities as current assets on the consolidated balance sheets because they are available-for-sale and available to fund current operations. Marketable securities are stated at fair value with their unrealized gains and losses included as a component of accumulated other comprehensive income (loss), which is a separate component of stockholders' equity, until such gains and losses are realized. If a decline in the fair value is considered other-than-temporary, based on available evidence, the unrealized loss is transferred from other comprehensive income (loss) to the consolidated statements of operations. Realized gains and losses are determined on the specific identification method and are included in investment and other income, net.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of Significant Customers and Suppliers</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cash equivalents, marketable securities and accounts receivable. The Company invests its cash, cash equivalents and marketable securities in debt instruments and interest bearing accounts at major financial institutions in excess of insured limits. The Company mitigates credit risk by limiting the investment type and maturity to securities that preserve capital, maintain liquidity and have a high credit quality. The Company has not historically experienced credit losses from its accounts receivable and therefore has not established an allowance for doubtful accounts.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 from Glaxo represented 57%, 96% and 98% for the years ended December 31, 2013, 2012 and 2011 and of total Company revenue, respectively.</w:t>
      </w:r>
    </w:p>
    <w:p>
      <w:pPr>
        <w:spacing w:after="0" w:line="248"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Company relies on contract manufacturing organizations (CMO) to manufacture drug substance and drug product for its late-stage clinical studies of rindopepimut and glembatumumab vedotin as well as for future commercial supplies. The Company also relies on CMOs for supply of raw materials as well as filling, packaging, storage and shipping of drug product. These clinical studies would be adversely affected by a significant interruption in the supply of rindopepimut and glembatumumab vedotin.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Company has certain assets and liabilities that are measured at fair value in the financial statements. The Company seeks to maximize the use of observable inputs (market data obtained from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sources independent from the Company) and to minimize the use of unobservable inputs (the Company's assumptions about how market participants would price assets and liabilities) when measuring the fair value of its assets and liabilities. These assets and liabilities are classified into one of three levels of the following fair value hierarchy as defined by U.S. GAAP:</w:t>
      </w:r>
    </w:p>
    <w:p>
      <w:pPr>
        <w:spacing w:after="0" w:line="194" w:lineRule="exact"/>
        <w:rPr>
          <w:sz w:val="20"/>
          <w:szCs w:val="20"/>
          <w:color w:val="auto"/>
        </w:rPr>
      </w:pPr>
    </w:p>
    <w:p>
      <w:pPr>
        <w:jc w:val="both"/>
        <w:ind w:left="540" w:right="400" w:firstLine="351"/>
        <w:spacing w:after="0" w:line="332" w:lineRule="auto"/>
        <w:rPr>
          <w:sz w:val="20"/>
          <w:szCs w:val="20"/>
          <w:color w:val="auto"/>
        </w:rPr>
      </w:pPr>
      <w:r>
        <w:rPr>
          <w:rFonts w:ascii="Arial" w:cs="Arial" w:eastAsia="Arial" w:hAnsi="Arial"/>
          <w:sz w:val="16"/>
          <w:szCs w:val="16"/>
          <w:color w:val="auto"/>
        </w:rPr>
        <w:t>Level 1: Observable inputs such as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39" w:lineRule="exact"/>
        <w:rPr>
          <w:sz w:val="20"/>
          <w:szCs w:val="20"/>
          <w:color w:val="auto"/>
        </w:rPr>
      </w:pPr>
    </w:p>
    <w:p>
      <w:pPr>
        <w:ind w:left="540" w:right="360" w:firstLine="351"/>
        <w:spacing w:after="0" w:line="268" w:lineRule="auto"/>
        <w:rPr>
          <w:sz w:val="20"/>
          <w:szCs w:val="20"/>
          <w:color w:val="auto"/>
        </w:rPr>
      </w:pPr>
      <w:r>
        <w:rPr>
          <w:rFonts w:ascii="Arial" w:cs="Arial" w:eastAsia="Arial" w:hAnsi="Arial"/>
          <w:sz w:val="18"/>
          <w:szCs w:val="18"/>
          <w:color w:val="auto"/>
        </w:rPr>
        <w:t>Level 2: Observable inputs other than Level 1 prices, such as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500" w:firstLine="351"/>
        <w:spacing w:after="0" w:line="268" w:lineRule="auto"/>
        <w:rPr>
          <w:sz w:val="20"/>
          <w:szCs w:val="20"/>
          <w:color w:val="auto"/>
        </w:rPr>
      </w:pPr>
      <w:r>
        <w:rPr>
          <w:rFonts w:ascii="Arial" w:cs="Arial" w:eastAsia="Arial" w:hAnsi="Arial"/>
          <w:sz w:val="18"/>
          <w:szCs w:val="18"/>
          <w:color w:val="auto"/>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0" w:firstLine="351"/>
        <w:spacing w:after="0" w:line="312" w:lineRule="auto"/>
        <w:rPr>
          <w:sz w:val="20"/>
          <w:szCs w:val="20"/>
          <w:color w:val="auto"/>
        </w:rPr>
      </w:pPr>
      <w:r>
        <w:rPr>
          <w:rFonts w:ascii="Arial" w:cs="Arial" w:eastAsia="Arial" w:hAnsi="Arial"/>
          <w:sz w:val="15"/>
          <w:szCs w:val="15"/>
          <w:color w:val="auto"/>
        </w:rPr>
        <w:t>Property and equipment is stated at cost and depreciated over the estimated useful lives of the related assets using the straight-line method. Laboratory equipment and office furniture and equipment are depreciated over five years and computer equipment is depreciated over three years. Manufacturing equipment is amortized over seven to ten years. Leasehold improvements are amortized over the shorter of the estimated useful life or the non-cancelable term of the related lease, including any renewals that are reasonably assured of occurring. Property and equipment under construction is classified as construction in progress and is depreciated or amortized only after the asset is placed in service. Expenditures for maintenance and repairs are charged to expense whereas the costs of significant improvements which extend the life of the underlying asset are capitalized. Upon retirement or sale, the cost of assets disposed of and the related accumulated depreciation are eliminated and any resulting gain or loss is reflected in the Company's consolidated statements of operations and comprehensive loss.</w:t>
      </w:r>
    </w:p>
    <w:p>
      <w:pPr>
        <w:spacing w:after="0" w:line="159"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treatment of costs to construct property and equipment depends on the nature of the costs and the stage of construction. Costs incurred in the project planning, design, construction and installation phases are capitalized as part of the cost of the asset. The Company stops capitalizing these costs when the asset is substantially complete and ready for its intended use. For manufacturing property and equipment, the Company also capitalizes the cost of validating these assets for the underlying manufacturing process. The Company completes the capitalization of validation costs when the asset is substantially complete and ready for its intended use. Costs capitalized include incremental labor and fringe benefits, and direct consultancy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Company records the fair value of the consideration transferred to acquire a business to the tangible assets and identifiable intangible assets acquired and liabilities assumed on the basis of their fair values at the date of acquisition. The Company assesses the fair value of assets, including intangible assets such as in-process research and development (IPR&amp;D), using a variety of methods including present value models. Each asset is measured at fair value from the perspective of a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center"/>
        <w:ind w:right="-3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participant. The method used to estimate the fair values of IPR&amp;D assets incorporates significant assumptions regarding the estimates a market participant would make in order to evaluate an asset, including a market participant's assumptions regarding the probability of completing IPR&amp;D projects, which would require obtaining regulatory approval for marketing of the associated drug candidate; a market participant's estimates regarding the timing of and the expected costs to complete IPR&amp;D projects; a market participant's estimates of future cash flows from potential product sales; and the appropriate discount rates for a market participant. Transaction costs and restructuring costs associated with the transaction are expensed as incurred.</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connection with the acquisition of CuraGen Corporation ("CuraGen") in October 2009, the Company assumed CuraGen's $12.5 million in 4% convertible subordinated debt due February 15, 2011 (the "Convertible Subordinated Debt"). In February 2011, the Company paid $12.8 million and satisfied all the outstanding principal and accrued interest related to the Convertible Subordinated Debt.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IPR&amp;D assets acquired in a business combination initially are recorded at fair value and accounted for as indefinite-lived intangible assets. These assets are maintained on the Company's consolidated balance sheets until either the project underlying them is completed or the assets become impaired. If a project is completed, the carrying value of the related intangible asset is amortized over the remaining estimated life of the asset beginning in the period in which the project is completed. If a project becomes impaired or is abandoned, the carrying value of the related intangible asset is written down to its fair value and an impairment charge is taken in the period in which the impairment occurs.</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January 2013, the Company adopted a new U.S. GAAP accounting standard which amended guidance applicable to annual impairment tests of indefinite-lived intangible assets. The amended guidance added an optional qualitative assessment for determining whether an indefinite-lived intangible asset is impaired. Prior to this guidance, companies were required to perform an annual impairment test that included a calculation of the fair value of the asset and a comparison of that fair value with its carrying value. If the carrying value exceeded the fair value, an impairment was recorded. The amended guidance allows a company the option to perform a qualitative assessment, considering both negative and positive evidence, regarding the potential impairment of the indefinite-lived intangible asset. If, based on the qualitative analysis, the company determines that it is more likely than not that the fair value of such an asset exceeds its carrying value, the company would be permitted to conclude that the indefinite-lived intangible asset was not impaired without a quantitative calculation of the fair value of the asset. Otherwise, the company would perform the quantitative calculation of the fair value and the comparison with the carrying value. The Company's adoption of this new standard did not have a material effect on its operating results or financial position.</w:t>
      </w:r>
    </w:p>
    <w:p>
      <w:pPr>
        <w:spacing w:after="0" w:line="174"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IPR&amp;D assets are tested for impairment on an annual basis during the third quarter, or earlier if impairment indicators are present. As part of the annual impairment test of the IPR&amp;D assets as of July 1, 2013, the Company bypassed the optional qualitative assessment and performed a calculation of the fair value of the asset. The Company concluded that the IPR&amp;D assets were not impaired.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Intangible assets acquired in a business combination with a finite life are recorded at fair value and amortized over the greater of economic consumption or on a straight-line basis over their estimated useful life.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difference between the purchase price and the fair value of assets acquired and liabilities assumed in a business combination is allocated to goodwill. Goodwill is evaluated for impairment on an annual basis during the third quarter, or earlier if impairment indicators are present. The Company has the option to assess qualitative factors to determine if it is more likely than not that goodwill might be impaired and whether it is necessary to perform the two-step goodwill impairment test required under U.S. GAAP. As part of its annual impairment test of the goodwill asset as of July 1, 2013, the Company bypassed the optional qualitative assessment and performed the two-step impairment test. The Company concluded that the goodwill asset was not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Company evaluates the recoverability of its long-lived assets, including property and equipment, and intangible assets when circumstances indicate that an event of impairment may have occurred.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 recognizes revenue when all of the following criteria are met: persuasive evidence of an arrangement exists; delivery has occurred or services have been rendered; the seller's price to the buyer is fixed or determinable; and collectability is reasonably assured.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has entered into and in the future may enter into biopharmaceutical product development agreements with collaborative partners for the research and development of therapeutic drug products. The terms of the agreements may include nonrefundable signing and licensing fees, funding for research, development and manufacturing, milestone payments and royalties on any product sales derived from collaborations. These multiple element arrangements are analyzed to determine whether the deliverables can be separated or whether they must be accounted for as a single unit of accounting. In accounting for these transactions, the Company allocates revenue to the various elements based on their relative fair value. The fair value of a revenue generating element can be based on current selling prices offered by the Company or another party for current products or the Company's best estimate of a selling price for future products. Revenue allocated to an individual element is recognized when all other revenue recognition criteria are met for that element.</w:t>
      </w:r>
    </w:p>
    <w:p>
      <w:pPr>
        <w:spacing w:after="0" w:line="17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These collaborative and other agreements may contain milestone payments. Revenues from milestones, if they are considered substantive, are recognized upon successful accomplishment of the milestones. Determining whether a milestone is substantive involves judgment, including an assessment of the Company's involvement in achieving the milestones and whether the amount of the payment 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2" w:name="page73"/>
    <w:bookmarkEnd w:id="72"/>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commensurate to the Company's performance. If not considered substantive, milestones are initially deferred and recognized over the remaining performance obligation.</w:t>
      </w:r>
    </w:p>
    <w:p>
      <w:pPr>
        <w:spacing w:after="0" w:line="186"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Payments received to fund certain research activities are recognized as revenue in the period in which the research activities are performed. Revenue from contracts and grants is recognized as the services are performed and recorded as effort is expended on the contracted work and billed to the government or the Company's contractual partner. Payments received in advance that are related to future performance are deferred and recognized as revenue when the research projects are performed.</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Product royalty revenue consists of payments received from licensees for a portion of sales proceeds from products that utilize the Company's licensed technologies and are recognized when the amount of and basis for such royalty payments are reported to the Company in accurate and appropriate form and in accordance with the related license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Research and development costs, including internal and contract research costs, are expensed as incurred. Research and development expenses consist mainly of clinical trial costs, manufacturing of clinical material, toxicology and other studies, personnel costs, depreciation, license fees and funding of outside research.</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Clinical trial expenses include expenses associated with clinical research organizations (CRO). The invoicing from CROs for services rendered can lag several months. We accrue the cost of services rendered in connection with CRO activities based on our estimate of site management, monitoring costs, and project management costs. We maintain regular communication with our CROs to gauge the reasonableness of our estimates. Differences between actual clinical trial expenses and estimated clinical trial expenses recorded have not been material and are adjusted for in the period in which they become known.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Costs</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Patent costs are expensed as incurred. Certain patent costs are reimbursed by the Company's product development and licensing partners. Any reimbursed patent costs are recorded as product development and licensing agreement revenues in the Company's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Company records stock-based compensation expense for all stock-based awards made to employees and directors based on the estimated fair values of the stock-based awards expected to vest at the grant date and is adjusted, if necessary, to reflect actual forfeitures. Compensation expense for all stock-based awards to employees and directors is recognized using the straight-line method over the term of vesting or performance.</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73" w:name="page74"/>
    <w:bookmarkEnd w:id="73"/>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 records stock-based compensation expense for stock options granted to non-employees based on the fair value of the stock options which is re-measured over the vesting term resulting in periodic adjustments to stock-based compensation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unrealized gains and losses resulting from foreign currency translation are included in other comprehensive income (loss). At December 31, 2013 and December 31, 2012, accumulated other comprehensive income includes a net unrealized gain related to foreign currency translation of $2.6 million. In 2011, the Company's foreign subsidiary voluntarily liquidated in order to consolidate the Company's foreign operations into Celldex Therapeutics,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The Company uses the asset and liability method to account for income taxes, including the recognition of deferred tax assets and deferred tax liabilities for the anticipated future tax consequences attributable to differences between financial statement amounts and their respective tax basis. Quarterly, the Company reviews its deferred tax assets for recovery. A valuation allowance is established when the Company believes that it is more likely than not that its deferred tax assets will not be realized. Changes in valuation allowances from period to period are included in the Company's tax provision in the period of change.</w:t>
      </w:r>
    </w:p>
    <w:p>
      <w:pPr>
        <w:spacing w:after="0" w:line="152"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Company records uncertain tax positions in the financial statements only if it is more likely than not that the uncertain tax position will be sustained upon examination by the taxing authorities. The Company records interest and penalties related to uncertain tax positions in income tax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Loss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Comprehensive loss is comprised of net loss and certain changes in stockholders' equity that are excluded from net loss. The Company includes foreign currency translation adjustments and unrealized gains and losses on marketable securities in other comprehensive loss. The consolidated statements of operations and comprehensive loss reflect total comprehensive loss for the years ended December 31, 2013, 2012 and 2011.</w:t>
      </w:r>
    </w:p>
    <w:p>
      <w:pPr>
        <w:spacing w:after="0" w:line="161"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In January 2013, the Company adopted a new U.S. GAAP accounting standard which requires the Company to separately disclose, on a prospective basis, the change in each component of other comprehensive income (loss) relating to reclassification adjustments and current period other comprehensive income (loss). As the new guidance relates to presentation only, the adoption did not have a material impact on the Company's results of operations or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Share</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The potentially dilutive common shares that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have not been included in the net loss per common share calculations because the effect would have been anti-dilutive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0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w:t>
            </w:r>
          </w:p>
        </w:tc>
      </w:tr>
      <w:tr>
        <w:trPr>
          <w:trHeight w:val="142"/>
        </w:trPr>
        <w:tc>
          <w:tcPr>
            <w:tcW w:w="4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5,770,544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5,349,810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4,459,034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Restricted stock</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6,000</w:t>
            </w:r>
          </w:p>
        </w:tc>
      </w:tr>
      <w:tr>
        <w:trPr>
          <w:trHeight w:val="20"/>
        </w:trPr>
        <w:tc>
          <w:tcPr>
            <w:tcW w:w="49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5,776,544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5,355,810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4,465,034</w:t>
            </w:r>
          </w:p>
        </w:tc>
      </w:tr>
      <w:tr>
        <w:trPr>
          <w:trHeight w:val="20"/>
        </w:trPr>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COMPREHENSIVE LOSS</w:t>
      </w:r>
    </w:p>
    <w:p>
      <w:pPr>
        <w:spacing w:after="0" w:line="231"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The changes in accumulated other comprehensive income (loss) by component for the year ended December 31, 2013 are summarized below. No amounts were reclassified out of accumulated other comprehensive income during the years ended December 31, 2013, 2012 and 2011.</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Unrealized Gain</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(Loss) on</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Marketable</w:t>
            </w:r>
          </w:p>
        </w:tc>
        <w:tc>
          <w:tcPr>
            <w:tcW w:w="200" w:type="dxa"/>
            <w:vAlign w:val="bottom"/>
          </w:tcPr>
          <w:p>
            <w:pPr>
              <w:spacing w:after="0"/>
              <w:rPr>
                <w:sz w:val="12"/>
                <w:szCs w:val="12"/>
                <w:color w:val="auto"/>
              </w:rPr>
            </w:pPr>
          </w:p>
        </w:tc>
        <w:tc>
          <w:tcPr>
            <w:tcW w:w="9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Foreign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4"/>
              </w:rPr>
              <w:t>Securities, net of tax</w:t>
            </w: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4"/>
              </w:rPr>
              <w:t>Currency Items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gridSpan w:val="5"/>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Net current-period other comprehensive income</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set forth the Company's financial assets subject to fair value measurements: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Arial" w:cs="Arial" w:eastAsia="Arial" w:hAnsi="Arial"/>
                <w:sz w:val="14"/>
                <w:szCs w:val="14"/>
                <w:b w:val="1"/>
                <w:bCs w:val="1"/>
                <w:color w:val="auto"/>
                <w:w w:val="84"/>
              </w:rPr>
              <w:t>December 31, 2013</w:t>
            </w:r>
          </w:p>
        </w:tc>
        <w:tc>
          <w:tcPr>
            <w:tcW w:w="1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Level 2</w:t>
            </w:r>
          </w:p>
        </w:tc>
        <w:tc>
          <w:tcPr>
            <w:tcW w:w="160" w:type="dxa"/>
            <w:vAlign w:val="bottom"/>
          </w:tcPr>
          <w:p>
            <w:pPr>
              <w:spacing w:after="0"/>
              <w:rPr>
                <w:sz w:val="14"/>
                <w:szCs w:val="14"/>
                <w:color w:val="auto"/>
              </w:rPr>
            </w:pP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148,549</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133,581</w:t>
            </w:r>
          </w:p>
        </w:tc>
        <w:tc>
          <w:tcPr>
            <w:tcW w:w="180" w:type="dxa"/>
            <w:vAlign w:val="bottom"/>
          </w:tcPr>
          <w:p>
            <w:pPr>
              <w:spacing w:after="0"/>
              <w:rPr>
                <w:sz w:val="18"/>
                <w:szCs w:val="18"/>
                <w:color w:val="auto"/>
              </w:rPr>
            </w:pPr>
          </w:p>
        </w:tc>
        <w:tc>
          <w:tcPr>
            <w:tcW w:w="78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133,581</w:t>
            </w:r>
          </w:p>
        </w:tc>
        <w:tc>
          <w:tcPr>
            <w:tcW w:w="160" w:type="dxa"/>
            <w:vAlign w:val="bottom"/>
          </w:tcPr>
          <w:p>
            <w:pPr>
              <w:spacing w:after="0"/>
              <w:rPr>
                <w:sz w:val="18"/>
                <w:szCs w:val="18"/>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282,130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282,130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40" w:type="dxa"/>
            <w:vAlign w:val="bottom"/>
            <w:vMerge w:val="restart"/>
          </w:tcPr>
          <w:p>
            <w:pPr>
              <w:jc w:val="right"/>
              <w:ind w:right="312"/>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ind w:right="40"/>
              <w:spacing w:after="0"/>
              <w:rPr>
                <w:sz w:val="20"/>
                <w:szCs w:val="20"/>
                <w:color w:val="auto"/>
              </w:rPr>
            </w:pPr>
            <w:r>
              <w:rPr>
                <w:rFonts w:ascii="Arial" w:cs="Arial" w:eastAsia="Arial" w:hAnsi="Arial"/>
                <w:sz w:val="14"/>
                <w:szCs w:val="14"/>
                <w:b w:val="1"/>
                <w:bCs w:val="1"/>
                <w:color w:val="auto"/>
                <w:w w:val="84"/>
              </w:rPr>
              <w:t>December 31, 2012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3</w:t>
            </w: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0"/>
              </w:rPr>
              <w:t>(In thousands)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and cash equivalents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tcPr>
          <w:p>
            <w:pPr>
              <w:spacing w:after="0"/>
              <w:rPr>
                <w:sz w:val="18"/>
                <w:szCs w:val="18"/>
                <w:color w:val="auto"/>
              </w:rPr>
            </w:pPr>
          </w:p>
        </w:tc>
        <w:tc>
          <w:tcPr>
            <w:tcW w:w="5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There have been no transfers of assets or liabilities between the fair value measurement classifications. The Company's financial instruments consist mainly of cash and cash equivalents, marketable securities, short-term accounts receivable and accounts payable.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 Short-term accounts receivable and accounts payable are reflected in the accompanying consolidated financial statements at cost, which approximates fair value due to the short-term nature of these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marketable securities is shown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78"/>
              </w:rPr>
              <w:t>Gross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2"/>
                <w:szCs w:val="12"/>
                <w:color w:val="auto"/>
              </w:rPr>
            </w:pPr>
          </w:p>
        </w:tc>
        <w:tc>
          <w:tcPr>
            <w:tcW w:w="800" w:type="dxa"/>
            <w:vAlign w:val="bottom"/>
            <w:gridSpan w:val="2"/>
          </w:tcPr>
          <w:p>
            <w:pPr>
              <w:jc w:val="right"/>
              <w:ind w:right="18"/>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194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74"/>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77"/>
              <w:spacing w:after="0"/>
              <w:rPr>
                <w:sz w:val="20"/>
                <w:szCs w:val="20"/>
                <w:color w:val="auto"/>
              </w:rPr>
            </w:pPr>
            <w:r>
              <w:rPr>
                <w:rFonts w:ascii="Arial" w:cs="Arial" w:eastAsia="Arial" w:hAnsi="Arial"/>
                <w:sz w:val="12"/>
                <w:szCs w:val="12"/>
                <w:b w:val="1"/>
                <w:bCs w:val="1"/>
                <w:color w:val="auto"/>
                <w:w w:val="71"/>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2013</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55,531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55,554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vMerge w:val="restart"/>
          </w:tcPr>
          <w:p>
            <w:pPr>
              <w:ind w:left="340"/>
              <w:spacing w:after="0"/>
              <w:rPr>
                <w:sz w:val="20"/>
                <w:szCs w:val="20"/>
                <w:color w:val="auto"/>
              </w:rPr>
            </w:pPr>
            <w:r>
              <w:rPr>
                <w:rFonts w:ascii="Arial" w:cs="Arial" w:eastAsia="Arial" w:hAnsi="Arial"/>
                <w:sz w:val="18"/>
                <w:szCs w:val="18"/>
                <w:color w:val="auto"/>
                <w:w w:val="97"/>
              </w:rPr>
              <w:t>Total U.S. government and municipal obligations</w:t>
            </w:r>
          </w:p>
        </w:tc>
        <w:tc>
          <w:tcPr>
            <w:tcW w:w="12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73,765</w:t>
            </w:r>
          </w:p>
        </w:tc>
        <w:tc>
          <w:tcPr>
            <w:tcW w:w="16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73,840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1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38,973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38,973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Arial" w:cs="Arial" w:eastAsia="Arial" w:hAnsi="Arial"/>
                <w:sz w:val="18"/>
                <w:szCs w:val="18"/>
                <w:color w:val="auto"/>
              </w:rPr>
              <w:t>Total corporate debt securities</w:t>
            </w:r>
          </w:p>
        </w:tc>
        <w:tc>
          <w:tcPr>
            <w:tcW w:w="1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59,734</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133,499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133,581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0" w:type="dxa"/>
            <w:vAlign w:val="bottom"/>
            <w:vMerge w:val="restart"/>
          </w:tcPr>
          <w:p>
            <w:pPr>
              <w:jc w:val="right"/>
              <w:ind w:right="612"/>
              <w:spacing w:after="0"/>
              <w:rPr>
                <w:sz w:val="20"/>
                <w:szCs w:val="20"/>
                <w:color w:val="auto"/>
              </w:rPr>
            </w:pPr>
            <w:r>
              <w:rPr>
                <w:rFonts w:ascii="Arial" w:cs="Arial" w:eastAsia="Arial" w:hAnsi="Arial"/>
                <w:sz w:val="18"/>
                <w:szCs w:val="18"/>
                <w:color w:val="auto"/>
              </w:rPr>
              <w:t>71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4"/>
                <w:szCs w:val="14"/>
                <w:color w:val="auto"/>
              </w:rPr>
            </w:pPr>
          </w:p>
        </w:tc>
        <w:tc>
          <w:tcPr>
            <w:tcW w:w="580" w:type="dxa"/>
            <w:vAlign w:val="bottom"/>
          </w:tcPr>
          <w:p>
            <w:pPr>
              <w:jc w:val="center"/>
              <w:ind w:left="109"/>
              <w:spacing w:after="0"/>
              <w:rPr>
                <w:sz w:val="20"/>
                <w:szCs w:val="20"/>
                <w:color w:val="auto"/>
              </w:rPr>
            </w:pPr>
            <w:r>
              <w:rPr>
                <w:rFonts w:ascii="Arial" w:cs="Arial" w:eastAsia="Arial" w:hAnsi="Arial"/>
                <w:sz w:val="14"/>
                <w:szCs w:val="14"/>
                <w:b w:val="1"/>
                <w:bCs w:val="1"/>
                <w:color w:val="auto"/>
                <w:w w:val="78"/>
              </w:rPr>
              <w:t>Gross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780" w:type="dxa"/>
            <w:vAlign w:val="bottom"/>
            <w:gridSpan w:val="2"/>
          </w:tcPr>
          <w:p>
            <w:pPr>
              <w:jc w:val="right"/>
              <w:ind w:right="1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center"/>
              <w:ind w:left="109"/>
              <w:spacing w:after="0"/>
              <w:rPr>
                <w:sz w:val="20"/>
                <w:szCs w:val="20"/>
                <w:color w:val="auto"/>
              </w:rPr>
            </w:pPr>
            <w:r>
              <w:rPr>
                <w:rFonts w:ascii="Arial" w:cs="Arial" w:eastAsia="Arial" w:hAnsi="Arial"/>
                <w:sz w:val="14"/>
                <w:szCs w:val="14"/>
                <w:b w:val="1"/>
                <w:bCs w:val="1"/>
                <w:color w:val="auto"/>
                <w:w w:val="74"/>
              </w:rPr>
              <w:t>Losses</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3"/>
          </w:tcPr>
          <w:p>
            <w:pPr>
              <w:jc w:val="right"/>
              <w:ind w:right="209"/>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2012</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and municipal obligations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9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15,566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15,594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Total U.S. government and municipal obligations</w:t>
            </w:r>
          </w:p>
        </w:tc>
        <w:tc>
          <w:tcPr>
            <w:tcW w:w="8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35,363</w:t>
            </w:r>
          </w:p>
        </w:tc>
        <w:tc>
          <w:tcPr>
            <w:tcW w:w="1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vMerge w:val="continue"/>
          </w:tcPr>
          <w:p>
            <w:pPr>
              <w:spacing w:after="0"/>
              <w:rPr>
                <w:sz w:val="18"/>
                <w:szCs w:val="18"/>
                <w:color w:val="auto"/>
              </w:rPr>
            </w:pPr>
          </w:p>
        </w:tc>
        <w:tc>
          <w:tcPr>
            <w:tcW w:w="580" w:type="dxa"/>
            <w:vAlign w:val="bottom"/>
          </w:tcPr>
          <w:p>
            <w:pPr>
              <w:jc w:val="right"/>
              <w:ind w:right="429"/>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35,489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debt securities</w:t>
            </w:r>
          </w:p>
        </w:tc>
        <w:tc>
          <w:tcPr>
            <w:tcW w:w="8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520"/>
              <w:spacing w:after="0"/>
              <w:rPr>
                <w:sz w:val="20"/>
                <w:szCs w:val="20"/>
                <w:color w:val="auto"/>
              </w:rPr>
            </w:pPr>
            <w:r>
              <w:rPr>
                <w:rFonts w:ascii="Arial" w:cs="Arial" w:eastAsia="Arial" w:hAnsi="Arial"/>
                <w:sz w:val="18"/>
                <w:szCs w:val="18"/>
                <w:color w:val="auto"/>
              </w:rPr>
              <w:t>Maturing in one year or less</w:t>
            </w:r>
          </w:p>
        </w:tc>
        <w:tc>
          <w:tcPr>
            <w:tcW w:w="9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17,353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740" w:type="dxa"/>
            <w:vAlign w:val="bottom"/>
            <w:gridSpan w:val="2"/>
          </w:tcPr>
          <w:p>
            <w:pPr>
              <w:jc w:val="right"/>
              <w:ind w:right="429"/>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Maturing after one year through three years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340"/>
              <w:spacing w:after="0"/>
              <w:rPr>
                <w:sz w:val="20"/>
                <w:szCs w:val="20"/>
                <w:color w:val="auto"/>
              </w:rPr>
            </w:pPr>
            <w:r>
              <w:rPr>
                <w:rFonts w:ascii="Arial" w:cs="Arial" w:eastAsia="Arial" w:hAnsi="Arial"/>
                <w:sz w:val="18"/>
                <w:szCs w:val="18"/>
                <w:color w:val="auto"/>
              </w:rPr>
              <w:t>Total corporate debt securities</w:t>
            </w:r>
          </w:p>
        </w:tc>
        <w:tc>
          <w:tcPr>
            <w:tcW w:w="8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23,546</w:t>
            </w:r>
          </w:p>
        </w:tc>
        <w:tc>
          <w:tcPr>
            <w:tcW w:w="1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vMerge w:val="continue"/>
          </w:tcPr>
          <w:p>
            <w:pPr>
              <w:spacing w:after="0"/>
              <w:rPr>
                <w:sz w:val="18"/>
                <w:szCs w:val="18"/>
                <w:color w:val="auto"/>
              </w:rPr>
            </w:pPr>
          </w:p>
        </w:tc>
        <w:tc>
          <w:tcPr>
            <w:tcW w:w="580" w:type="dxa"/>
            <w:vAlign w:val="bottom"/>
          </w:tcPr>
          <w:p>
            <w:pPr>
              <w:jc w:val="right"/>
              <w:ind w:right="429"/>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23,576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marketable securities</w:t>
            </w:r>
          </w:p>
        </w:tc>
        <w:tc>
          <w:tcPr>
            <w:tcW w:w="9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74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59,065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marketable securities held by the Company were high investment grade and there were no marketable securities that the Company considered to be other-than-temporarily impaired as of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include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December 31, 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4"/>
              </w:rPr>
              <w:t>December 31, 2012</w:t>
            </w:r>
          </w:p>
        </w:tc>
        <w:tc>
          <w:tcPr>
            <w:tcW w:w="16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jc w:val="right"/>
              <w:ind w:right="85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2,055</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12,932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r>
      <w:tr>
        <w:trPr>
          <w:trHeight w:val="210"/>
        </w:trPr>
        <w:tc>
          <w:tcPr>
            <w:tcW w:w="5100" w:type="dxa"/>
            <w:vAlign w:val="bottom"/>
          </w:tcPr>
          <w:p>
            <w:pPr>
              <w:ind w:left="180"/>
              <w:spacing w:after="0"/>
              <w:rPr>
                <w:sz w:val="20"/>
                <w:szCs w:val="20"/>
                <w:color w:val="auto"/>
              </w:rPr>
            </w:pPr>
            <w:r>
              <w:rPr>
                <w:rFonts w:ascii="Arial" w:cs="Arial" w:eastAsia="Arial" w:hAnsi="Arial"/>
                <w:sz w:val="18"/>
                <w:szCs w:val="18"/>
                <w:color w:val="auto"/>
              </w:rPr>
              <w:t>Total Property and Equipment</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21,965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19,530</w:t>
            </w:r>
          </w:p>
        </w:tc>
        <w:tc>
          <w:tcPr>
            <w:tcW w:w="16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(11,992)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(12,325)</w:t>
            </w:r>
          </w:p>
        </w:tc>
      </w:tr>
      <w:tr>
        <w:trPr>
          <w:trHeight w:val="210"/>
        </w:trPr>
        <w:tc>
          <w:tcPr>
            <w:tcW w:w="5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9,973</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7,205</w:t>
            </w:r>
          </w:p>
        </w:tc>
        <w:tc>
          <w:tcPr>
            <w:tcW w:w="16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$1.9 million, $2.0 million and $2.2 million for the years ended December 31, 2013, 2012 and 2011, respectively.</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AND GOODWILL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of accumulated amortization, and goodwill are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4"/>
                <w:szCs w:val="14"/>
                <w:b w:val="1"/>
                <w:bCs w:val="1"/>
                <w:color w:val="auto"/>
                <w:w w:val="96"/>
              </w:rPr>
              <w:t>December 31, 2013</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0"/>
              </w:rPr>
              <w:t>December 31, 2012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78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5"/>
              </w:rPr>
              <w:t>Estimated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Cost</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3"/>
          </w:tcPr>
          <w:p>
            <w:pPr>
              <w:jc w:val="right"/>
              <w:ind w:right="276"/>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IPR&amp;D</w:t>
            </w:r>
          </w:p>
        </w:tc>
        <w:tc>
          <w:tcPr>
            <w:tcW w:w="7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11,800</w:t>
            </w:r>
          </w:p>
        </w:tc>
        <w:tc>
          <w:tcPr>
            <w:tcW w:w="440" w:type="dxa"/>
            <w:vAlign w:val="bottom"/>
            <w:gridSpan w:val="2"/>
          </w:tcPr>
          <w:p>
            <w:pPr>
              <w:jc w:val="right"/>
              <w:ind w:right="129"/>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4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Amgen Amendment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10,688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Arial" w:cs="Arial" w:eastAsia="Arial" w:hAnsi="Arial"/>
                <w:sz w:val="18"/>
                <w:szCs w:val="18"/>
                <w:color w:val="auto"/>
              </w:rPr>
              <w:t>Core Technology</w:t>
            </w:r>
          </w:p>
        </w:tc>
        <w:tc>
          <w:tcPr>
            <w:tcW w:w="780" w:type="dxa"/>
            <w:vAlign w:val="bottom"/>
          </w:tcPr>
          <w:p>
            <w:pPr>
              <w:jc w:val="right"/>
              <w:spacing w:after="0"/>
              <w:rPr>
                <w:sz w:val="20"/>
                <w:szCs w:val="20"/>
                <w:color w:val="auto"/>
              </w:rPr>
            </w:pPr>
            <w:r>
              <w:rPr>
                <w:rFonts w:ascii="Arial" w:cs="Arial" w:eastAsia="Arial" w:hAnsi="Arial"/>
                <w:sz w:val="18"/>
                <w:szCs w:val="18"/>
                <w:color w:val="auto"/>
              </w:rPr>
              <w:t>11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27,596</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27,596</w:t>
            </w:r>
          </w:p>
        </w:tc>
        <w:tc>
          <w:tcPr>
            <w:tcW w:w="44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78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IPR&amp;D intangible asset was recorded in connection with the acquisition of CuraGen and relates to the development of glembatumumab vedotin. At the date of acquisition and at December 31, 2013, glembatumumab vedotin had not yet reached technological feasibility nor did it have any alternative future use. Glembatumumab vedotin is in a randomized, accelerated approval study in patients with triple negative breast cancer that over-express gpNMB.</w:t>
      </w:r>
    </w:p>
    <w:p>
      <w:pPr>
        <w:spacing w:after="0" w:line="16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Amortization expense for intangible assets was $1.0 million, $1.1 million and $1.9 million for the years ended December 31, 2013, 2012 and 2011, respectively. The estimated future amortization expense of intangible assets for the years ended December 31, 2014, 2015, 2016, 2017 and 2018 is $1.0 million, $1.0 million, $1.0 million, $0.9 million and $0.9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include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2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c>
          <w:tcPr>
            <w:tcW w:w="284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3"/>
              </w:rPr>
              <w:t>2012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Royalty and License Fees</w:t>
            </w:r>
          </w:p>
        </w:tc>
        <w:tc>
          <w:tcPr>
            <w:tcW w:w="218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Payroll and Employee Benefits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3,515</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89"/>
              </w:rPr>
              <w:t>Accrued Research and Development Contract Costs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11,840</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1,018</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17,179</w:t>
            </w:r>
          </w:p>
        </w:tc>
        <w:tc>
          <w:tcPr>
            <w:tcW w:w="1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60" w:type="dxa"/>
            <w:vAlign w:val="bottom"/>
            <w:vMerge w:val="restart"/>
          </w:tcPr>
          <w:p>
            <w:pPr>
              <w:jc w:val="right"/>
              <w:ind w:right="1572"/>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long-term liabilities include the following:</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4"/>
              </w:rPr>
              <w:t>December 31, 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December 31, 2012</w:t>
            </w:r>
          </w:p>
        </w:tc>
        <w:tc>
          <w:tcPr>
            <w:tcW w:w="16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Deferred Tax Liability related to IPR&amp;D</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4,661</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Sale of Tax Benefits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Loan Payable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39</w:t>
            </w: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8"/>
                <w:szCs w:val="18"/>
                <w:color w:val="auto"/>
              </w:rPr>
            </w:pPr>
          </w:p>
        </w:tc>
        <w:tc>
          <w:tcPr>
            <w:tcW w:w="1340" w:type="dxa"/>
            <w:vAlign w:val="bottom"/>
            <w:gridSpan w:val="2"/>
          </w:tcPr>
          <w:p>
            <w:pPr>
              <w:jc w:val="right"/>
              <w:ind w:right="32"/>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0"/>
        </w:trPr>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6,336</w:t>
            </w:r>
          </w:p>
        </w:tc>
      </w:tr>
      <w:tr>
        <w:trPr>
          <w:trHeight w:val="20"/>
        </w:trPr>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January 2013, 2012 and 2011, the Company received approval from the New Jersey Economic Development Authority and agreed to sell New Jersey tax benefits worth $0.8 million, $0.8 million and $0.6 million to an independent third party for $0.8 million, $0.7 million and $0.5 million, respectively. Under the agreement, the Company must maintain a base of operations in New Jersey for five years or the tax benefits must be paid back on a pro-rata basis based on the number of years completed. During the years ended December 31, 2013 and 2012, the Company recorded $0.2 million and $0.1 million to other income related to the sale of these tax benefits, respectively.</w:t>
      </w:r>
    </w:p>
    <w:p>
      <w:pPr>
        <w:spacing w:after="0" w:line="197"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In September 2013, the Company entered into an agreement with Rockefeller University pursuant to which the Company will perform research and development services for Rockefeller. The agreement includes an approved project plan for the development services of $4.8 million and a term of three years. The agreement included an upfront payment of $1.3 million which is being recognized as revenue over the term of the agreement. The Company will bill Rockefeller quarterly for actual time and direct costs incurred and record those amounts to revenue in the quarter the services are performed. The Company recorded $1.4 million in revenue related to the Rockefeller agreement during the year ended December 31, 2013.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December 2010, the Company entered into a loan and security agreement with MidCap Financial, LLC pursuant to which the Company borrowed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$10.0 million under a term loan from MidCap. In March 2011, the Company amended the loan agreement and borrowed an additional $5.0 million from General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Electric Capital Corporation to increase the amount owed under the term loan to $15.0 million. In March 2012, the Company amended the loan agreement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extend the maturity date from December 2013 to December 2014. In May 2013, the Company elected to prepay the outstanding principal under the term loan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full, pursuant to the terms of its loan agreement, as amended, and paid $8.8 million in principal and $0.7 million in interest, prepayment and final payment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obligations under the loan agreement had been collateralized by a first priority security interest in substantially all of its assets, other than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 In connection with the repayment of the term loan and the termination of the loan agreement, those security interests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9" w:name="page80"/>
    <w:bookmarkEnd w:id="79"/>
    <w:p>
      <w:pPr>
        <w:jc w:val="center"/>
        <w:ind w:right="-1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TERM LOAN (Continued)</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were released. Interest expense on the term loan was $0.8 million, $1.5 million and $1.6 million for the years ended December 31, 2013, 2012 and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April 2010, the Company filed a shelf registration statement with the Securities and Exchange Commission to register for sale any combination of the types of securities described in the shelf registration statement up to a dollar amount of $150 million. The shelf registration went effective on April 22, 2010. In December 2012, the Company filed a new shelf registration statement with the Securities and Exchange Commission to register for sale any combination of the types of securities described in the new shelf registration statement up to a dollar amount of $200 million. The new shelf registration went effective on January 16, 2013. In December 2013, the Company filed a new automatic shelf registration statement.</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years ended December 31, 2013, 2012 and 2011, Company issued 21,613,483, 12,075,000 and 11,500,000 shares of its common stock in underwritten public offerings resulting in net proceeds to the Company of $278.6 million, $43.5 million and $33.7 million, after deducting underwriting fees and offering expenses, respectively.</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the years ended December 31, 2013, 2012 and 2011, Company issued 2,433,608, 8,003,290 and 575,000 shares of its common stock under our controlled equity offering sales agreement with Cantor Fitzgerald &amp; Co., as amended, resulting in net proceeds to the Company of $17.1 million, $40.1 million and $2.2 million, after deducting commission and offering expenses,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560" w:firstLine="341"/>
        <w:spacing w:after="0" w:line="370" w:lineRule="auto"/>
        <w:rPr>
          <w:sz w:val="20"/>
          <w:szCs w:val="20"/>
          <w:color w:val="auto"/>
        </w:rPr>
      </w:pPr>
      <w:r>
        <w:rPr>
          <w:rFonts w:ascii="Arial" w:cs="Arial" w:eastAsia="Arial" w:hAnsi="Arial"/>
          <w:sz w:val="15"/>
          <w:szCs w:val="15"/>
          <w:color w:val="auto"/>
        </w:rPr>
        <w:t>At December 31, 2013, the Company had authorized 3,000,000 shares of preferred stock all of which have been designated Class C Preferred Stock including 350,000 shares which have been designated Series C-1 Junior Participating Cumulative Preferred Stock (the "Series C-1 Preferred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Rights Plan</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Company's Board has adopted a Shareholder Rights Plan, as set forth in the Shareholder Rights Agreement, as amended, between the Company and Computershare Trust Company, N.A., as Rights Agent (the "Rights Agreement"). Pursuant to the terms of the Rights Agreement, the Board declared a dividend distribution of one Preferred Stock Purchase Right (a "Right") for each outstanding share of the Company's common stock. Each Right, which expires in November 2014, entitles their holder to purchase from the Company one ten-thousandth of a share (a "Unit") of Series C-1 Preferred Stock at a cash exercise price of $35.00 per Unit, subject to adjustment. The Rights will trade separately from the common stock and will become exercisable only when a person or group has acquired 15% or more of the outstanding common stock or upon the commencement by a person or group of a tender offer that would result in such person or group acquiring 15% or more of the outstanding common stock other than as a result of repurchases of stock by the Company or certain inadvertent actions by a shareholder. In the event a person or group acquires 15% or more of the outstanding common stock each holder of a Right (except for any such person or group) would be</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entitled to receive upon exercise sufficient Units of Series C-1 Preferred Stock to equal a value of two times the exercise price of the Right. In the event the Company is acquired in a merger or other business combination transaction or if 50% or more of the Company's assets or earning power is sold, each holder of a Right (except for any such person or group described above) would receive upon exercise common stock of the acquiring company with a value equal to two times the exercise price of the Right.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Company has the following stock-based compensation plans: the 2004 Employee Stock Purchase Plan (the "2004 ESPP Plan"), the 2008 Stock Option and Incentive Plan (the "2008 Plan"), Celldex Research's 2005 Equity Incentive Plan (the "Celldex Research 2005 Plan") and CuraGen 2007 Stock Plan (the "CuraGen 2007 Plan"). There are no shares available for future grant under the Celldex Research 2005 Plan and CuraGen 2007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At December 31, 2013, a total of 200,000 shares of common stock are reserved for issuance under the 2004 ESPP Plan. Under the 2004 ESPP Plan, each participating employee may purchase shares of common stock through payroll deductions at a purchase price equal to 85% of the lower of the fair market value of the common stock at either the beginning of the offering period or the applicable exercise date. During the years ended December 31, 2013 and 2012, the Company issued 11,823 and 5,935 shares under the 2004 ESPP Plan, respectively. At December 31, 2013, 164,124 shares were available for issuance under the 2004 ESPP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Option and Incentive Plan</w:t>
      </w:r>
    </w:p>
    <w:p>
      <w:pPr>
        <w:spacing w:after="0" w:line="225" w:lineRule="exact"/>
        <w:rPr>
          <w:sz w:val="20"/>
          <w:szCs w:val="20"/>
          <w:color w:val="auto"/>
        </w:rPr>
      </w:pPr>
    </w:p>
    <w:p>
      <w:pPr>
        <w:jc w:val="both"/>
        <w:ind w:right="360" w:firstLine="348"/>
        <w:spacing w:after="0" w:line="259" w:lineRule="auto"/>
        <w:rPr>
          <w:sz w:val="20"/>
          <w:szCs w:val="20"/>
          <w:color w:val="auto"/>
        </w:rPr>
      </w:pPr>
      <w:r>
        <w:rPr>
          <w:rFonts w:ascii="Arial" w:cs="Arial" w:eastAsia="Arial" w:hAnsi="Arial"/>
          <w:sz w:val="18"/>
          <w:szCs w:val="18"/>
          <w:color w:val="auto"/>
        </w:rPr>
        <w:t>The 2008 Plan permits the granting of incentive stock options (intended to qualify as such under Section 422A of the Internal Revenue Code of 1986, as amended), non-qualified stock options, stock appreciation rights, performance share units, restricted stock and other awards of restricted stock in lieu of cash bonuses to employees, consultants and non-employee directors.</w:t>
      </w:r>
    </w:p>
    <w:p>
      <w:pPr>
        <w:spacing w:after="0" w:line="194"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At December 31, 2013, the 2008 Plan allowed for a maximum of 7,400,000 shares of common stock to be issued for grants of Stock Options and other Awards made prior to March 7, 2018 and grants of Incentive Stock Options made prior to October 20, 2017. The Company's board of directors determines the term of each option, option price, and number of shares for which each option is granted and the rate at which each option vests. Options generally vest over a period not to exceed four years. The term of each option cannot exceed ten years (five years for options granted to holders of more than 10% of the voting stock of the Company) and the exercise price of stock options cannot be less than the fair market value of the common stock at the date of grant (110% of fair market value for incentive stock options granted to holders of more than 10% of the voting stock of the Company). Vesting of all employee and non-employee director stock option awards is accelerated upon a change in control as defined in the 2008 Plan.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(Continued)</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summary of stock option activity for the year ended December 31, 2013 is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Per Share</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Term (In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5,349,810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1,252,000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16.44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(816,405)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(14,861)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5,770,544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at December 31, 2013</w:t>
            </w: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8.12</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gridSpan w:val="2"/>
            <w:vMerge w:val="continue"/>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w w:val="99"/>
              </w:rPr>
              <w:t>5,712,596</w:t>
            </w:r>
          </w:p>
        </w:tc>
        <w:tc>
          <w:tcPr>
            <w:tcW w:w="1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3,297,190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Shares Available for Grant under the 2008 Plan</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2,102,942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stock options exercised during the years ended December 31, 2013, 2012 and 2011 was $10.0 million, $0.2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$0.03 million, respectively. The weighted average grant-date fair value of stock options granted during the years ended December 31, 2013, 2012 and 2011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$10.51, $3.67 and $1.83, respectively. The total fair value of stock options vested during the years ended December 31, 2013, 2012 and 2011 was $2.4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 million and $2.6 million, respectively.</w:t>
      </w:r>
    </w:p>
    <w:p>
      <w:pPr>
        <w:spacing w:after="0" w:line="21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aggregate intrinsic value of stock options outstanding at December 31, 2013 was $92.6 million. The aggregate intrinsic value of stock options vested and expected to vest at December 31, 2013 was $91.9 million. As of December 31, 2013, total compensation cost related to non-vested employee and non-employee director stock options not yet recognized was approximately $14.4 million, net of estimated forfeitures, which is expected to be recognized as expense over a weighted average period of 2.8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activity under the 2008 Plan for the year ended December 31, 2013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4"/>
          </w:tcPr>
          <w:p>
            <w:pPr>
              <w:jc w:val="center"/>
              <w:ind w:right="18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5"/>
              </w:rPr>
              <w:t>(per share)</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2012</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Canceled</w:t>
            </w:r>
          </w:p>
        </w:tc>
        <w:tc>
          <w:tcPr>
            <w:tcW w:w="24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w w:val="92"/>
              </w:rPr>
              <w:t>Outstanding and unvested at December 31, 2013</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80" w:type="dxa"/>
            <w:vAlign w:val="bottom"/>
            <w:vMerge w:val="restart"/>
          </w:tcPr>
          <w:p>
            <w:pPr>
              <w:jc w:val="right"/>
              <w:ind w:right="1972"/>
              <w:spacing w:after="0"/>
              <w:rPr>
                <w:sz w:val="20"/>
                <w:szCs w:val="20"/>
                <w:color w:val="auto"/>
              </w:rPr>
            </w:pPr>
            <w:r>
              <w:rPr>
                <w:rFonts w:ascii="Arial" w:cs="Arial" w:eastAsia="Arial" w:hAnsi="Arial"/>
                <w:sz w:val="18"/>
                <w:szCs w:val="18"/>
                <w:color w:val="auto"/>
              </w:rPr>
              <w:t>77</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jc w:val="center"/>
        <w:ind w:right="-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and Expenses Information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for the years ended December 31, 2013, 2012 and 2011 was recorded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4"/>
                <w:szCs w:val="14"/>
                <w:color w:val="auto"/>
              </w:rPr>
            </w:pPr>
          </w:p>
        </w:tc>
      </w:tr>
      <w:tr>
        <w:trPr>
          <w:trHeight w:val="142"/>
        </w:trPr>
        <w:tc>
          <w:tcPr>
            <w:tcW w:w="5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1,412</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930</w:t>
            </w:r>
          </w:p>
        </w:tc>
      </w:tr>
      <w:tr>
        <w:trPr>
          <w:trHeight w:val="20"/>
        </w:trPr>
        <w:tc>
          <w:tcPr>
            <w:tcW w:w="5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2,342</w:t>
            </w:r>
          </w:p>
        </w:tc>
      </w:tr>
      <w:tr>
        <w:trPr>
          <w:trHeight w:val="20"/>
        </w:trPr>
        <w:tc>
          <w:tcPr>
            <w:tcW w:w="5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fair values of employee stock options granted during the years ended December 31, 2013, 2012 and 2011 were valued using the Black-Scholes option-pricing model with the following assumptions: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December 31, 2012</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2011</w:t>
            </w: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71 - 72%</w:t>
            </w:r>
          </w:p>
        </w:tc>
        <w:tc>
          <w:tcPr>
            <w:tcW w:w="136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70 - 72%</w:t>
            </w:r>
          </w:p>
        </w:tc>
        <w:tc>
          <w:tcPr>
            <w:tcW w:w="134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rPr>
              <w:t>68 - 70%</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option term</w:t>
            </w: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5"/>
              </w:rPr>
              <w:t>6.0 Years</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6.0 Years</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1.2 - 2.1%</w:t>
            </w:r>
          </w:p>
        </w:tc>
        <w:tc>
          <w:tcPr>
            <w:tcW w:w="136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0.9 - 1.4%</w:t>
            </w:r>
          </w:p>
        </w:tc>
        <w:tc>
          <w:tcPr>
            <w:tcW w:w="13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1.4 - 2.9%</w:t>
            </w:r>
          </w:p>
        </w:tc>
      </w:tr>
      <w:tr>
        <w:trPr>
          <w:trHeight w:val="222"/>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None</w:t>
            </w:r>
          </w:p>
        </w:tc>
      </w:tr>
    </w:tbl>
    <w:p>
      <w:pPr>
        <w:spacing w:after="0" w:line="20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estimates expected term based on historical exercise patterns. The Company uses its historical stock price volatility consistent with the expected term of grant as the basis for its expected volatility assumption. The risk-free interest rate is based upon the yield of U.S. Treasury securities consistent with the expected term of the option. The dividend yield assumption is based on the Company's history of zero dividend payouts and expectation that no dividends will be paid in the foreseeable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1997, the Company licensed its oral rotavirus strain to GlaxoSmithKline plc (Glaxo) and Glaxo assumed responsibility for all subsequent clinical trials and all other development activities. The Company's licensed-in the rotavirus strain that was used to develop Glaxo's Rotarix rotavirus vaccine in 1995 and owed a license fee of 30% to Cincinnati Children's Hospital Medical Center (CCH) on net royalties received from Glaxo. In May 2005, the Company entered into an agreement whereby an affiliate of Paul Royalty Fund II, L.P. (PRF) purchased a 70% interest in the net royalties the Company received on worldwide sales of Rotarix. In December 2012, the Glaxo agreement expired automatically upon the expiration of the last relevant patent right covered by the Glaxo agreement. The Company's retained interests in Rotarix net royalties which were not sold to PRF are recorded as product royalty revenue and a corresponding amount that is payable to CCH is recorded as royalty expense. Product royalty revenue and royalty expense related to the Company's retained interest in Rotarix was $2.3 million, $10.8 million and $9.1 million for the years ended December 31, 2013, 2012 and 2011, respectively.</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has entered into license agreements whereby the Company has received licenses or options to license technology, specified patents or patent applications. The Company's licensing and development collaboration agreements generally provide for royalty payments equal to specified percentages of product sales, annual license maintenance fees, continuing patent prosecution costs and potential future milestone payments to third parties upon the achievement of certain developmental, regulatory and/or commercial milestones. Nonrefundable license fee expense was $0.7 million, $0.7 million and $1.4 million for the years ended December 31, 2013, 2012 and 2011,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Medarex, Inc., a subsidiary of Bristol-Myers Squibb (Medarex)</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and Medarex have entered into an assignment and license agreement, as amended, that provides for the assignment of certain patent and other intellectual property rights and a license to certain Medarex technology related to the Company's APC Targeting Technology™ and an anti-mannose receptor product. Under the terms of the agreement, the Company may be required to pay royalties in the low-single digits on any net product sale of a Licensed Royalty-Bearing Product or Anti-Mannose Product to Medarex until the later of (i) the expiration of the last to expire applicable patent and (ii) the tenth anniversary of the first commercial sale of such licensed product.</w:t>
      </w:r>
    </w:p>
    <w:p>
      <w:pPr>
        <w:spacing w:after="0" w:line="197"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 and Medarex have also entered into a research and commercialization agreement, as amended, that provides the Company with certain rights to obtain exclusive commercial licenses to proprietary monoclonal antibodies raised against certain antigens utilizing the Medarex UltiMAb technology platform for generating antibodies until December 2015. Under the terms of the agreement, the Company may be required to pay milestones of up to $7.0 million upon obtaining first approval for commercial sale in a first indication of a product containing a licensed antibody and royalty payments in the low-to-mid single digits on any net product sales to Medarex with respect to the development of any products containing such licensed antibodies until the later of (i) the expiration of the last to expire applicable patent and (ii) the tenth anniversary of the first commercial sale of such licensed product. In September 2010, the Company exercised an option under the agreement, whereby it licensed from Medarex access to the UltiMab technology to develop and commercialize human antibodies to CD27, including varlilumab.</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Rockefeller University (Rockefeller)</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November 2005, the Company and Rockefeller entered into a license agreement for the exclusive worldwide rights to human DEC-205 receptor, with the right to sublicense the technology. The license grant is exclusive except that Rockefeller may use and permit other nonprofit organizations to use the human DEC-205 receptor patent rights for educational and research purposes. The Company may be required to pay milestones of up to $3.9 million upon obtaining first approval for commercial sale in a first indication of a product targeting the licensed receptor and royalty payments in the low-to-mid single digits on any net product sales to Rockefeller with respect to development and commercialization of the human DEC-205 receptor.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Duke University Brain Tumor Cancer Center (Duke)</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September 2006, the Company and Duke entered into a license agreement that gave the Company access and reference to the clinical data generated by Duke and its collaborators in order for the Company to generate its own filing with the FDA relating to rindopepimut. The Company may be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required to pay milestone of up to $0.7 million upon obtaining first approval for commercial sale in a first indication and royalty payments in the low-single digits on any net product sales to Duke with respect to development and commercialization of rindopepimut.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Ludwig Institute for Cancer Research (Ludwig)</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2006, the Company and Ludwig entered into an agreement for the nonexclusive rights to certain cancer tumor targets for use in combination with the Company's APC Targeting Technology. The Company may be required to pay milestones of up to $1.0 million upon obtaining first approval for commercial sale in a first indication and royalty payments in the low-single digits on any net product sales to Ludwig with respect to development and commercialization of the technology licensed from Ludwig.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Alteris Therapeutics, Inc. (Alteris)</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October 2005, the Company completed the acquisition of the assets of Alteris, including the EGFRvIII molecule. The Company may be required to pay Alteris up to $5.0 million upon obtaining the first approval for commercial sale of a product containing EGFRvIII, including rindopepimut.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of Southampton, UK (Southampton)</w:t>
      </w:r>
    </w:p>
    <w:p>
      <w:pPr>
        <w:spacing w:after="0" w:line="22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November 2008, the Company entered into a license agreement with Southampton to develop human antibodies towards CD27, a potentially important target for immunotherapy of various cancers. The Company may be required to pay milestones of up to approximately $1.4 million upon obtaining first approval for commercial sale in a first indication and royalty payments in the low-single digits on any net product sales to Southampton with respect to development and commercialization of varlilumab.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 (Amgen)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March 2009, the Company entered into a license agreement with Amgen to acquire the exclusive rights to CDX-301 and CD40 ligand (CD40L). CDX-301 and CD40L are immune modulating molecules that increase the numbers and activity of immune cells that control immune responses. The Company may be required to pay milestones of up to $1.0 million upon obtaining first approval for commercial sale in a first indication and royalty payments in the low-single digits on any net product sales to Amgen with respect to development and commercialization of the technology licensed from Amgen, including CDX-301.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Genetics, Inc. (Seattle Genetics)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connection with the CuraGen acquisition, the Company assumed the license agreement between CuraGen and Seattle Genetics whereby CuraGen acquired the rights to proprietary antibody-drug conjugate (ADC) technology for use with the Company's proprietary antibodies for the potential treatment of cancer. In February 2014, the Company paid $2.5 million in milestones to Seattle Genetics as a result of the METRIC initiation. The Company may be required to pay milestones of up to $5.0 million upon obtaining first approval for commercial sale in a first indication and royalty payments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jc w:val="center"/>
        <w:ind w:right="-17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AGREEMENTS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in the mid-single digits on any net product sales to Seattle Genetics with respect to development and commercialization of the ADC technology, including glembatumumab vedotin and CDX-014.</w:t>
      </w:r>
    </w:p>
    <w:p>
      <w:pPr>
        <w:spacing w:after="0" w:line="18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attributable to continuing operations consist of the following:</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2011</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30,962</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19,394</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16,204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Expiration of Net Operating Losses and Research &amp; Development Tax Credits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19,008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Deferred tax valuation allowance</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(35,756)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(22,205)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(19,008)</w:t>
            </w: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between the amount of reported income tax and the amount computed using the U.S. Statutory rate of 34%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Pre-tax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(81,550)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(59,123)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(44,799)</w:t>
            </w: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Loss at Statutory Rates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(27,727)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(20,102)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(15,213)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State Taxes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(4,920)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(4,237)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Expiration of Net Operating Losses and Research &amp; Development Tax Credits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spacing w:after="0"/>
              <w:rPr>
                <w:sz w:val="20"/>
                <w:szCs w:val="20"/>
                <w:color w:val="auto"/>
              </w:rPr>
            </w:pPr>
            <w:r>
              <w:rPr>
                <w:rFonts w:ascii="Arial" w:cs="Arial" w:eastAsia="Arial" w:hAnsi="Arial"/>
                <w:sz w:val="18"/>
                <w:szCs w:val="18"/>
                <w:color w:val="auto"/>
              </w:rPr>
              <w:t>Income tax (benefit) provision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Deferred tax assets and liabilities are recognized based on temporary differences between the financial reporting and tax basis of assets and liabilities using future expected enacted rates. A valuation allowance is recorded against deferred tax assets if it is more likely than not that some or all of the deferred tax assets will not be realized.</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principal components of the deferred tax assets and liabilities at December 31, 2013 and 2012, respectively,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jc w:val="right"/>
              <w:ind w:right="178"/>
              <w:spacing w:after="0"/>
              <w:rPr>
                <w:sz w:val="20"/>
                <w:szCs w:val="20"/>
                <w:color w:val="auto"/>
              </w:rPr>
            </w:pPr>
            <w:r>
              <w:rPr>
                <w:rFonts w:ascii="Arial" w:cs="Arial" w:eastAsia="Arial" w:hAnsi="Arial"/>
                <w:sz w:val="14"/>
                <w:szCs w:val="14"/>
                <w:b w:val="1"/>
                <w:bCs w:val="1"/>
                <w:color w:val="auto"/>
                <w:w w:val="94"/>
              </w:rPr>
              <w:t>December 31,</w:t>
            </w: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(In</w:t>
            </w:r>
          </w:p>
        </w:tc>
        <w:tc>
          <w:tcPr>
            <w:tcW w:w="1120" w:type="dxa"/>
            <w:vAlign w:val="bottom"/>
            <w:gridSpan w:val="3"/>
          </w:tcPr>
          <w:p>
            <w:pPr>
              <w:jc w:val="right"/>
              <w:ind w:right="53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Assets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79,558</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67,728</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25,582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20,692</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Deferred Expenses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61,370</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43,226</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3,926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220" w:type="dxa"/>
            <w:vAlign w:val="bottom"/>
          </w:tcPr>
          <w:p>
            <w:pPr>
              <w:spacing w:after="0"/>
              <w:rPr>
                <w:sz w:val="18"/>
                <w:szCs w:val="18"/>
                <w:color w:val="auto"/>
              </w:rPr>
            </w:pPr>
          </w:p>
        </w:tc>
        <w:tc>
          <w:tcPr>
            <w:tcW w:w="900" w:type="dxa"/>
            <w:vAlign w:val="bottom"/>
            <w:gridSpan w:val="2"/>
          </w:tcPr>
          <w:p>
            <w:pPr>
              <w:jc w:val="right"/>
              <w:ind w:right="98"/>
              <w:spacing w:after="0"/>
              <w:rPr>
                <w:sz w:val="20"/>
                <w:szCs w:val="20"/>
                <w:color w:val="auto"/>
              </w:rPr>
            </w:pPr>
            <w:r>
              <w:rPr>
                <w:rFonts w:ascii="Arial" w:cs="Arial" w:eastAsia="Arial" w:hAnsi="Arial"/>
                <w:sz w:val="18"/>
                <w:szCs w:val="18"/>
                <w:color w:val="auto"/>
              </w:rPr>
              <w:t>1,638</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2,156</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w:t>
            </w:r>
          </w:p>
        </w:tc>
      </w:tr>
      <w:tr>
        <w:trPr>
          <w:trHeight w:val="210"/>
        </w:trPr>
        <w:tc>
          <w:tcPr>
            <w:tcW w:w="57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172,697</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137,307</w:t>
            </w:r>
          </w:p>
        </w:tc>
        <w:tc>
          <w:tcPr>
            <w:tcW w:w="16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Other Acquired Intangibles</w:t>
            </w:r>
          </w:p>
        </w:tc>
        <w:tc>
          <w:tcPr>
            <w:tcW w:w="22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(4,115)</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(4,481)</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IPR&amp;D Intangibles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r>
      <w:tr>
        <w:trPr>
          <w:trHeight w:val="210"/>
        </w:trPr>
        <w:tc>
          <w:tcPr>
            <w:tcW w:w="57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(8,776)</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(9,142)</w:t>
            </w:r>
          </w:p>
        </w:tc>
        <w:tc>
          <w:tcPr>
            <w:tcW w:w="160" w:type="dxa"/>
            <w:vAlign w:val="bottom"/>
          </w:tcPr>
          <w:p>
            <w:pPr>
              <w:spacing w:after="0"/>
              <w:rPr>
                <w:sz w:val="18"/>
                <w:szCs w:val="18"/>
                <w:color w:val="auto"/>
              </w:rPr>
            </w:pPr>
          </w:p>
        </w:tc>
      </w:tr>
      <w:tr>
        <w:trPr>
          <w:trHeight w:val="21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 and Liabilities</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163,921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128,165</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Deferred Tax Assets Valuation Allowance</w:t>
            </w:r>
          </w:p>
        </w:tc>
        <w:tc>
          <w:tcPr>
            <w:tcW w:w="220" w:type="dxa"/>
            <w:vAlign w:val="bottom"/>
          </w:tcPr>
          <w:p>
            <w:pPr>
              <w:spacing w:after="0"/>
              <w:rPr>
                <w:sz w:val="18"/>
                <w:szCs w:val="18"/>
                <w:color w:val="auto"/>
              </w:rPr>
            </w:pPr>
          </w:p>
        </w:tc>
        <w:tc>
          <w:tcPr>
            <w:tcW w:w="900" w:type="dxa"/>
            <w:vAlign w:val="bottom"/>
            <w:gridSpan w:val="2"/>
          </w:tcPr>
          <w:p>
            <w:pPr>
              <w:jc w:val="right"/>
              <w:ind w:right="38"/>
              <w:spacing w:after="0"/>
              <w:rPr>
                <w:sz w:val="20"/>
                <w:szCs w:val="20"/>
                <w:color w:val="auto"/>
              </w:rPr>
            </w:pPr>
            <w:r>
              <w:rPr>
                <w:rFonts w:ascii="Arial" w:cs="Arial" w:eastAsia="Arial" w:hAnsi="Arial"/>
                <w:sz w:val="18"/>
                <w:szCs w:val="18"/>
                <w:color w:val="auto"/>
              </w:rPr>
              <w:t>(168,582)</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(132,826)</w:t>
            </w:r>
          </w:p>
        </w:tc>
      </w:tr>
      <w:tr>
        <w:trPr>
          <w:trHeight w:val="20"/>
        </w:trPr>
        <w:tc>
          <w:tcPr>
            <w:tcW w:w="5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(Liability)</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w:t>
            </w: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net deferred tax liability of $4.7 million at December 31, 2013 and 2012 relates to the temporary differences associated with the IPR&amp;D intangible assets acquired in the CuraGen acquisition, which are not deductible for tax purposes.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2013, the Company had the following federal net operating loss ("NOL") carryforwards:</w:t>
      </w:r>
    </w:p>
    <w:p>
      <w:pPr>
        <w:spacing w:after="0" w:line="239" w:lineRule="exact"/>
        <w:rPr>
          <w:sz w:val="20"/>
          <w:szCs w:val="20"/>
          <w:color w:val="auto"/>
        </w:rPr>
      </w:pPr>
    </w:p>
    <w:p>
      <w:pPr>
        <w:ind w:left="1080" w:right="10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 merger of the Company and AVANT, $33.0 million was generated by the Company which expire at various dates starting in 2023 and going through 2028;</w:t>
      </w:r>
    </w:p>
    <w:p>
      <w:pPr>
        <w:spacing w:after="0" w:line="212"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the merger of the Company and AVANT, $101.2 million, net of expirations and utilization, was generated by AVANT which expire at various dates starting in 2018 and going through 2028. During the years ended, December 31, 2013 and 2012, NOLs of $0 and $16.4 million expired, respectively;</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Following the merger of the Company and AVANT, $131.7 million was generated by the combined company which expire at various dates starting in 2028 and going through 2033;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its acquisition by the Company, $518.3 million was generated by CuraGen.</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As of December 31, 2013, the Company has an additional $6.0 million of federal and state net operating losses not reflected above, that are attributable to stock option exercises which will be recorded as an increase in additional paid in capital on the consolidated balance sheet once they are "realized" in accordance with ASC 718.</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In general, an ownership change, as defined by Section 382 of the Internal Revenue Code, results from transactions increasing the ownership of certain shareholders or public groups in the stock of a corporation by more than 50 percentage points over a three-year period. Such ownership changes can significantly limit the amount of NOLs that may be utilized in future periods. The Company currently expects that it is remote that the CuraGen NOLs may be utilized and, as such, no related asset has been recorded for such losses. The Company has not completed an analysis of losses generated by AVANT, however, the Company believes it is remote that $60.8 million of the AVANT NOLs may be utilized in future periods and there may be substantial limitations on the Company's ability to use the remaining NOLs of $40.4 million. Following the merger of the Company and AVANT, the Company experienced changes in ownership as defined by Section 382 in June 2009 and December 2009. Further, prior to the AVANT merger, the Company as a stand alone company experienced a change in ownership in October 2007. As a result of the ownership change in October 2007, utilization of the Company's NOLs prior to October 2007 is subject to an annual limitation of $4.5 million on $28.3 million of NOLs generated before that date. As a result of the ownership changes in June 2009 and December 2009, there is an annual limitation amount of $6.0 million on $67.7 million NOLs. Any unused annual limitation may be carried over to later years, and the amount of the limitation may, under certain circumstances, be subject to adjustment if the fair value of the Company's net assets are determined to be below or in excess of the tax basis of such assets at the time of the ownership change, and such unrealized loss or gain is recognized during the five-year period after the ownership change.</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Similar to the AVANT and CuraGen NOL carryforwards above, the Company believes that it is not more likely than not that federal and state research and development ("R&amp;D") credits of $20.8 million and $14.4 million, respectively, will be utilized in the future periods. Further, the Company's ability to use the state NOLs of approximately $108.3 million and the remaining federal and state R&amp;D credit carryforwards of approximately $19.4 million and $9.3 million, respectively, may be substantially limited. These state NOLs and federal and state credits expire at various dates starting in 2016 going through 2033. The Company has not yet completed a study of these credits to substantiate the amounts. Until a study is completed, no amounts are being presented as an uncertain tax position.</w:t>
      </w:r>
    </w:p>
    <w:p>
      <w:pPr>
        <w:spacing w:after="0" w:line="19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Subsequent ownership changes, as defined in Section 382, could further limit the amount of net operating loss carryforwards and research and development credits that can be utilized annually to offset future taxable income.</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Company applies the authoritative guidance on account for and disclosure of uncertainty in income tax positions which requires the Company to determine whether an income tax position of the Company is more likely than not to be sustained upon examination, including resolution of any related appeals or litigation processes, based on the technical merits of the position. For income tax positions meeting the more likely than not threshold, the tax amount recognized in the financial statements is reduced to the largest benefit that has a greater than fifty perfect likelihood of being realized upon the ultimate settlement with the relevant taxing authority. At December 31, 2013 and 2012, we had no unrecognized tax benefits. A full valuation allowance has been provided against our deferred tax assets and liabilities and, if an adjustment is required, this adjustment would be offset by an adjustment to the valuation allowance. Thus, there would be no impact to the consolidated balance sheet or statement of operations if an adjustment were required.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Massachusetts, New Jersey and Connecticut are the three states in which the Company primarily operates or has operated and has income tax nexus. The Company is not currently under examination by any other jurisdictions for any tax year.</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which are comprised principally of net operating loss carryforwards, capitalized R&amp;D expenditures and R&amp;D tax credit carryforwards. The Company has determined that it is more likely than not that it will not recognize the benefits of federal and state deferred tax assets and, as a result, a full valuation allowance was maintained at December 31, 2013 against the Company's net deferred tax assets.</w:t>
      </w:r>
    </w:p>
    <w:p>
      <w:pPr>
        <w:spacing w:after="0" w:line="197"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American Taxpayer Relief Act of 2012 was enacted on January 2, 2013 under which the federal research and development credit was retroactively extended for amounts paid or incurred after December 31, 2011 through December 31, 2013. The effects of the change in the tax law were recognized in the first quarter of 2013, which is the quarter in which the law was enacted.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 has facility and equipment leases that expire at various dates through 2019. Certain of these facility leases contain renewal options, early termination provisions, and provisions that escalate the base rent payments and require the Company to pay common area maintenance costs ("CAM") during the lease term. The following obligations for base rent and CAM costs under facility and other non-cancelable operating leases as of December 31, 2013 do not include the exercise of renewal terms or early termination provisions (in thousands):</w:t>
      </w:r>
    </w:p>
    <w:p>
      <w:pPr>
        <w:spacing w:after="0" w:line="1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2,863</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1,765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r>
      <w:tr>
        <w:trPr>
          <w:trHeight w:val="20"/>
        </w:trPr>
        <w:tc>
          <w:tcPr>
            <w:tcW w:w="7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10,876</w:t>
            </w:r>
          </w:p>
        </w:tc>
      </w:tr>
      <w:tr>
        <w:trPr>
          <w:trHeight w:val="20"/>
        </w:trPr>
        <w:tc>
          <w:tcPr>
            <w:tcW w:w="7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Company's total rent and CAM expense for all facility leases was $2.7 million, $2.5 million and $2.5 million for the years ended December 31, 2013, 2012 and 2011,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RETIREMENT SAVINGS PLAN</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maintains a 401(k) Plan which is available to substantially all employees. Under the terms of the 401(k) Plan, participants may elect to contribute up to 15% of their compensation, or the statutory prescribed limits. The Company may make 50% matching contributions on up to 4% of a participant's annual salary. Benefit expense for the 401(k) Plan was $0.3 million, $0.2 million and $0.2 million for the years ended December 31, 2013, 2012 and 2011,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2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SELECTED QUARTERLY FINANCIAL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2013</w:t>
            </w:r>
          </w:p>
        </w:tc>
        <w:tc>
          <w:tcPr>
            <w:tcW w:w="3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Q1 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Q2 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Q3 2013</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2013</w:t>
            </w:r>
          </w:p>
        </w:tc>
        <w:tc>
          <w:tcPr>
            <w:tcW w:w="1880" w:type="dxa"/>
            <w:vAlign w:val="bottom"/>
            <w:gridSpan w:val="2"/>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60" w:type="dxa"/>
            <w:vAlign w:val="bottom"/>
          </w:tcPr>
          <w:p>
            <w:pPr>
              <w:spacing w:after="0"/>
              <w:rPr>
                <w:sz w:val="12"/>
                <w:szCs w:val="12"/>
                <w:color w:val="auto"/>
              </w:rPr>
            </w:pPr>
          </w:p>
        </w:tc>
        <w:tc>
          <w:tcPr>
            <w:tcW w:w="452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2,414</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(17,332)</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(19,016)</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(23,140)</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(22,062)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net loss per common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720" w:type="dxa"/>
            <w:vAlign w:val="bottom"/>
          </w:tcPr>
          <w:p>
            <w:pPr>
              <w:spacing w:after="0"/>
              <w:rPr>
                <w:sz w:val="18"/>
                <w:szCs w:val="18"/>
                <w:color w:val="auto"/>
              </w:rPr>
            </w:pPr>
          </w:p>
        </w:tc>
      </w:tr>
      <w:tr>
        <w:trPr>
          <w:trHeight w:val="797"/>
        </w:trPr>
        <w:tc>
          <w:tcPr>
            <w:tcW w:w="1720" w:type="dxa"/>
            <w:vAlign w:val="bottom"/>
          </w:tcPr>
          <w:p>
            <w:pPr>
              <w:spacing w:after="0"/>
              <w:rPr>
                <w:sz w:val="24"/>
                <w:szCs w:val="24"/>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2012</w:t>
            </w:r>
          </w:p>
        </w:tc>
        <w:tc>
          <w:tcPr>
            <w:tcW w:w="3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Q1 2012</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Q2 2012</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Q3 2012</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Q4 2012</w:t>
            </w:r>
          </w:p>
        </w:tc>
        <w:tc>
          <w:tcPr>
            <w:tcW w:w="1880" w:type="dxa"/>
            <w:vAlign w:val="bottom"/>
            <w:gridSpan w:val="2"/>
          </w:tcPr>
          <w:p>
            <w:pPr>
              <w:spacing w:after="0"/>
              <w:rPr>
                <w:sz w:val="24"/>
                <w:szCs w:val="24"/>
                <w:color w:val="auto"/>
              </w:rPr>
            </w:pPr>
          </w:p>
        </w:tc>
      </w:tr>
      <w:tr>
        <w:trPr>
          <w:trHeight w:val="142"/>
        </w:trPr>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80"/>
              <w:spacing w:after="0" w:line="142" w:lineRule="exact"/>
              <w:rPr>
                <w:sz w:val="20"/>
                <w:szCs w:val="20"/>
                <w:color w:val="auto"/>
              </w:rPr>
            </w:pPr>
            <w:r>
              <w:rPr>
                <w:rFonts w:ascii="Arial" w:cs="Arial" w:eastAsia="Arial" w:hAnsi="Arial"/>
                <w:sz w:val="14"/>
                <w:szCs w:val="14"/>
                <w:b w:val="1"/>
                <w:bCs w:val="1"/>
                <w:color w:val="auto"/>
                <w:w w:val="81"/>
              </w:rPr>
              <w:t>(In</w:t>
            </w:r>
          </w:p>
        </w:tc>
        <w:tc>
          <w:tcPr>
            <w:tcW w:w="160" w:type="dxa"/>
            <w:vAlign w:val="bottom"/>
          </w:tcPr>
          <w:p>
            <w:pPr>
              <w:spacing w:after="0"/>
              <w:rPr>
                <w:sz w:val="12"/>
                <w:szCs w:val="12"/>
                <w:color w:val="auto"/>
              </w:rPr>
            </w:pPr>
          </w:p>
        </w:tc>
        <w:tc>
          <w:tcPr>
            <w:tcW w:w="4520" w:type="dxa"/>
            <w:vAlign w:val="bottom"/>
            <w:gridSpan w:val="10"/>
          </w:tcPr>
          <w:p>
            <w:pPr>
              <w:spacing w:after="0" w:line="142" w:lineRule="exact"/>
              <w:rPr>
                <w:sz w:val="20"/>
                <w:szCs w:val="20"/>
                <w:color w:val="auto"/>
              </w:rPr>
            </w:pPr>
            <w:r>
              <w:rPr>
                <w:rFonts w:ascii="Arial" w:cs="Arial" w:eastAsia="Arial" w:hAnsi="Arial"/>
                <w:sz w:val="14"/>
                <w:szCs w:val="14"/>
                <w:b w:val="1"/>
                <w:bCs w:val="1"/>
                <w:color w:val="auto"/>
              </w:rPr>
              <w:t>thousands, except per share amounts)</w:t>
            </w: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(13,516)</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(13,773)</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(15,027)</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(16,807)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net loss per common share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December 31, 2013,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December 31, 2013.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under the Exchange Act as the process designed by, or under the supervision of, our Chief Executive Officer and Chief Financial Officer, and effected by our board of directors, management and other personnel, to provide reasonable assurance regarding the reliability of our financial reporting and the preparation of our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assets;</w:t>
      </w:r>
    </w:p>
    <w:p>
      <w:pPr>
        <w:spacing w:after="0" w:line="275"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authorizations of management and directors; 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 reasonable assurance regarding the prevention or timely detection of unauthorized acquisition, use or disposition of assets that could have a material effect on our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provided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(1992) </w:t>
      </w:r>
      <w:r>
        <w:rPr>
          <w:rFonts w:ascii="Arial" w:cs="Arial" w:eastAsia="Arial" w:hAnsi="Arial"/>
          <w:sz w:val="18"/>
          <w:szCs w:val="18"/>
          <w:color w:val="auto"/>
        </w:rPr>
        <w:t>issued by the Committee of Sponsoring Organizations of the Treadway Commission. Based on this evaluation, our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December 31,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2013 has been audited by PricewaterhouseCoopers LLP, an independent registered public accounting firm, as stated in their report, which is included herein.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December 31, 2013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information required by this Item 10 will be included in the definitive Proxy Statement for our 2014 Annual Meeting of Stockholders, or the 2014 Proxy Statement, under "Information Regarding the Current Directors and Executive Officers of Celldex Therapeutic, Inc.," "Section 16(a) Beneficial Ownership Reporting Compliance," "Code of Business Conduct and Ethics" and "The Board of Directors and Its Committees" and is incorporated herein by reference. If the 2014 Proxy Statement is not filed with the SEC within 120 days after the end of our most recent fiscal year, we will provide such information by means of an amendment to this Annual Report on Form 10-K.</w:t>
      </w:r>
    </w:p>
    <w:p>
      <w:pPr>
        <w:spacing w:after="0" w:line="19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information required by this Item 11 will be included in the 2014 Proxy Statement under "Executive Compensation," and "Compensation Committee Interlocks and Insider Participation," and is incorporated herein by reference. If the 2014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information required by this Item 12 will be included in the 2014 Proxy Statement under "Security Ownership of Certain Beneficial Owners and Management" and "Equity Compensation Plan Information" and is incorporated herein by reference. If the 2014 Proxy Statement is not filed with the SEC within 120 days after the end of our most recent fiscal year, we will provide such information by means of an amendment to this Annual Report on Form 10-K.</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right="480" w:firstLine="348"/>
        <w:spacing w:after="0" w:line="306" w:lineRule="auto"/>
        <w:rPr>
          <w:sz w:val="20"/>
          <w:szCs w:val="20"/>
          <w:color w:val="auto"/>
        </w:rPr>
      </w:pPr>
      <w:r>
        <w:rPr>
          <w:rFonts w:ascii="Arial" w:cs="Arial" w:eastAsia="Arial" w:hAnsi="Arial"/>
          <w:sz w:val="16"/>
          <w:szCs w:val="16"/>
          <w:color w:val="auto"/>
        </w:rPr>
        <w:t>The information required by this Item 13 will be included in the 2014 Proxy Statement under "Election of Directors" and "Approval of Related Person Transactions and Transactions with Related Persons" and is incorporated herein by reference. If the 2014 Proxy Statement is not filed with the SEC within 120 days after the end of our most recent fiscal year, we will provide such information by means of an amendment to this Annual Report on Form 10-K.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information required by this Item 14 will be included in the 2014 Proxy Statement under "Independent Registered Public Accounting Firm" and is incorporated herein by reference. If the 2014 Proxy Statement is not filed with the SEC within 120 days after the end of our most recent fiscal year, we will provide such information by means of an amendment to this Annual Report on Form 10-K.</w:t>
      </w:r>
    </w:p>
    <w:p>
      <w:pPr>
        <w:spacing w:after="0" w:line="194"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84" w:right="71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Form 10-K:</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Financial Statements and Supplementary Data are included in Part II Item 8 of this report.</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Schedules are omitted since the required information is not applicable or is not present in amounts sufficient to require submission of the schedule, or because the information required is included in the Consolidated Financial Statements or Notes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20" w:type="dxa"/>
            <w:vAlign w:val="bottom"/>
          </w:tcPr>
          <w:p>
            <w:pPr>
              <w:jc w:val="right"/>
              <w:ind w:right="72"/>
              <w:spacing w:after="0"/>
              <w:rPr>
                <w:sz w:val="20"/>
                <w:szCs w:val="20"/>
                <w:color w:val="auto"/>
              </w:rPr>
            </w:pPr>
            <w:r>
              <w:rPr>
                <w:rFonts w:ascii="Arial" w:cs="Arial" w:eastAsia="Arial" w:hAnsi="Arial"/>
                <w:sz w:val="18"/>
                <w:szCs w:val="18"/>
                <w:i w:val="1"/>
                <w:iCs w:val="1"/>
                <w:color w:val="auto"/>
              </w:rPr>
              <w:t>(3)</w:t>
            </w:r>
          </w:p>
        </w:tc>
        <w:tc>
          <w:tcPr>
            <w:tcW w:w="860" w:type="dxa"/>
            <w:vAlign w:val="bottom"/>
            <w:gridSpan w:val="2"/>
          </w:tcPr>
          <w:p>
            <w:pPr>
              <w:jc w:val="right"/>
              <w:spacing w:after="0"/>
              <w:rPr>
                <w:sz w:val="20"/>
                <w:szCs w:val="20"/>
                <w:color w:val="auto"/>
              </w:rPr>
            </w:pPr>
            <w:r>
              <w:rPr>
                <w:rFonts w:ascii="Arial" w:cs="Arial" w:eastAsia="Arial" w:hAnsi="Arial"/>
                <w:sz w:val="18"/>
                <w:szCs w:val="18"/>
                <w:i w:val="1"/>
                <w:iCs w:val="1"/>
                <w:color w:val="auto"/>
              </w:rPr>
              <w:t>Exhibits:</w:t>
            </w:r>
          </w:p>
        </w:tc>
        <w:tc>
          <w:tcPr>
            <w:tcW w:w="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2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6"/>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c>
          <w:tcPr>
            <w:tcW w:w="114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5680" w:type="dxa"/>
            <w:vAlign w:val="bottom"/>
            <w:gridSpan w:val="2"/>
          </w:tcPr>
          <w:p>
            <w:pPr>
              <w:ind w:left="2420"/>
              <w:spacing w:after="0"/>
              <w:rPr>
                <w:sz w:val="20"/>
                <w:szCs w:val="20"/>
                <w:color w:val="auto"/>
              </w:rPr>
            </w:pPr>
            <w:r>
              <w:rPr>
                <w:rFonts w:ascii="Arial" w:cs="Arial" w:eastAsia="Arial" w:hAnsi="Arial"/>
                <w:sz w:val="14"/>
                <w:szCs w:val="14"/>
                <w:b w:val="1"/>
                <w:bCs w:val="1"/>
                <w:color w:val="auto"/>
              </w:rPr>
              <w:t>Description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186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i w:val="1"/>
                <w:iCs w:val="1"/>
                <w:color w:val="auto"/>
                <w:w w:val="92"/>
              </w:rPr>
              <w:t>Plan of</w:t>
            </w:r>
          </w:p>
        </w:tc>
        <w:tc>
          <w:tcPr>
            <w:tcW w:w="16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Acquisition, Reorganization, Arrangement, Liquidation or Succession</w:t>
            </w:r>
          </w:p>
        </w:tc>
        <w:tc>
          <w:tcPr>
            <w:tcW w:w="18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October 19, 2007,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c>
          <w:tcPr>
            <w:tcW w:w="11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AVANT, Celldex Merger Corporation, and Celldex Therapeutics, Inc.</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7"/>
              </w:rPr>
              <w:t>Agreement and Plan of Merger, dated as of May 28, 2009, by and among</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2.1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5/29/09</w:t>
            </w:r>
          </w:p>
        </w:tc>
        <w:tc>
          <w:tcPr>
            <w:tcW w:w="11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Celldex Therapeutics, Inc., CuraGen Corporation and Cottrell Merger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Sub, Inc.</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Articles of Incorporation and By-Laws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Second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7/16/98</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(333-59215)</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Third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5/10/02</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Fourth Certificate of Amendment of Third Restated Certificate of</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Fifth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3/11/08</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w w:val="93"/>
              </w:rPr>
              <w:t>Sixth Certificate of Amendment of Third Restated Certificate of Incorporation</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11/10/08</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Amended and Restated By-Laws as of March 14,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3/18/08</w:t>
            </w:r>
          </w:p>
        </w:tc>
        <w:tc>
          <w:tcPr>
            <w:tcW w:w="1140" w:type="dxa"/>
            <w:vAlign w:val="bottom"/>
          </w:tcPr>
          <w:p>
            <w:pPr>
              <w:spacing w:after="0"/>
              <w:rPr>
                <w:sz w:val="24"/>
                <w:szCs w:val="24"/>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3"/>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4"/>
          </w:tcPr>
          <w:p>
            <w:pPr>
              <w:ind w:left="80"/>
              <w:spacing w:after="0"/>
              <w:rPr>
                <w:sz w:val="20"/>
                <w:szCs w:val="20"/>
                <w:color w:val="auto"/>
              </w:rPr>
            </w:pPr>
            <w:r>
              <w:rPr>
                <w:rFonts w:ascii="Arial" w:cs="Arial" w:eastAsia="Arial" w:hAnsi="Arial"/>
                <w:sz w:val="18"/>
                <w:szCs w:val="18"/>
                <w:i w:val="1"/>
                <w:iCs w:val="1"/>
                <w:color w:val="auto"/>
              </w:rPr>
              <w:t>Instruments Defining the Rights of Security Holders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840" w:type="dxa"/>
            <w:vAlign w:val="bottom"/>
            <w:gridSpan w:val="3"/>
          </w:tcPr>
          <w:p>
            <w:pPr>
              <w:ind w:left="160"/>
              <w:spacing w:after="0"/>
              <w:rPr>
                <w:sz w:val="20"/>
                <w:szCs w:val="20"/>
                <w:color w:val="auto"/>
              </w:rPr>
            </w:pPr>
            <w:r>
              <w:rPr>
                <w:rFonts w:ascii="Arial" w:cs="Arial" w:eastAsia="Arial" w:hAnsi="Arial"/>
                <w:sz w:val="18"/>
                <w:szCs w:val="18"/>
                <w:color w:val="auto"/>
              </w:rPr>
              <w:t>Specimen of Common Stock Certificate</w:t>
            </w:r>
          </w:p>
        </w:tc>
        <w:tc>
          <w:tcPr>
            <w:tcW w:w="1120" w:type="dxa"/>
            <w:vAlign w:val="bottom"/>
          </w:tcPr>
          <w:p>
            <w:pPr>
              <w:jc w:val="center"/>
              <w:spacing w:after="0"/>
              <w:rPr>
                <w:sz w:val="20"/>
                <w:szCs w:val="20"/>
                <w:color w:val="auto"/>
              </w:rPr>
            </w:pPr>
            <w:r>
              <w:rPr>
                <w:rFonts w:ascii="Arial" w:cs="Arial" w:eastAsia="Arial" w:hAnsi="Arial"/>
                <w:sz w:val="18"/>
                <w:szCs w:val="18"/>
                <w:color w:val="auto"/>
                <w:w w:val="85"/>
              </w:rPr>
              <w:t>S-3</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4.13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c>
          <w:tcPr>
            <w:tcW w:w="1140" w:type="dxa"/>
            <w:vAlign w:val="bottom"/>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32"/>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60" w:type="dxa"/>
            <w:vAlign w:val="bottom"/>
            <w:gridSpan w:val="2"/>
          </w:tcPr>
          <w:p>
            <w:pPr>
              <w:ind w:left="3840"/>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9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spacing w:after="0" w:line="311" w:lineRule="exact"/>
        <w:rPr>
          <w:sz w:val="20"/>
          <w:szCs w:val="20"/>
          <w:color w:val="auto"/>
        </w:rPr>
      </w:pPr>
    </w:p>
    <w:p>
      <w:pPr>
        <w:ind w:left="160"/>
        <w:spacing w:after="0"/>
        <w:tabs>
          <w:tab w:leader="none" w:pos="3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39960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360"/>
        <w:spacing w:after="0"/>
        <w:tabs>
          <w:tab w:leader="none" w:pos="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color w:val="auto"/>
        </w:rPr>
        <w:t>Shareholder Rights Agreement dated November 5, 2004</w:t>
      </w:r>
    </w:p>
    <w:p>
      <w:pPr>
        <w:spacing w:after="0" w:line="200" w:lineRule="exact"/>
        <w:rPr>
          <w:sz w:val="20"/>
          <w:szCs w:val="20"/>
          <w:color w:val="auto"/>
        </w:rPr>
      </w:pPr>
    </w:p>
    <w:p>
      <w:pPr>
        <w:spacing w:after="0" w:line="260"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Amendment No. 1 to Shareholder Rights Agreement dated October 19, 2007</w:t>
      </w:r>
    </w:p>
    <w:p>
      <w:pPr>
        <w:spacing w:after="0" w:line="200" w:lineRule="exact"/>
        <w:rPr>
          <w:sz w:val="20"/>
          <w:szCs w:val="20"/>
          <w:color w:val="auto"/>
        </w:rPr>
      </w:pPr>
    </w:p>
    <w:p>
      <w:pPr>
        <w:spacing w:after="0" w:line="268"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Amendment No. 2 to Shareholder Rights Agreement dated March 7, 2008</w:t>
      </w:r>
    </w:p>
    <w:p>
      <w:pPr>
        <w:spacing w:after="0" w:line="200" w:lineRule="exact"/>
        <w:rPr>
          <w:sz w:val="20"/>
          <w:szCs w:val="20"/>
          <w:color w:val="auto"/>
        </w:rPr>
      </w:pPr>
    </w:p>
    <w:p>
      <w:pPr>
        <w:spacing w:after="0" w:line="268" w:lineRule="exact"/>
        <w:rPr>
          <w:sz w:val="20"/>
          <w:szCs w:val="20"/>
          <w:color w:val="auto"/>
        </w:rPr>
      </w:pPr>
    </w:p>
    <w:p>
      <w:pPr>
        <w:ind w:left="740" w:right="120" w:hanging="381"/>
        <w:spacing w:after="0" w:line="259" w:lineRule="auto"/>
        <w:tabs>
          <w:tab w:leader="none" w:pos="720" w:val="left"/>
        </w:tabs>
        <w:rPr>
          <w:sz w:val="20"/>
          <w:szCs w:val="20"/>
          <w:color w:val="auto"/>
        </w:rPr>
      </w:pPr>
      <w:r>
        <w:rPr>
          <w:rFonts w:ascii="Arial" w:cs="Arial" w:eastAsia="Arial" w:hAnsi="Arial"/>
          <w:sz w:val="18"/>
          <w:szCs w:val="18"/>
          <w:color w:val="auto"/>
        </w:rPr>
        <w:t>4.5</w:t>
        <w:tab/>
        <w:t>Certificate of Designations, Preferences and Rights of a Series of Preferred Stock classifying and designating the Series C-1 Junior Participating Cumulative Preferred Stock</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Contracts—Leases</w:t>
      </w:r>
    </w:p>
    <w:p>
      <w:pPr>
        <w:spacing w:after="0" w:line="15" w:lineRule="exact"/>
        <w:rPr>
          <w:sz w:val="20"/>
          <w:szCs w:val="20"/>
          <w:color w:val="auto"/>
        </w:rPr>
      </w:pPr>
    </w:p>
    <w:p>
      <w:pPr>
        <w:ind w:left="740" w:right="200" w:hanging="468"/>
        <w:spacing w:after="0" w:line="261" w:lineRule="auto"/>
        <w:tabs>
          <w:tab w:leader="none" w:pos="720" w:val="left"/>
        </w:tabs>
        <w:rPr>
          <w:sz w:val="20"/>
          <w:szCs w:val="20"/>
          <w:color w:val="auto"/>
        </w:rPr>
      </w:pPr>
      <w:r>
        <w:rPr>
          <w:rFonts w:ascii="Arial" w:cs="Arial" w:eastAsia="Arial" w:hAnsi="Arial"/>
          <w:sz w:val="18"/>
          <w:szCs w:val="18"/>
          <w:color w:val="auto"/>
        </w:rPr>
        <w:t>10.1</w:t>
        <w:tab/>
        <w:t>Commercial Lease Agreement of May 1, 1996 between the Company and Fourth Avenue Ventures Limited Partnership</w:t>
      </w:r>
    </w:p>
    <w:p>
      <w:pPr>
        <w:spacing w:after="0" w:line="219" w:lineRule="exact"/>
        <w:rPr>
          <w:sz w:val="20"/>
          <w:szCs w:val="20"/>
          <w:color w:val="auto"/>
        </w:rPr>
      </w:pPr>
    </w:p>
    <w:p>
      <w:pPr>
        <w:ind w:left="740" w:right="180" w:hanging="468"/>
        <w:spacing w:after="0" w:line="306" w:lineRule="auto"/>
        <w:tabs>
          <w:tab w:leader="none" w:pos="7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Extension of Lease Agreement of May 1, 1997 between the Company and DIV Needham 53 LLC (successor in interest to Fourth Avenue Ventures Limited Partnership) dated as of August 23, 2001</w:t>
      </w:r>
    </w:p>
    <w:p>
      <w:pPr>
        <w:spacing w:after="0" w:line="188" w:lineRule="exact"/>
        <w:rPr>
          <w:sz w:val="20"/>
          <w:szCs w:val="20"/>
          <w:color w:val="auto"/>
        </w:rPr>
      </w:pPr>
    </w:p>
    <w:p>
      <w:pPr>
        <w:ind w:left="260"/>
        <w:spacing w:after="0"/>
        <w:tabs>
          <w:tab w:leader="none" w:pos="7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color w:val="auto"/>
        </w:rPr>
        <w:t>First Amendment to Lease by and between the Company and DIV Needham</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53 LLC dated November 29, 2005</w:t>
      </w:r>
    </w:p>
    <w:p>
      <w:pPr>
        <w:spacing w:after="0" w:line="246" w:lineRule="exact"/>
        <w:rPr>
          <w:sz w:val="20"/>
          <w:szCs w:val="20"/>
          <w:color w:val="auto"/>
        </w:rPr>
      </w:pPr>
    </w:p>
    <w:p>
      <w:pPr>
        <w:ind w:left="740" w:right="360" w:hanging="556"/>
        <w:spacing w:after="0" w:line="370" w:lineRule="auto"/>
        <w:tabs>
          <w:tab w:leader="none" w:pos="7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Lease Agreement, by and between the Company and the Massachusetts Development Finance Agency, dated as of December 22, 2003</w:t>
      </w:r>
    </w:p>
    <w:p>
      <w:pPr>
        <w:spacing w:after="0" w:line="143" w:lineRule="exact"/>
        <w:rPr>
          <w:sz w:val="20"/>
          <w:szCs w:val="20"/>
          <w:color w:val="auto"/>
        </w:rPr>
      </w:pPr>
    </w:p>
    <w:p>
      <w:pPr>
        <w:ind w:left="740" w:right="240" w:hanging="468"/>
        <w:spacing w:after="0" w:line="332" w:lineRule="auto"/>
        <w:tabs>
          <w:tab w:leader="none" w:pos="7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First Amendment to Lease between Massachusetts Development Finance Agency and the Company dated March 17, 2005</w:t>
      </w:r>
    </w:p>
    <w:p>
      <w:pPr>
        <w:spacing w:after="0" w:line="166" w:lineRule="exact"/>
        <w:rPr>
          <w:sz w:val="20"/>
          <w:szCs w:val="20"/>
          <w:color w:val="auto"/>
        </w:rPr>
      </w:pPr>
    </w:p>
    <w:p>
      <w:pPr>
        <w:ind w:left="740" w:right="40" w:hanging="468"/>
        <w:spacing w:after="0" w:line="370" w:lineRule="auto"/>
        <w:tabs>
          <w:tab w:leader="none" w:pos="7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Second Amendment to Lease by and between the Company and the Massachusetts Development Finance Agency dated as of November 4, 2005</w:t>
      </w:r>
    </w:p>
    <w:p>
      <w:pPr>
        <w:spacing w:after="0" w:line="143" w:lineRule="exact"/>
        <w:rPr>
          <w:sz w:val="20"/>
          <w:szCs w:val="20"/>
          <w:color w:val="auto"/>
        </w:rPr>
      </w:pPr>
    </w:p>
    <w:p>
      <w:pPr>
        <w:ind w:left="740" w:right="180" w:hanging="468"/>
        <w:spacing w:after="0" w:line="332" w:lineRule="auto"/>
        <w:tabs>
          <w:tab w:leader="none" w:pos="7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Third Amendment to Lease between Massachusetts Development Finance Agency and the Company dated December 20, 2006</w:t>
      </w:r>
    </w:p>
    <w:p>
      <w:pPr>
        <w:spacing w:after="0" w:line="166" w:lineRule="exact"/>
        <w:rPr>
          <w:sz w:val="20"/>
          <w:szCs w:val="20"/>
          <w:color w:val="auto"/>
        </w:rPr>
      </w:pPr>
    </w:p>
    <w:p>
      <w:pPr>
        <w:ind w:left="740" w:right="220" w:hanging="468"/>
        <w:spacing w:after="0" w:line="332" w:lineRule="auto"/>
        <w:tabs>
          <w:tab w:leader="none" w:pos="72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Fifth Amendment to Lease between Massachusetts Development Finance Agency and the Company dated October 3, 2008</w:t>
      </w:r>
    </w:p>
    <w:p>
      <w:pPr>
        <w:spacing w:after="0" w:line="166" w:lineRule="exact"/>
        <w:rPr>
          <w:sz w:val="20"/>
          <w:szCs w:val="20"/>
          <w:color w:val="auto"/>
        </w:rPr>
      </w:pPr>
    </w:p>
    <w:p>
      <w:pPr>
        <w:ind w:left="740" w:right="200" w:hanging="468"/>
        <w:spacing w:after="0" w:line="332" w:lineRule="auto"/>
        <w:tabs>
          <w:tab w:leader="none" w:pos="7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Sixth Amendment to Lease between Massachusetts Development Finance Agency and the Company dated August 20, 2009</w:t>
      </w:r>
    </w:p>
    <w:p>
      <w:pPr>
        <w:spacing w:after="0" w:line="166" w:lineRule="exact"/>
        <w:rPr>
          <w:sz w:val="20"/>
          <w:szCs w:val="20"/>
          <w:color w:val="auto"/>
        </w:rPr>
      </w:pPr>
    </w:p>
    <w:p>
      <w:pPr>
        <w:ind w:left="740" w:right="360" w:hanging="556"/>
        <w:spacing w:after="0" w:line="370" w:lineRule="auto"/>
        <w:tabs>
          <w:tab w:leader="none" w:pos="7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Seventh Amendment to Lease by and between the Company and the Massachusetts Development Finance Agency dated as of June 22, 2010</w:t>
      </w:r>
    </w:p>
    <w:p>
      <w:pPr>
        <w:spacing w:after="0" w:line="11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2"/>
              </w:rPr>
              <w:t>8-A</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7"/>
              </w:rPr>
              <w:t>4.1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10/22/07</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rPr>
              <w:t>8-A/A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3/7/08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3.1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8/23/96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3/27/02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10.40</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4/30/04</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10.6</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3/16/06</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6120" w:space="300"/>
            <w:col w:w="2660"/>
          </w:cols>
          <w:pgMar w:left="1440" w:top="181" w:right="1379" w:bottom="1440" w:gutter="0" w:footer="0" w:header="0"/>
        </w:sectPr>
      </w:pPr>
    </w:p>
    <w:bookmarkStart w:id="95" w:name="page96"/>
    <w:bookmarkEnd w:id="95"/>
    <w:p>
      <w:pPr>
        <w:spacing w:after="0" w:line="311" w:lineRule="exact"/>
        <w:rPr>
          <w:sz w:val="20"/>
          <w:szCs w:val="20"/>
          <w:color w:val="auto"/>
        </w:rPr>
      </w:pPr>
    </w:p>
    <w:p>
      <w:pPr>
        <w:ind w:left="160"/>
        <w:spacing w:after="0"/>
        <w:tabs>
          <w:tab w:leader="none" w:pos="3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39960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740" w:right="860" w:hanging="550"/>
        <w:spacing w:after="0" w:line="259" w:lineRule="auto"/>
        <w:tabs>
          <w:tab w:leader="none" w:pos="720" w:val="left"/>
        </w:tabs>
        <w:rPr>
          <w:sz w:val="20"/>
          <w:szCs w:val="20"/>
          <w:color w:val="auto"/>
        </w:rPr>
      </w:pPr>
      <w:r>
        <w:rPr>
          <w:rFonts w:ascii="Arial" w:cs="Arial" w:eastAsia="Arial" w:hAnsi="Arial"/>
          <w:sz w:val="18"/>
          <w:szCs w:val="18"/>
          <w:color w:val="auto"/>
        </w:rPr>
        <w:t>10.11</w:t>
        <w:tab/>
        <w:t>Lease Agreement dated as of May 1, 2013 by and between Crown Perryville, LLC and the Company.</w:t>
      </w:r>
    </w:p>
    <w:p>
      <w:pPr>
        <w:spacing w:after="0" w:line="221" w:lineRule="exact"/>
        <w:rPr>
          <w:sz w:val="20"/>
          <w:szCs w:val="20"/>
          <w:color w:val="auto"/>
        </w:rPr>
      </w:pPr>
    </w:p>
    <w:p>
      <w:pPr>
        <w:ind w:left="80" w:right="420" w:hanging="43"/>
        <w:spacing w:after="0" w:line="286" w:lineRule="auto"/>
        <w:rPr>
          <w:sz w:val="20"/>
          <w:szCs w:val="20"/>
          <w:color w:val="auto"/>
        </w:rPr>
      </w:pPr>
      <w:r>
        <w:rPr>
          <w:rFonts w:ascii="Arial" w:cs="Arial" w:eastAsia="Arial" w:hAnsi="Arial"/>
          <w:sz w:val="16"/>
          <w:szCs w:val="16"/>
          <w:i w:val="1"/>
          <w:iCs w:val="1"/>
          <w:color w:val="auto"/>
        </w:rPr>
        <w:t xml:space="preserve">Material Contracts—License, Collaboration, Supply and Distribution Agreements </w:t>
      </w:r>
      <w:r>
        <w:rPr>
          <w:rFonts w:ascii="Arial" w:cs="Arial" w:eastAsia="Arial" w:hAnsi="Arial"/>
          <w:sz w:val="16"/>
          <w:szCs w:val="16"/>
          <w:color w:val="auto"/>
        </w:rPr>
        <w:t>*10.12 License Agreement dated as of November 1, 2005 by and between The</w:t>
      </w:r>
    </w:p>
    <w:p>
      <w:pPr>
        <w:ind w:left="740"/>
        <w:spacing w:after="0"/>
        <w:rPr>
          <w:sz w:val="20"/>
          <w:szCs w:val="20"/>
          <w:color w:val="auto"/>
        </w:rPr>
      </w:pPr>
      <w:r>
        <w:rPr>
          <w:rFonts w:ascii="Arial" w:cs="Arial" w:eastAsia="Arial" w:hAnsi="Arial"/>
          <w:sz w:val="18"/>
          <w:szCs w:val="18"/>
          <w:color w:val="auto"/>
        </w:rPr>
        <w:t>Rockefeller University and the Company</w:t>
      </w:r>
    </w:p>
    <w:p>
      <w:pPr>
        <w:spacing w:after="0" w:line="246" w:lineRule="exact"/>
        <w:rPr>
          <w:sz w:val="20"/>
          <w:szCs w:val="20"/>
          <w:color w:val="auto"/>
        </w:rPr>
      </w:pPr>
    </w:p>
    <w:p>
      <w:pPr>
        <w:ind w:left="740" w:right="780" w:hanging="644"/>
        <w:spacing w:after="0" w:line="268" w:lineRule="auto"/>
        <w:tabs>
          <w:tab w:leader="none" w:pos="720" w:val="left"/>
        </w:tabs>
        <w:rPr>
          <w:sz w:val="20"/>
          <w:szCs w:val="20"/>
          <w:color w:val="auto"/>
        </w:rPr>
      </w:pPr>
      <w:r>
        <w:rPr>
          <w:rFonts w:ascii="Arial" w:cs="Arial" w:eastAsia="Arial" w:hAnsi="Arial"/>
          <w:sz w:val="18"/>
          <w:szCs w:val="18"/>
          <w:color w:val="auto"/>
        </w:rPr>
        <w:t>*10.13</w:t>
        <w:tab/>
        <w:t>License Agreement dated September 1, 2006 by and between Duke University and the Company</w:t>
      </w:r>
    </w:p>
    <w:p>
      <w:pPr>
        <w:spacing w:after="0" w:line="213" w:lineRule="exact"/>
        <w:rPr>
          <w:sz w:val="20"/>
          <w:szCs w:val="20"/>
          <w:color w:val="auto"/>
        </w:rPr>
      </w:pPr>
    </w:p>
    <w:p>
      <w:pPr>
        <w:ind w:left="740" w:right="660" w:hanging="556"/>
        <w:spacing w:after="0" w:line="268" w:lineRule="auto"/>
        <w:tabs>
          <w:tab w:leader="none" w:pos="720" w:val="left"/>
        </w:tabs>
        <w:rPr>
          <w:sz w:val="20"/>
          <w:szCs w:val="20"/>
          <w:color w:val="auto"/>
        </w:rPr>
      </w:pPr>
      <w:r>
        <w:rPr>
          <w:rFonts w:ascii="Arial" w:cs="Arial" w:eastAsia="Arial" w:hAnsi="Arial"/>
          <w:sz w:val="18"/>
          <w:szCs w:val="18"/>
          <w:color w:val="auto"/>
        </w:rPr>
        <w:t>10.14</w:t>
        <w:tab/>
        <w:t>Amendment to License Agreement between Duke University and the Company dated April 2, 2008</w:t>
      </w:r>
    </w:p>
    <w:p>
      <w:pPr>
        <w:spacing w:after="0" w:line="213" w:lineRule="exact"/>
        <w:rPr>
          <w:sz w:val="20"/>
          <w:szCs w:val="20"/>
          <w:color w:val="auto"/>
        </w:rPr>
      </w:pPr>
    </w:p>
    <w:p>
      <w:pPr>
        <w:ind w:left="740" w:right="80" w:hanging="644"/>
        <w:spacing w:after="0" w:line="268" w:lineRule="auto"/>
        <w:tabs>
          <w:tab w:leader="none" w:pos="720" w:val="left"/>
        </w:tabs>
        <w:rPr>
          <w:sz w:val="20"/>
          <w:szCs w:val="20"/>
          <w:color w:val="auto"/>
        </w:rPr>
      </w:pPr>
      <w:r>
        <w:rPr>
          <w:rFonts w:ascii="Arial" w:cs="Arial" w:eastAsia="Arial" w:hAnsi="Arial"/>
          <w:sz w:val="18"/>
          <w:szCs w:val="18"/>
          <w:color w:val="auto"/>
        </w:rPr>
        <w:t>*10.15</w:t>
        <w:tab/>
        <w:t>License Agreement between Duke University, The Johns Hopkins University and the Company dated December 31, 2003</w:t>
      </w:r>
    </w:p>
    <w:p>
      <w:pPr>
        <w:spacing w:after="0" w:line="213" w:lineRule="exact"/>
        <w:rPr>
          <w:sz w:val="20"/>
          <w:szCs w:val="20"/>
          <w:color w:val="auto"/>
        </w:rPr>
      </w:pPr>
    </w:p>
    <w:p>
      <w:pPr>
        <w:ind w:left="740" w:right="420" w:hanging="644"/>
        <w:spacing w:after="0" w:line="332" w:lineRule="auto"/>
        <w:tabs>
          <w:tab w:leader="none" w:pos="7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Amendment to License Agreement between Duke University, The Johns Hopkins University and the Company dated April 2, 2008</w:t>
      </w:r>
    </w:p>
    <w:p>
      <w:pPr>
        <w:spacing w:after="0" w:line="166" w:lineRule="exact"/>
        <w:rPr>
          <w:sz w:val="20"/>
          <w:szCs w:val="20"/>
          <w:color w:val="auto"/>
        </w:rPr>
      </w:pPr>
    </w:p>
    <w:p>
      <w:pPr>
        <w:ind w:left="740" w:right="80" w:hanging="644"/>
        <w:spacing w:after="0" w:line="332" w:lineRule="auto"/>
        <w:tabs>
          <w:tab w:leader="none" w:pos="7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Assignment and License Agreement, as amended, dated April 6, 2004 by and among Medarex, Inc., GenPharm International, Inc. and the Company</w:t>
      </w:r>
    </w:p>
    <w:p>
      <w:pPr>
        <w:spacing w:after="0" w:line="166" w:lineRule="exact"/>
        <w:rPr>
          <w:sz w:val="20"/>
          <w:szCs w:val="20"/>
          <w:color w:val="auto"/>
        </w:rPr>
      </w:pPr>
    </w:p>
    <w:p>
      <w:pPr>
        <w:ind w:left="740" w:hanging="644"/>
        <w:spacing w:after="0" w:line="259" w:lineRule="auto"/>
        <w:tabs>
          <w:tab w:leader="none" w:pos="720" w:val="left"/>
        </w:tabs>
        <w:rPr>
          <w:sz w:val="20"/>
          <w:szCs w:val="20"/>
          <w:color w:val="auto"/>
        </w:rPr>
      </w:pPr>
      <w:r>
        <w:rPr>
          <w:rFonts w:ascii="Arial" w:cs="Arial" w:eastAsia="Arial" w:hAnsi="Arial"/>
          <w:sz w:val="18"/>
          <w:szCs w:val="18"/>
          <w:color w:val="auto"/>
        </w:rPr>
        <w:t>*10.18</w:t>
        <w:tab/>
        <w:t>Research and Commercialization Agreement, as amended, dated as of April 6, 2004 by and among Medarex, Inc., GenPharm International, Inc. and the Company</w:t>
      </w:r>
    </w:p>
    <w:p>
      <w:pPr>
        <w:spacing w:after="0" w:line="221" w:lineRule="exact"/>
        <w:rPr>
          <w:sz w:val="20"/>
          <w:szCs w:val="20"/>
          <w:color w:val="auto"/>
        </w:rPr>
      </w:pPr>
    </w:p>
    <w:p>
      <w:pPr>
        <w:ind w:left="740" w:right="120" w:hanging="644"/>
        <w:spacing w:after="0" w:line="268" w:lineRule="auto"/>
        <w:tabs>
          <w:tab w:leader="none" w:pos="720" w:val="left"/>
        </w:tabs>
        <w:rPr>
          <w:sz w:val="20"/>
          <w:szCs w:val="20"/>
          <w:color w:val="auto"/>
        </w:rPr>
      </w:pPr>
      <w:r>
        <w:rPr>
          <w:rFonts w:ascii="Arial" w:cs="Arial" w:eastAsia="Arial" w:hAnsi="Arial"/>
          <w:sz w:val="18"/>
          <w:szCs w:val="18"/>
          <w:color w:val="auto"/>
        </w:rPr>
        <w:t>*10.19</w:t>
        <w:tab/>
        <w:t>Supply Agreement dated August 18, 2006 by and between the Company and Biosyn</w:t>
      </w:r>
    </w:p>
    <w:p>
      <w:pPr>
        <w:spacing w:after="0" w:line="213" w:lineRule="exact"/>
        <w:rPr>
          <w:sz w:val="20"/>
          <w:szCs w:val="20"/>
          <w:color w:val="auto"/>
        </w:rPr>
      </w:pPr>
    </w:p>
    <w:p>
      <w:pPr>
        <w:ind w:left="740" w:right="120" w:hanging="644"/>
        <w:spacing w:after="0" w:line="259" w:lineRule="auto"/>
        <w:tabs>
          <w:tab w:leader="none" w:pos="720" w:val="left"/>
        </w:tabs>
        <w:rPr>
          <w:sz w:val="20"/>
          <w:szCs w:val="20"/>
          <w:color w:val="auto"/>
        </w:rPr>
      </w:pPr>
      <w:r>
        <w:rPr>
          <w:rFonts w:ascii="Arial" w:cs="Arial" w:eastAsia="Arial" w:hAnsi="Arial"/>
          <w:sz w:val="18"/>
          <w:szCs w:val="18"/>
          <w:color w:val="auto"/>
        </w:rPr>
        <w:t>*10.20</w:t>
        <w:tab/>
        <w:t>Research Collaboration and Commercialization Agreement effective October 20, 2006 between the Company and the Ludwig Institute for Cancer Research</w:t>
      </w:r>
    </w:p>
    <w:p>
      <w:pPr>
        <w:spacing w:after="0" w:line="221"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Exclusive Patent and Know-How License Agreement dated as of</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November 5, 2008 between the Company and the University of Southampton</w:t>
      </w:r>
    </w:p>
    <w:p>
      <w:pPr>
        <w:spacing w:after="0" w:line="269" w:lineRule="exact"/>
        <w:rPr>
          <w:sz w:val="20"/>
          <w:szCs w:val="20"/>
          <w:color w:val="auto"/>
        </w:rPr>
      </w:pPr>
    </w:p>
    <w:p>
      <w:pPr>
        <w:ind w:left="740" w:right="120" w:hanging="644"/>
        <w:spacing w:after="0" w:line="268" w:lineRule="auto"/>
        <w:tabs>
          <w:tab w:leader="none" w:pos="720" w:val="left"/>
        </w:tabs>
        <w:rPr>
          <w:sz w:val="20"/>
          <w:szCs w:val="20"/>
          <w:color w:val="auto"/>
        </w:rPr>
      </w:pPr>
      <w:r>
        <w:rPr>
          <w:rFonts w:ascii="Arial" w:cs="Arial" w:eastAsia="Arial" w:hAnsi="Arial"/>
          <w:sz w:val="18"/>
          <w:szCs w:val="18"/>
          <w:color w:val="auto"/>
        </w:rPr>
        <w:t>*10.22</w:t>
        <w:tab/>
        <w:t>License and Assignment Agreement, between Amgen Inc. and the Company dated March 16, 2009</w:t>
      </w:r>
    </w:p>
    <w:p>
      <w:pPr>
        <w:spacing w:after="0" w:line="213" w:lineRule="exact"/>
        <w:rPr>
          <w:sz w:val="20"/>
          <w:szCs w:val="20"/>
          <w:color w:val="auto"/>
        </w:rPr>
      </w:pPr>
    </w:p>
    <w:p>
      <w:pPr>
        <w:ind w:left="740" w:right="160" w:hanging="644"/>
        <w:spacing w:after="0" w:line="268" w:lineRule="auto"/>
        <w:tabs>
          <w:tab w:leader="none" w:pos="720" w:val="left"/>
        </w:tabs>
        <w:rPr>
          <w:sz w:val="20"/>
          <w:szCs w:val="20"/>
          <w:color w:val="auto"/>
        </w:rPr>
      </w:pPr>
      <w:r>
        <w:rPr>
          <w:rFonts w:ascii="Arial" w:cs="Arial" w:eastAsia="Arial" w:hAnsi="Arial"/>
          <w:sz w:val="18"/>
          <w:szCs w:val="18"/>
          <w:color w:val="auto"/>
        </w:rPr>
        <w:t>*10.23</w:t>
        <w:tab/>
        <w:t>Collaboration Agreement dated June 18, 2004 between Seattle Genetics and CuraGen</w:t>
      </w:r>
    </w:p>
    <w:p>
      <w:pPr>
        <w:spacing w:after="0" w:line="213" w:lineRule="exact"/>
        <w:rPr>
          <w:sz w:val="20"/>
          <w:szCs w:val="20"/>
          <w:color w:val="auto"/>
        </w:rPr>
      </w:pPr>
    </w:p>
    <w:p>
      <w:pPr>
        <w:ind w:left="740" w:right="40" w:hanging="644"/>
        <w:spacing w:after="0" w:line="268" w:lineRule="auto"/>
        <w:tabs>
          <w:tab w:leader="none" w:pos="720" w:val="left"/>
        </w:tabs>
        <w:rPr>
          <w:sz w:val="20"/>
          <w:szCs w:val="20"/>
          <w:color w:val="auto"/>
        </w:rPr>
      </w:pPr>
      <w:r>
        <w:rPr>
          <w:rFonts w:ascii="Arial" w:cs="Arial" w:eastAsia="Arial" w:hAnsi="Arial"/>
          <w:sz w:val="18"/>
          <w:szCs w:val="18"/>
          <w:color w:val="auto"/>
        </w:rPr>
        <w:t>*10.24</w:t>
        <w:tab/>
        <w:t>Second Restated Collaboration Agreement dated April 12, 2004 and amended October 19, 2004 between Abgenix Inc. and CuraGen</w:t>
      </w:r>
    </w:p>
    <w:p>
      <w:pPr>
        <w:spacing w:after="0" w:line="213" w:lineRule="exact"/>
        <w:rPr>
          <w:sz w:val="20"/>
          <w:szCs w:val="20"/>
          <w:color w:val="auto"/>
        </w:rPr>
      </w:pPr>
    </w:p>
    <w:p>
      <w:pPr>
        <w:ind w:left="740" w:right="980" w:hanging="556"/>
        <w:spacing w:after="0" w:line="268" w:lineRule="auto"/>
        <w:tabs>
          <w:tab w:leader="none" w:pos="720" w:val="left"/>
        </w:tabs>
        <w:rPr>
          <w:sz w:val="20"/>
          <w:szCs w:val="20"/>
          <w:color w:val="auto"/>
        </w:rPr>
      </w:pPr>
      <w:r>
        <w:rPr>
          <w:rFonts w:ascii="Arial" w:cs="Arial" w:eastAsia="Arial" w:hAnsi="Arial"/>
          <w:sz w:val="18"/>
          <w:szCs w:val="18"/>
          <w:color w:val="auto"/>
        </w:rPr>
        <w:t>10.25</w:t>
        <w:tab/>
        <w:t>Amgen Letter Agreement, by and between CuraGen and Amgen Fremont, Inc. dated May 2, 2009</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89"/>
              </w:rPr>
              <w:t>10-Q</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5"/>
              </w:rPr>
              <w:t>10.1</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5/03/13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4"/>
              </w:rPr>
              <w:t>10.11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10.13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5"/>
              </w:rPr>
              <w:t>S-4</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1/18/08</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90"/>
              </w:rPr>
              <w:t>(333-148291)</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3/2/09</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10-K/A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10.27</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10.28</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10.29</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6240" w:space="180"/>
            <w:col w:w="2660"/>
          </w:cols>
          <w:pgMar w:left="1440" w:top="181" w:right="1379" w:bottom="1440" w:gutter="0" w:footer="0" w:header="0"/>
        </w:sectPr>
      </w:pPr>
    </w:p>
    <w:bookmarkStart w:id="96" w:name="page97"/>
    <w:bookmarkEnd w:id="96"/>
    <w:p>
      <w:pPr>
        <w:spacing w:after="0" w:line="311" w:lineRule="exact"/>
        <w:rPr>
          <w:sz w:val="20"/>
          <w:szCs w:val="20"/>
          <w:color w:val="auto"/>
        </w:rPr>
      </w:pPr>
    </w:p>
    <w:p>
      <w:pPr>
        <w:ind w:left="160"/>
        <w:spacing w:after="0"/>
        <w:tabs>
          <w:tab w:leader="none" w:pos="314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39960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ind w:left="740" w:right="400" w:hanging="644"/>
        <w:spacing w:after="0" w:line="259" w:lineRule="auto"/>
        <w:tabs>
          <w:tab w:leader="none" w:pos="720" w:val="left"/>
        </w:tabs>
        <w:rPr>
          <w:sz w:val="20"/>
          <w:szCs w:val="20"/>
          <w:color w:val="auto"/>
        </w:rPr>
      </w:pPr>
      <w:r>
        <w:rPr>
          <w:rFonts w:ascii="Arial" w:cs="Arial" w:eastAsia="Arial" w:hAnsi="Arial"/>
          <w:sz w:val="18"/>
          <w:szCs w:val="18"/>
          <w:color w:val="auto"/>
        </w:rPr>
        <w:t>*10.26</w:t>
        <w:tab/>
        <w:t>Transfer and Termination Agreement, dated as of April 21, 2008 by and between TopoTarget A/S and CuraGen</w:t>
      </w:r>
    </w:p>
    <w:p>
      <w:pPr>
        <w:spacing w:after="0" w:line="221"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License Agreement between Medarex and Company dated September 17,</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2010</w:t>
      </w:r>
    </w:p>
    <w:p>
      <w:pPr>
        <w:spacing w:after="0" w:line="246" w:lineRule="exact"/>
        <w:rPr>
          <w:sz w:val="20"/>
          <w:szCs w:val="20"/>
          <w:color w:val="auto"/>
        </w:rPr>
      </w:pPr>
    </w:p>
    <w:p>
      <w:pPr>
        <w:jc w:val="center"/>
        <w:ind w:left="40" w:right="360"/>
        <w:spacing w:after="0" w:line="332" w:lineRule="auto"/>
        <w:rPr>
          <w:sz w:val="20"/>
          <w:szCs w:val="20"/>
          <w:color w:val="auto"/>
        </w:rPr>
      </w:pPr>
      <w:r>
        <w:rPr>
          <w:rFonts w:ascii="Arial" w:cs="Arial" w:eastAsia="Arial" w:hAnsi="Arial"/>
          <w:sz w:val="16"/>
          <w:szCs w:val="16"/>
          <w:color w:val="auto"/>
        </w:rPr>
        <w:t>10.28  Master Services Agreement dated March 29, 2010 by and between the Company and Prologue Research International, Inc. (Prologue)</w:t>
      </w:r>
    </w:p>
    <w:p>
      <w:pPr>
        <w:spacing w:after="0" w:line="166" w:lineRule="exact"/>
        <w:rPr>
          <w:sz w:val="20"/>
          <w:szCs w:val="20"/>
          <w:color w:val="auto"/>
        </w:rPr>
      </w:pPr>
    </w:p>
    <w:p>
      <w:pPr>
        <w:jc w:val="both"/>
        <w:ind w:left="740" w:right="560" w:hanging="556"/>
        <w:spacing w:after="0" w:line="259" w:lineRule="auto"/>
        <w:tabs>
          <w:tab w:leader="none" w:pos="720" w:val="left"/>
        </w:tabs>
        <w:rPr>
          <w:sz w:val="20"/>
          <w:szCs w:val="20"/>
          <w:color w:val="auto"/>
        </w:rPr>
      </w:pPr>
      <w:r>
        <w:rPr>
          <w:rFonts w:ascii="Arial" w:cs="Arial" w:eastAsia="Arial" w:hAnsi="Arial"/>
          <w:sz w:val="18"/>
          <w:szCs w:val="18"/>
          <w:color w:val="auto"/>
        </w:rPr>
        <w:t>10.29</w:t>
        <w:tab/>
        <w:t>Amendment to Master Services Agreement dated July 6, 2011 by and between the Company and Novella Clinical Inc. (formerly known as Prologue)</w:t>
      </w:r>
    </w:p>
    <w:p>
      <w:pPr>
        <w:spacing w:after="0" w:line="221" w:lineRule="exact"/>
        <w:rPr>
          <w:sz w:val="20"/>
          <w:szCs w:val="20"/>
          <w:color w:val="auto"/>
        </w:rPr>
      </w:pPr>
    </w:p>
    <w:p>
      <w:pPr>
        <w:ind w:left="740" w:hanging="556"/>
        <w:spacing w:after="0" w:line="268" w:lineRule="auto"/>
        <w:tabs>
          <w:tab w:leader="none" w:pos="720" w:val="left"/>
        </w:tabs>
        <w:rPr>
          <w:sz w:val="20"/>
          <w:szCs w:val="20"/>
          <w:color w:val="auto"/>
        </w:rPr>
      </w:pPr>
      <w:r>
        <w:rPr>
          <w:rFonts w:ascii="Arial" w:cs="Arial" w:eastAsia="Arial" w:hAnsi="Arial"/>
          <w:sz w:val="18"/>
          <w:szCs w:val="18"/>
          <w:color w:val="auto"/>
        </w:rPr>
        <w:t>10.30</w:t>
        <w:tab/>
        <w:t>Master Services Agreement dated May 6, 2013 by and between the Company and PPD Development, LLC</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Material Contracts—Stock Purchase, Financing and Credit Agreements</w:t>
      </w:r>
    </w:p>
    <w:p>
      <w:pPr>
        <w:spacing w:after="0" w:line="15" w:lineRule="exact"/>
        <w:rPr>
          <w:sz w:val="20"/>
          <w:szCs w:val="20"/>
          <w:color w:val="auto"/>
        </w:rPr>
      </w:pPr>
    </w:p>
    <w:p>
      <w:pPr>
        <w:ind w:left="180"/>
        <w:spacing w:after="0"/>
        <w:tabs>
          <w:tab w:leader="none" w:pos="72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5"/>
          <w:szCs w:val="15"/>
          <w:color w:val="auto"/>
        </w:rPr>
        <w:t>Sales Agreement, dated January 6, 2011, between Celldex Therapeutics, Inc.</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and Cantor Fitzgerald &amp; Co.</w:t>
      </w:r>
    </w:p>
    <w:p>
      <w:pPr>
        <w:spacing w:after="0" w:line="246" w:lineRule="exact"/>
        <w:rPr>
          <w:sz w:val="20"/>
          <w:szCs w:val="20"/>
          <w:color w:val="auto"/>
        </w:rPr>
      </w:pPr>
    </w:p>
    <w:p>
      <w:pPr>
        <w:ind w:left="740" w:right="20" w:hanging="556"/>
        <w:spacing w:after="0" w:line="259" w:lineRule="auto"/>
        <w:tabs>
          <w:tab w:leader="none" w:pos="720" w:val="left"/>
        </w:tabs>
        <w:rPr>
          <w:sz w:val="20"/>
          <w:szCs w:val="20"/>
          <w:color w:val="auto"/>
        </w:rPr>
      </w:pPr>
      <w:r>
        <w:rPr>
          <w:rFonts w:ascii="Arial" w:cs="Arial" w:eastAsia="Arial" w:hAnsi="Arial"/>
          <w:sz w:val="18"/>
          <w:szCs w:val="18"/>
          <w:color w:val="auto"/>
        </w:rPr>
        <w:t>10.32</w:t>
        <w:tab/>
        <w:t>Amendment No. 1 to Sales Agreement, dated January 6, 2011, between Celldex Therapeutics, Inc. and Cantor Fitzgerald &amp; Co., dated September 20, 2012</w:t>
      </w:r>
    </w:p>
    <w:p>
      <w:pPr>
        <w:spacing w:after="0" w:line="221" w:lineRule="exact"/>
        <w:rPr>
          <w:sz w:val="20"/>
          <w:szCs w:val="20"/>
          <w:color w:val="auto"/>
        </w:rPr>
      </w:pPr>
    </w:p>
    <w:p>
      <w:pPr>
        <w:ind w:left="80" w:right="980" w:hanging="43"/>
        <w:spacing w:after="0" w:line="332" w:lineRule="auto"/>
        <w:rPr>
          <w:sz w:val="20"/>
          <w:szCs w:val="20"/>
          <w:color w:val="auto"/>
        </w:rPr>
      </w:pPr>
      <w:r>
        <w:rPr>
          <w:rFonts w:ascii="Arial" w:cs="Arial" w:eastAsia="Arial" w:hAnsi="Arial"/>
          <w:sz w:val="16"/>
          <w:szCs w:val="16"/>
          <w:i w:val="1"/>
          <w:iCs w:val="1"/>
          <w:color w:val="auto"/>
        </w:rPr>
        <w:t xml:space="preserve">Material Contracts—Management Contracts and Compensatory Plans </w:t>
      </w:r>
      <w:r>
        <w:rPr>
          <w:rFonts w:ascii="Arial" w:cs="Arial" w:eastAsia="Arial" w:hAnsi="Arial"/>
          <w:sz w:val="16"/>
          <w:szCs w:val="16"/>
          <w:color w:val="auto"/>
        </w:rPr>
        <w:t>†10.33 2008 Stock Option and Incentive Plan, as amended and restated</w:t>
      </w:r>
    </w:p>
    <w:p>
      <w:pPr>
        <w:spacing w:after="0" w:line="382"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5"/>
          <w:szCs w:val="15"/>
          <w:color w:val="auto"/>
        </w:rPr>
        <w:t>2004 Employee Stock Purchase Plan, as amended and restated</w:t>
      </w:r>
    </w:p>
    <w:p>
      <w:pPr>
        <w:spacing w:after="0" w:line="200" w:lineRule="exact"/>
        <w:rPr>
          <w:sz w:val="20"/>
          <w:szCs w:val="20"/>
          <w:color w:val="auto"/>
        </w:rPr>
      </w:pPr>
    </w:p>
    <w:p>
      <w:pPr>
        <w:spacing w:after="0" w:line="268" w:lineRule="exact"/>
        <w:rPr>
          <w:sz w:val="20"/>
          <w:szCs w:val="20"/>
          <w:color w:val="auto"/>
        </w:rPr>
      </w:pPr>
    </w:p>
    <w:p>
      <w:pPr>
        <w:ind w:left="740" w:right="260" w:hanging="659"/>
        <w:spacing w:after="0" w:line="268" w:lineRule="auto"/>
        <w:tabs>
          <w:tab w:leader="none" w:pos="720" w:val="left"/>
        </w:tabs>
        <w:rPr>
          <w:sz w:val="20"/>
          <w:szCs w:val="20"/>
          <w:color w:val="auto"/>
        </w:rPr>
      </w:pPr>
      <w:r>
        <w:rPr>
          <w:rFonts w:ascii="Arial" w:cs="Arial" w:eastAsia="Arial" w:hAnsi="Arial"/>
          <w:sz w:val="18"/>
          <w:szCs w:val="18"/>
          <w:color w:val="auto"/>
        </w:rPr>
        <w:t>†10.35</w:t>
        <w:tab/>
        <w:t>Employment Agreement, dated as of January 1, 2013, by and between the Company and Anthony S. Marucci</w:t>
      </w:r>
    </w:p>
    <w:p>
      <w:pPr>
        <w:spacing w:after="0" w:line="213" w:lineRule="exact"/>
        <w:rPr>
          <w:sz w:val="20"/>
          <w:szCs w:val="20"/>
          <w:color w:val="auto"/>
        </w:rPr>
      </w:pPr>
    </w:p>
    <w:p>
      <w:pPr>
        <w:ind w:left="740" w:right="260" w:hanging="659"/>
        <w:spacing w:after="0" w:line="268" w:lineRule="auto"/>
        <w:tabs>
          <w:tab w:leader="none" w:pos="720" w:val="left"/>
        </w:tabs>
        <w:rPr>
          <w:sz w:val="20"/>
          <w:szCs w:val="20"/>
          <w:color w:val="auto"/>
        </w:rPr>
      </w:pPr>
      <w:r>
        <w:rPr>
          <w:rFonts w:ascii="Arial" w:cs="Arial" w:eastAsia="Arial" w:hAnsi="Arial"/>
          <w:sz w:val="18"/>
          <w:szCs w:val="18"/>
          <w:color w:val="auto"/>
        </w:rPr>
        <w:t>†10.36</w:t>
        <w:tab/>
        <w:t>Employment Agreement, dated as of January 1, 2013, by and between the Company and Avery W. Catlin</w:t>
      </w:r>
    </w:p>
    <w:p>
      <w:pPr>
        <w:spacing w:after="0" w:line="213" w:lineRule="exact"/>
        <w:rPr>
          <w:sz w:val="20"/>
          <w:szCs w:val="20"/>
          <w:color w:val="auto"/>
        </w:rPr>
      </w:pPr>
    </w:p>
    <w:p>
      <w:pPr>
        <w:ind w:left="740" w:right="260" w:hanging="659"/>
        <w:spacing w:after="0" w:line="268" w:lineRule="auto"/>
        <w:tabs>
          <w:tab w:leader="none" w:pos="720" w:val="left"/>
        </w:tabs>
        <w:rPr>
          <w:sz w:val="20"/>
          <w:szCs w:val="20"/>
          <w:color w:val="auto"/>
        </w:rPr>
      </w:pPr>
      <w:r>
        <w:rPr>
          <w:rFonts w:ascii="Arial" w:cs="Arial" w:eastAsia="Arial" w:hAnsi="Arial"/>
          <w:sz w:val="18"/>
          <w:szCs w:val="18"/>
          <w:color w:val="auto"/>
        </w:rPr>
        <w:t>†10.37</w:t>
        <w:tab/>
        <w:t>Employment Agreement, dated as of January 1, 2013, by and between the Company and Thomas Davis, MD</w:t>
      </w:r>
    </w:p>
    <w:p>
      <w:pPr>
        <w:spacing w:after="0" w:line="213" w:lineRule="exact"/>
        <w:rPr>
          <w:sz w:val="20"/>
          <w:szCs w:val="20"/>
          <w:color w:val="auto"/>
        </w:rPr>
      </w:pPr>
    </w:p>
    <w:p>
      <w:pPr>
        <w:ind w:left="740" w:right="260" w:hanging="659"/>
        <w:spacing w:after="0" w:line="268" w:lineRule="auto"/>
        <w:tabs>
          <w:tab w:leader="none" w:pos="720" w:val="left"/>
        </w:tabs>
        <w:rPr>
          <w:sz w:val="20"/>
          <w:szCs w:val="20"/>
          <w:color w:val="auto"/>
        </w:rPr>
      </w:pPr>
      <w:r>
        <w:rPr>
          <w:rFonts w:ascii="Arial" w:cs="Arial" w:eastAsia="Arial" w:hAnsi="Arial"/>
          <w:sz w:val="18"/>
          <w:szCs w:val="18"/>
          <w:color w:val="auto"/>
        </w:rPr>
        <w:t>†10.38</w:t>
        <w:tab/>
        <w:t>Employment Agreement, dated as of January 1, 2013, by and between the Company and Tibor Keler, Ph.D.</w:t>
      </w:r>
    </w:p>
    <w:p>
      <w:pPr>
        <w:spacing w:after="0" w:line="213" w:lineRule="exact"/>
        <w:rPr>
          <w:sz w:val="20"/>
          <w:szCs w:val="20"/>
          <w:color w:val="auto"/>
        </w:rPr>
      </w:pPr>
    </w:p>
    <w:p>
      <w:pPr>
        <w:ind w:left="740" w:right="260" w:hanging="659"/>
        <w:spacing w:after="0" w:line="268" w:lineRule="auto"/>
        <w:tabs>
          <w:tab w:leader="none" w:pos="720" w:val="left"/>
        </w:tabs>
        <w:rPr>
          <w:sz w:val="20"/>
          <w:szCs w:val="20"/>
          <w:color w:val="auto"/>
        </w:rPr>
      </w:pPr>
      <w:r>
        <w:rPr>
          <w:rFonts w:ascii="Arial" w:cs="Arial" w:eastAsia="Arial" w:hAnsi="Arial"/>
          <w:sz w:val="18"/>
          <w:szCs w:val="18"/>
          <w:color w:val="auto"/>
        </w:rPr>
        <w:t>†10.39</w:t>
        <w:tab/>
        <w:t>Employment Agreement, dated as of January 1, 2013, by and between the Company and Ronald A. Pepin, Ph.D.</w:t>
      </w:r>
    </w:p>
    <w:p>
      <w:pPr>
        <w:spacing w:after="0" w:line="213"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Form of Stock Option Agreement</w:t>
      </w:r>
    </w:p>
    <w:p>
      <w:pPr>
        <w:spacing w:after="0" w:line="200" w:lineRule="exact"/>
        <w:rPr>
          <w:sz w:val="20"/>
          <w:szCs w:val="20"/>
          <w:color w:val="auto"/>
        </w:rPr>
      </w:pPr>
    </w:p>
    <w:p>
      <w:pPr>
        <w:spacing w:after="0" w:line="268"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5"/>
          <w:szCs w:val="15"/>
          <w:color w:val="auto"/>
        </w:rPr>
        <w:t>CuraGen 2007 Stock Incentive Plan, amended and restated</w:t>
      </w:r>
    </w:p>
    <w:p>
      <w:pPr>
        <w:spacing w:after="0" w:line="200" w:lineRule="exact"/>
        <w:rPr>
          <w:sz w:val="20"/>
          <w:szCs w:val="20"/>
          <w:color w:val="auto"/>
        </w:rPr>
      </w:pPr>
    </w:p>
    <w:p>
      <w:pPr>
        <w:spacing w:after="0" w:line="268" w:lineRule="exact"/>
        <w:rPr>
          <w:sz w:val="20"/>
          <w:szCs w:val="20"/>
          <w:color w:val="auto"/>
        </w:rPr>
      </w:pPr>
    </w:p>
    <w:p>
      <w:pPr>
        <w:ind w:left="80"/>
        <w:spacing w:after="0"/>
        <w:tabs>
          <w:tab w:leader="none" w:pos="7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Form of Restricted Stock Award</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4"/>
          <w:szCs w:val="14"/>
          <w:b w:val="1"/>
          <w:bCs w:val="1"/>
          <w:color w:val="auto"/>
        </w:rPr>
        <w:t>Incorporated by Reference to</w:t>
      </w:r>
    </w:p>
    <w:tbl>
      <w:tblPr>
        <w:tblLayout w:type="fixed"/>
        <w:tblInd w:w="0" w:type="dxa"/>
        <w:tblCellMar>
          <w:top w:w="0" w:type="dxa"/>
          <w:left w:w="0" w:type="dxa"/>
          <w:bottom w:w="0" w:type="dxa"/>
          <w:right w:w="0" w:type="dxa"/>
        </w:tblCellMar>
      </w:tblPr>
      <w:tr>
        <w:trPr>
          <w:trHeight w:val="129"/>
        </w:trPr>
        <w:tc>
          <w:tcPr>
            <w:tcW w:w="11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01"/>
        </w:trPr>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4"/>
              </w:rPr>
              <w:t>10-K</w:t>
            </w:r>
          </w:p>
        </w:tc>
        <w:tc>
          <w:tcPr>
            <w:tcW w:w="160" w:type="dxa"/>
            <w:vAlign w:val="bottom"/>
          </w:tcPr>
          <w:p>
            <w:pPr>
              <w:spacing w:after="0"/>
              <w:rPr>
                <w:sz w:val="17"/>
                <w:szCs w:val="17"/>
                <w:color w:val="auto"/>
              </w:rPr>
            </w:pPr>
          </w:p>
        </w:tc>
        <w:tc>
          <w:tcPr>
            <w:tcW w:w="500" w:type="dxa"/>
            <w:vAlign w:val="bottom"/>
          </w:tcPr>
          <w:p>
            <w:pPr>
              <w:jc w:val="center"/>
              <w:spacing w:after="0" w:line="201" w:lineRule="exact"/>
              <w:rPr>
                <w:sz w:val="20"/>
                <w:szCs w:val="20"/>
                <w:color w:val="auto"/>
              </w:rPr>
            </w:pPr>
            <w:r>
              <w:rPr>
                <w:rFonts w:ascii="Arial" w:cs="Arial" w:eastAsia="Arial" w:hAnsi="Arial"/>
                <w:sz w:val="18"/>
                <w:szCs w:val="18"/>
                <w:color w:val="auto"/>
                <w:w w:val="88"/>
              </w:rPr>
              <w:t>10.30</w:t>
            </w:r>
          </w:p>
        </w:tc>
        <w:tc>
          <w:tcPr>
            <w:tcW w:w="16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12/23/10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6"/>
              </w:rPr>
              <w:t>11/3/11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91"/>
              </w:rPr>
              <w:t>8/6/13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669"/>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7"/>
              </w:rPr>
              <w:t>10.1.3</w:t>
            </w:r>
          </w:p>
        </w:tc>
        <w:tc>
          <w:tcPr>
            <w:tcW w:w="880" w:type="dxa"/>
            <w:vAlign w:val="bottom"/>
            <w:gridSpan w:val="2"/>
          </w:tcPr>
          <w:p>
            <w:pPr>
              <w:jc w:val="center"/>
              <w:ind w:left="72"/>
              <w:spacing w:after="0"/>
              <w:rPr>
                <w:sz w:val="20"/>
                <w:szCs w:val="20"/>
                <w:color w:val="auto"/>
              </w:rPr>
            </w:pPr>
            <w:r>
              <w:rPr>
                <w:rFonts w:ascii="Arial" w:cs="Arial" w:eastAsia="Arial" w:hAnsi="Arial"/>
                <w:sz w:val="18"/>
                <w:szCs w:val="18"/>
                <w:color w:val="auto"/>
                <w:w w:val="87"/>
              </w:rPr>
              <w:t>1/6/11</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9/24/12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885"/>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6/14/12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6/13/13</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10.3</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10.4</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10.5</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12/21/12</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2"/>
              </w:rPr>
              <w:t>8-K</w:t>
            </w:r>
          </w:p>
        </w:tc>
        <w:tc>
          <w:tcPr>
            <w:tcW w:w="660" w:type="dxa"/>
            <w:vAlign w:val="bottom"/>
            <w:gridSpan w:val="2"/>
          </w:tcPr>
          <w:p>
            <w:pPr>
              <w:jc w:val="center"/>
              <w:ind w:left="72"/>
              <w:spacing w:after="0"/>
              <w:rPr>
                <w:sz w:val="20"/>
                <w:szCs w:val="20"/>
                <w:color w:val="auto"/>
              </w:rPr>
            </w:pPr>
            <w:r>
              <w:rPr>
                <w:rFonts w:ascii="Arial" w:cs="Arial" w:eastAsia="Arial" w:hAnsi="Arial"/>
                <w:sz w:val="18"/>
                <w:szCs w:val="18"/>
                <w:color w:val="auto"/>
                <w:w w:val="85"/>
              </w:rPr>
              <w:t>10.1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1/25/10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10.41</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3"/>
        </w:trPr>
        <w:tc>
          <w:tcPr>
            <w:tcW w:w="11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660" w:type="dxa"/>
            <w:vAlign w:val="bottom"/>
            <w:gridSpan w:val="2"/>
          </w:tcPr>
          <w:p>
            <w:pPr>
              <w:jc w:val="center"/>
              <w:ind w:left="52"/>
              <w:spacing w:after="0"/>
              <w:rPr>
                <w:sz w:val="20"/>
                <w:szCs w:val="20"/>
                <w:color w:val="auto"/>
              </w:rPr>
            </w:pPr>
            <w:r>
              <w:rPr>
                <w:rFonts w:ascii="Arial" w:cs="Arial" w:eastAsia="Arial" w:hAnsi="Arial"/>
                <w:sz w:val="18"/>
                <w:szCs w:val="18"/>
                <w:color w:val="auto"/>
                <w:w w:val="88"/>
              </w:rPr>
              <w:t>10.42</w:t>
            </w:r>
          </w:p>
        </w:tc>
        <w:tc>
          <w:tcPr>
            <w:tcW w:w="88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3/12/10</w:t>
            </w:r>
          </w:p>
        </w:tc>
      </w:tr>
      <w:tr>
        <w:trPr>
          <w:trHeight w:val="22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(000-15006)</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ectPr>
          <w:pgSz w:w="11900" w:h="16838" w:orient="portrait"/>
          <w:cols w:equalWidth="0" w:num="2">
            <w:col w:w="6180" w:space="240"/>
            <w:col w:w="2660"/>
          </w:cols>
          <w:pgMar w:left="1440" w:top="181" w:right="1379" w:bottom="1440" w:gutter="0" w:footer="0" w:header="0"/>
        </w:sectPr>
      </w:pPr>
    </w:p>
    <w:bookmarkStart w:id="97" w:name="page98"/>
    <w:bookmarkEnd w:id="97"/>
    <w:p>
      <w:pPr>
        <w:spacing w:after="0" w:line="1" w:lineRule="exact"/>
        <w:rPr>
          <w:sz w:val="20"/>
          <w:szCs w:val="20"/>
          <w:color w:val="auto"/>
        </w:rPr>
      </w:pPr>
    </w:p>
    <w:tbl>
      <w:tblPr>
        <w:tblLayout w:type="fixed"/>
        <w:tblInd w:w="11"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Incorporated by Reference to</w:t>
            </w:r>
          </w:p>
        </w:tc>
      </w:tr>
      <w:tr>
        <w:trPr>
          <w:trHeight w:val="129"/>
        </w:trPr>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Form and</w:t>
            </w:r>
          </w:p>
        </w:tc>
        <w:tc>
          <w:tcPr>
            <w:tcW w:w="1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Exhibit</w:t>
            </w:r>
          </w:p>
        </w:tc>
        <w:tc>
          <w:tcPr>
            <w:tcW w:w="16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SEC</w:t>
            </w:r>
          </w:p>
        </w:tc>
      </w:tr>
      <w:tr>
        <w:trPr>
          <w:trHeight w:val="161"/>
        </w:trPr>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60" w:type="dxa"/>
            <w:vAlign w:val="bottom"/>
            <w:gridSpan w:val="2"/>
          </w:tcPr>
          <w:p>
            <w:pPr>
              <w:ind w:left="800"/>
              <w:spacing w:after="0"/>
              <w:rPr>
                <w:sz w:val="20"/>
                <w:szCs w:val="20"/>
                <w:color w:val="auto"/>
              </w:rPr>
            </w:pPr>
            <w:r>
              <w:rPr>
                <w:rFonts w:ascii="Arial" w:cs="Arial" w:eastAsia="Arial" w:hAnsi="Arial"/>
                <w:sz w:val="14"/>
                <w:szCs w:val="14"/>
                <w:b w:val="1"/>
                <w:bCs w:val="1"/>
                <w:color w:val="auto"/>
              </w:rPr>
              <w:t>Description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SEC File No.</w:t>
            </w:r>
          </w:p>
        </w:tc>
        <w:tc>
          <w:tcPr>
            <w:tcW w:w="1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Filing Date</w:t>
            </w:r>
          </w:p>
        </w:tc>
      </w:tr>
      <w:tr>
        <w:trPr>
          <w:trHeight w:val="216"/>
        </w:trPr>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5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List of Subsidiaries</w:t>
            </w:r>
          </w:p>
        </w:tc>
        <w:tc>
          <w:tcPr>
            <w:tcW w:w="16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444"/>
        </w:trPr>
        <w:tc>
          <w:tcPr>
            <w:tcW w:w="620" w:type="dxa"/>
            <w:vAlign w:val="bottom"/>
          </w:tcPr>
          <w:p>
            <w:pPr>
              <w:jc w:val="right"/>
              <w:spacing w:after="0"/>
              <w:rPr>
                <w:sz w:val="20"/>
                <w:szCs w:val="20"/>
                <w:color w:val="auto"/>
              </w:rPr>
            </w:pPr>
            <w:r>
              <w:rPr>
                <w:rFonts w:ascii="Arial" w:cs="Arial" w:eastAsia="Arial" w:hAnsi="Arial"/>
                <w:sz w:val="18"/>
                <w:szCs w:val="18"/>
                <w:color w:val="auto"/>
              </w:rPr>
              <w:t>23.1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w w:val="92"/>
              </w:rPr>
              <w:t>Consent of PricewaterhouseCoopers LLP, an Independent Registered Public</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Accounting Firm</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31.1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Certification of President and Chief Executive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31.2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Certification of Senior Vice President and Chief Financial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Filed herewith</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3"/>
        </w:trPr>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Section 1350 Certifications</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Furnished</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22"/>
        </w:trPr>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herewith</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+101</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Instance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+105</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59"/>
        </w:trPr>
        <w:tc>
          <w:tcPr>
            <w:tcW w:w="620" w:type="dxa"/>
            <w:vAlign w:val="bottom"/>
          </w:tcPr>
          <w:p>
            <w:pPr>
              <w:jc w:val="right"/>
              <w:spacing w:after="0"/>
              <w:rPr>
                <w:sz w:val="20"/>
                <w:szCs w:val="20"/>
                <w:color w:val="auto"/>
              </w:rPr>
            </w:pPr>
            <w:r>
              <w:rPr>
                <w:rFonts w:ascii="Arial" w:cs="Arial" w:eastAsia="Arial" w:hAnsi="Arial"/>
                <w:sz w:val="18"/>
                <w:szCs w:val="18"/>
                <w:color w:val="auto"/>
              </w:rPr>
              <w:t>+106</w:t>
            </w:r>
          </w:p>
        </w:tc>
        <w:tc>
          <w:tcPr>
            <w:tcW w:w="5820" w:type="dxa"/>
            <w:vAlign w:val="bottom"/>
            <w:gridSpan w:val="4"/>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0"/>
        </w:trPr>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3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221" w:lineRule="exact"/>
        <w:rPr>
          <w:sz w:val="20"/>
          <w:szCs w:val="20"/>
          <w:color w:val="auto"/>
        </w:rPr>
      </w:pPr>
    </w:p>
    <w:p>
      <w:pPr>
        <w:ind w:left="531" w:hanging="531"/>
        <w:spacing w:after="0" w:line="268" w:lineRule="auto"/>
        <w:tabs>
          <w:tab w:leader="none" w:pos="531"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provisions of this Exhibit pursuant to Rule 24b-2 promulgated under the Securities Exchange Act of 1934, as amended.</w:t>
      </w:r>
    </w:p>
    <w:p>
      <w:pPr>
        <w:spacing w:after="0" w:line="213" w:lineRule="exact"/>
        <w:rPr>
          <w:sz w:val="20"/>
          <w:szCs w:val="20"/>
          <w:color w:val="auto"/>
        </w:rPr>
      </w:pPr>
    </w:p>
    <w:p>
      <w:pPr>
        <w:ind w:left="531" w:hanging="531"/>
        <w:spacing w:after="0"/>
        <w:tabs>
          <w:tab w:leader="none" w:pos="5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239" w:lineRule="exact"/>
        <w:rPr>
          <w:sz w:val="20"/>
          <w:szCs w:val="20"/>
          <w:color w:val="auto"/>
        </w:rPr>
      </w:pPr>
    </w:p>
    <w:p>
      <w:pPr>
        <w:ind w:left="531" w:right="20" w:hanging="531"/>
        <w:spacing w:after="0" w:line="332" w:lineRule="auto"/>
        <w:tabs>
          <w:tab w:leader="none" w:pos="53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XBRL information is being furnished and not filed for purposes of Section 18 of the Securities Exchange Act of 1934, as amended, and is not incorporated by reference into any registration statement under the Securities Act of 1933, as amended.</w:t>
      </w:r>
    </w:p>
    <w:p>
      <w:pPr>
        <w:spacing w:after="0" w:line="139"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11"/>
          </w:cols>
          <w:pgMar w:left="1389" w:top="181" w:right="39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CELLDEX THERAPEUTICS, INC.</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5040" w:type="dxa"/>
            <w:vAlign w:val="bottom"/>
          </w:tcPr>
          <w:p>
            <w:pPr>
              <w:ind w:left="4660"/>
              <w:spacing w:after="0"/>
              <w:rPr>
                <w:sz w:val="20"/>
                <w:szCs w:val="20"/>
                <w:color w:val="auto"/>
              </w:rPr>
            </w:pPr>
            <w:r>
              <w:rPr>
                <w:rFonts w:ascii="Arial" w:cs="Arial" w:eastAsia="Arial" w:hAnsi="Arial"/>
                <w:sz w:val="18"/>
                <w:szCs w:val="18"/>
                <w:color w:val="auto"/>
              </w:rPr>
              <w:t>By:</w:t>
            </w:r>
          </w:p>
        </w:tc>
        <w:tc>
          <w:tcPr>
            <w:tcW w:w="414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0" w:type="dxa"/>
            <w:vAlign w:val="bottom"/>
          </w:tcPr>
          <w:p>
            <w:pPr>
              <w:spacing w:after="0"/>
              <w:rPr>
                <w:sz w:val="1"/>
                <w:szCs w:val="1"/>
                <w:color w:val="auto"/>
              </w:rPr>
            </w:pPr>
          </w:p>
        </w:tc>
      </w:tr>
      <w:tr>
        <w:trPr>
          <w:trHeight w:val="218"/>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Date</w:t>
            </w:r>
          </w:p>
        </w:tc>
        <w:tc>
          <w:tcPr>
            <w:tcW w:w="4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5040" w:type="dxa"/>
            <w:vAlign w:val="bottom"/>
            <w:vMerge w:val="continue"/>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0"/>
              </w:rPr>
              <w:t>Anthony S. Marucci</w:t>
            </w: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March 3, 2014</w:t>
            </w:r>
          </w:p>
        </w:tc>
        <w:tc>
          <w:tcPr>
            <w:tcW w:w="4140" w:type="dxa"/>
            <w:vAlign w:val="bottom"/>
          </w:tcPr>
          <w:p>
            <w:pPr>
              <w:jc w:val="center"/>
              <w:spacing w:after="0"/>
              <w:rPr>
                <w:sz w:val="20"/>
                <w:szCs w:val="20"/>
                <w:color w:val="auto"/>
              </w:rPr>
            </w:pPr>
            <w:r>
              <w:rPr>
                <w:rFonts w:ascii="Arial" w:cs="Arial" w:eastAsia="Arial" w:hAnsi="Arial"/>
                <w:sz w:val="18"/>
                <w:szCs w:val="18"/>
                <w:i w:val="1"/>
                <w:iCs w:val="1"/>
                <w:color w:val="auto"/>
                <w:w w:val="88"/>
              </w:rPr>
              <w:t>President and Chief Executive Officer</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82" w:lineRule="exact"/>
        <w:rPr>
          <w:sz w:val="20"/>
          <w:szCs w:val="20"/>
          <w:color w:val="auto"/>
        </w:rPr>
      </w:pPr>
    </w:p>
    <w:p>
      <w:pPr>
        <w:ind w:left="2340"/>
        <w:spacing w:after="0"/>
        <w:tabs>
          <w:tab w:leader="none" w:pos="6440" w:val="left"/>
          <w:tab w:leader="none" w:pos="9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ANTHONY S. MARUCCI</w:t>
            </w:r>
          </w:p>
        </w:tc>
        <w:tc>
          <w:tcPr>
            <w:tcW w:w="4720" w:type="dxa"/>
            <w:vAlign w:val="bottom"/>
          </w:tcPr>
          <w:p>
            <w:pPr>
              <w:ind w:left="140"/>
              <w:spacing w:after="0"/>
              <w:rPr>
                <w:sz w:val="20"/>
                <w:szCs w:val="20"/>
                <w:color w:val="auto"/>
              </w:rPr>
            </w:pPr>
            <w:r>
              <w:rPr>
                <w:rFonts w:ascii="Arial" w:cs="Arial" w:eastAsia="Arial" w:hAnsi="Arial"/>
                <w:sz w:val="18"/>
                <w:szCs w:val="18"/>
                <w:color w:val="auto"/>
              </w:rPr>
              <w:t>President, Chief Executive Officer, and 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Executive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2"/>
              </w:rPr>
              <w:t>Anthony S. Marucci</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2"/>
              </w:rPr>
              <w:t>/s/ AVERY W. CATLIN</w:t>
            </w:r>
          </w:p>
        </w:tc>
        <w:tc>
          <w:tcPr>
            <w:tcW w:w="4720" w:type="dxa"/>
            <w:vAlign w:val="bottom"/>
          </w:tcPr>
          <w:p>
            <w:pPr>
              <w:ind w:left="140"/>
              <w:spacing w:after="0"/>
              <w:rPr>
                <w:sz w:val="20"/>
                <w:szCs w:val="20"/>
                <w:color w:val="auto"/>
              </w:rPr>
            </w:pPr>
            <w:r>
              <w:rPr>
                <w:rFonts w:ascii="Arial" w:cs="Arial" w:eastAsia="Arial" w:hAnsi="Arial"/>
                <w:sz w:val="18"/>
                <w:szCs w:val="18"/>
                <w:color w:val="auto"/>
                <w:w w:val="95"/>
              </w:rPr>
              <w:t>Senior Vice President, Chief Financial Officer and Treasurer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vMerge w:val="restart"/>
          </w:tcPr>
          <w:p>
            <w:pPr>
              <w:ind w:left="140"/>
              <w:spacing w:after="0"/>
              <w:rPr>
                <w:sz w:val="20"/>
                <w:szCs w:val="20"/>
                <w:color w:val="auto"/>
              </w:rPr>
            </w:pPr>
            <w:r>
              <w:rPr>
                <w:rFonts w:ascii="Arial" w:cs="Arial" w:eastAsia="Arial" w:hAnsi="Arial"/>
                <w:sz w:val="18"/>
                <w:szCs w:val="18"/>
                <w:color w:val="auto"/>
              </w:rPr>
              <w:t>(Principal Financial and Accounting Officer)</w:t>
            </w: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2960" w:type="dxa"/>
            <w:vAlign w:val="bottom"/>
            <w:vMerge w:val="restart"/>
          </w:tcPr>
          <w:p>
            <w:pPr>
              <w:jc w:val="center"/>
              <w:spacing w:after="0"/>
              <w:rPr>
                <w:sz w:val="20"/>
                <w:szCs w:val="20"/>
                <w:color w:val="auto"/>
              </w:rPr>
            </w:pPr>
            <w:r>
              <w:rPr>
                <w:rFonts w:ascii="Arial" w:cs="Arial" w:eastAsia="Arial" w:hAnsi="Arial"/>
                <w:sz w:val="18"/>
                <w:szCs w:val="18"/>
                <w:color w:val="auto"/>
                <w:w w:val="90"/>
              </w:rPr>
              <w:t>Avery W. Catlin</w:t>
            </w:r>
          </w:p>
        </w:tc>
        <w:tc>
          <w:tcPr>
            <w:tcW w:w="4720" w:type="dxa"/>
            <w:vAlign w:val="bottom"/>
            <w:vMerge w:val="continue"/>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6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LARRY ELLBERGER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 Chairman of the Board of Directors</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Larry Ellberger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HERBERT J. CONRAD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Herbert J. Conrad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/s/ GEORGE O. ELSTON</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George O. Elston</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/s/ HARRY H. PENNER, JR.</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Harry H. Penner, Jr.</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/s/ TIMOTHY M. SHANNON, M.D.</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Timothy M. Shannon, M.D.</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3"/>
              </w:rPr>
              <w:t>/s/ KAREN L. SHOOS</w:t>
            </w:r>
          </w:p>
        </w:tc>
        <w:tc>
          <w:tcPr>
            <w:tcW w:w="47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7"/>
              </w:rPr>
              <w:t>Karen L. Shoos</w:t>
            </w:r>
          </w:p>
        </w:tc>
        <w:tc>
          <w:tcPr>
            <w:tcW w:w="47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580" w:type="dxa"/>
            <w:vAlign w:val="bottom"/>
          </w:tcPr>
          <w:p>
            <w:pPr>
              <w:ind w:left="320"/>
              <w:spacing w:after="0"/>
              <w:rPr>
                <w:sz w:val="20"/>
                <w:szCs w:val="20"/>
                <w:color w:val="auto"/>
              </w:rPr>
            </w:pPr>
            <w:r>
              <w:rPr>
                <w:rFonts w:ascii="Arial" w:cs="Arial" w:eastAsia="Arial" w:hAnsi="Arial"/>
                <w:sz w:val="18"/>
                <w:szCs w:val="18"/>
                <w:color w:val="auto"/>
              </w:rPr>
              <w:t>March 3, 2014</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720" w:type="dxa"/>
            <w:vAlign w:val="bottom"/>
          </w:tcPr>
          <w:p>
            <w:pPr>
              <w:ind w:left="1500"/>
              <w:spacing w:after="0"/>
              <w:rPr>
                <w:sz w:val="20"/>
                <w:szCs w:val="20"/>
                <w:color w:val="auto"/>
              </w:rPr>
            </w:pPr>
            <w:r>
              <w:rPr>
                <w:rFonts w:ascii="Arial" w:cs="Arial" w:eastAsia="Arial" w:hAnsi="Arial"/>
                <w:sz w:val="18"/>
                <w:szCs w:val="18"/>
                <w:color w:val="auto"/>
              </w:rPr>
              <w:t>94</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CELLDEX THERAPEUTICS, INC. ANNUAL REPORT ON FORM 10-K YEAR ENDED DECEMBER 31, 2013</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Phase 2 Frontline Long-term Overall Survival Assessments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EMERGE: Overall Response Rate and Disease Control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EMERGE: Progression Free Survival (PFS) and Overall Survival (OS) Data</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Item 4. MINE SAFETY DISCLOSURES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right="20"/>
        <w:spacing w:after="0" w:line="268" w:lineRule="auto"/>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5. 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SECURITIES</w:t>
        </w:r>
      </w:hyperlink>
    </w:p>
    <w:p>
      <w:pPr>
        <w:spacing w:after="0" w:line="186" w:lineRule="exact"/>
        <w:rPr>
          <w:sz w:val="20"/>
          <w:szCs w:val="20"/>
          <w:color w:val="auto"/>
        </w:rPr>
      </w:pPr>
    </w:p>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CELLDEX THEAPEUTICS, INC., NASDAQ MARKET INDEX—U.S. AND PEER GROUP INDICES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Phase 2 Frontline Long-term Overall Survival Assessments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Interim ReACT Overall Survival and Progression-free Survival in Avastin-Naïve Recurrent GBM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EMERGE: Overall Response Rate and Disease Control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EMERGE: Progression Free Survival (PFS) and Overall Survival (OS) Data</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REPORT OF INDEPENDENT REGISTERED PUBLIC ACCOUNTING FIRM</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CELLDEX THERAPEUTICS, INC. CONSOLIDATED BALANCE SHEETS (In thousands, except share and per share amounts)</w:t>
        </w:r>
      </w:hyperlink>
    </w:p>
    <w:p>
      <w:pPr>
        <w:spacing w:after="0" w:line="9"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CELLDEX THERAPEUTICS, INC. CONSOLIDATED STATEMENTS OF OPERATIONS AND COMPREHENSIVE LOSS (In thousands, except per share</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amounts)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CELLDEX THERAPEUTICS, INC.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CELLDEX THERAPEUTICS, INC. NOTES TO CONSOLIDATED FINANCIAL STATEMENTS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9B. OTHER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4320"/>
        <w:spacing w:after="0" w:line="254" w:lineRule="auto"/>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Item 11. EXECUTIVE COMPENSATION</w:t>
        </w:r>
      </w:hyperlink>
    </w:p>
    <w:p>
      <w:pPr>
        <w:ind w:left="540"/>
        <w:spacing w:after="0" w:line="255" w:lineRule="auto"/>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93">
        <w:r>
          <w:rPr>
            <w:rFonts w:ascii="Arial" w:cs="Arial" w:eastAsia="Arial" w:hAnsi="Arial"/>
            <w:sz w:val="18"/>
            <w:szCs w:val="18"/>
            <w:u w:val="single" w:color="auto"/>
            <w:color w:val="0000EE"/>
          </w:rPr>
          <w:t>Item 14. PRINCIPAL ACCOUNTING FEES AND SERVICES</w:t>
        </w:r>
      </w:hyperlink>
    </w:p>
    <w:p>
      <w:pPr>
        <w:spacing w:after="0" w:line="19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Item 15. EXHIBITS, FINANCIAL STATEMENT SCHEDULES</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SIGNATURES</w:t>
        </w:r>
      </w:hyperlink>
    </w:p>
    <w:p>
      <w:pPr>
        <w:sectPr>
          <w:pgSz w:w="11900" w:h="16838" w:orient="portrait"/>
          <w:cols w:equalWidth="0" w:num="1">
            <w:col w:w="11160"/>
          </w:cols>
          <w:pgMar w:left="240" w:top="820" w:right="499" w:bottom="1440" w:gutter="0" w:footer="0" w:header="0"/>
        </w:sectPr>
      </w:pPr>
    </w:p>
    <w:bookmarkStart w:id="100" w:name="page101"/>
    <w:bookmarkEnd w:id="100"/>
    <w:p>
      <w:pPr>
        <w:spacing w:after="0"/>
        <w:rPr>
          <w:rFonts w:ascii="Arial" w:cs="Arial" w:eastAsia="Arial" w:hAnsi="Arial"/>
          <w:sz w:val="22"/>
          <w:szCs w:val="22"/>
          <w:color w:val="0000EE"/>
        </w:rPr>
      </w:pPr>
      <w:hyperlink w:anchor="page1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400" w:type="dxa"/>
            <w:vAlign w:val="bottom"/>
          </w:tcPr>
          <w:p>
            <w:pPr>
              <w:ind w:left="440"/>
              <w:spacing w:after="0"/>
              <w:rPr>
                <w:sz w:val="20"/>
                <w:szCs w:val="20"/>
                <w:color w:val="auto"/>
              </w:rPr>
            </w:pPr>
            <w:r>
              <w:rPr>
                <w:rFonts w:ascii="Arial" w:cs="Arial" w:eastAsia="Arial" w:hAnsi="Arial"/>
                <w:sz w:val="18"/>
                <w:szCs w:val="18"/>
                <w:b w:val="1"/>
                <w:bCs w:val="1"/>
                <w:color w:val="auto"/>
                <w:w w:val="93"/>
              </w:rPr>
              <w:t>Exhibit 21.0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8000" w:type="dxa"/>
            <w:vAlign w:val="bottom"/>
            <w:gridSpan w:val="2"/>
          </w:tcPr>
          <w:p>
            <w:pPr>
              <w:ind w:left="128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367"/>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60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Arial" w:cs="Arial" w:eastAsia="Arial" w:hAnsi="Arial"/>
                <w:sz w:val="14"/>
                <w:szCs w:val="14"/>
                <w:b w:val="1"/>
                <w:bCs w:val="1"/>
                <w:color w:val="auto"/>
                <w:w w:val="90"/>
              </w:rPr>
              <w:t>State of Incorporation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Celldex Research Corporation</w:t>
            </w:r>
          </w:p>
        </w:tc>
        <w:tc>
          <w:tcPr>
            <w:tcW w:w="66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18"/>
        </w:trPr>
        <w:tc>
          <w:tcPr>
            <w:tcW w:w="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3040" w:type="dxa"/>
            <w:vAlign w:val="bottom"/>
            <w:tcBorders>
              <w:bottom w:val="single" w:sz="8" w:color="808080"/>
            </w:tcBorders>
          </w:tcPr>
          <w:p>
            <w:pPr>
              <w:spacing w:after="0"/>
              <w:rPr>
                <w:sz w:val="10"/>
                <w:szCs w:val="10"/>
                <w:color w:val="auto"/>
              </w:rPr>
            </w:pPr>
          </w:p>
        </w:tc>
        <w:tc>
          <w:tcPr>
            <w:tcW w:w="66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Exhibit 21.0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1">
        <w:r>
          <w:rPr>
            <w:rFonts w:ascii="Arial" w:cs="Arial" w:eastAsia="Arial" w:hAnsi="Arial"/>
            <w:sz w:val="16"/>
            <w:szCs w:val="16"/>
            <w:u w:val="single" w:color="auto"/>
            <w:color w:val="0000EE"/>
          </w:rPr>
          <w:t>LIST OF SUBSIDIARIES</w:t>
        </w:r>
      </w:hyperlink>
    </w:p>
    <w:p>
      <w:pPr>
        <w:sectPr>
          <w:pgSz w:w="11900" w:h="16838" w:orient="portrait"/>
          <w:cols w:equalWidth="0" w:num="1">
            <w:col w:w="10219"/>
          </w:cols>
          <w:pgMar w:left="240" w:top="820" w:right="1440" w:bottom="1440" w:gutter="0" w:footer="0" w:header="0"/>
        </w:sectPr>
      </w:pPr>
    </w:p>
    <w:bookmarkStart w:id="102" w:name="page103"/>
    <w:bookmarkEnd w:id="102"/>
    <w:p>
      <w:pPr>
        <w:spacing w:after="0"/>
        <w:rPr>
          <w:rFonts w:ascii="Arial" w:cs="Arial" w:eastAsia="Arial" w:hAnsi="Arial"/>
          <w:sz w:val="22"/>
          <w:szCs w:val="22"/>
          <w:color w:val="0000EE"/>
        </w:rPr>
      </w:pPr>
      <w:hyperlink w:anchor="page1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333-182142, 333-189336, 333-151728, 333-117602 and 333-162423) and on Form S-3 (No. 333-192640) of Celldex Therapeutics, Inc. of our report dated March 3, 2014 relating to the financial statements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04" w:name="page105"/>
    <w:bookmarkEnd w:id="104"/>
    <w:p>
      <w:pPr>
        <w:spacing w:after="0"/>
        <w:rPr>
          <w:rFonts w:ascii="Arial" w:cs="Arial" w:eastAsia="Arial" w:hAnsi="Arial"/>
          <w:sz w:val="22"/>
          <w:szCs w:val="22"/>
          <w:color w:val="0000EE"/>
        </w:rPr>
      </w:pPr>
      <w:hyperlink w:anchor="page1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720" w:hanging="361"/>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3, 2014</w:t>
            </w:r>
          </w:p>
        </w:tc>
        <w:tc>
          <w:tcPr>
            <w:tcW w:w="7320" w:type="dxa"/>
            <w:vAlign w:val="bottom"/>
            <w:gridSpan w:val="4"/>
          </w:tcPr>
          <w:p>
            <w:pPr>
              <w:ind w:left="1500"/>
              <w:spacing w:after="0"/>
              <w:rPr>
                <w:sz w:val="20"/>
                <w:szCs w:val="20"/>
                <w:color w:val="auto"/>
              </w:rPr>
            </w:pPr>
            <w:r>
              <w:rPr>
                <w:rFonts w:ascii="Arial" w:cs="Arial" w:eastAsia="Arial" w:hAnsi="Arial"/>
                <w:sz w:val="18"/>
                <w:szCs w:val="18"/>
                <w:color w:val="auto"/>
              </w:rPr>
              <w:t>By:   /s/ ANTHONY S. MARUCCI</w:t>
            </w:r>
          </w:p>
        </w:tc>
      </w:tr>
      <w:tr>
        <w:trPr>
          <w:trHeight w:val="97"/>
        </w:trPr>
        <w:tc>
          <w:tcPr>
            <w:tcW w:w="4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120"/>
        </w:trPr>
        <w:tc>
          <w:tcPr>
            <w:tcW w:w="4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5" w:name="page106"/>
    <w:bookmarkEnd w:id="1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105">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06" w:name="page107"/>
    <w:bookmarkEnd w:id="106"/>
    <w:p>
      <w:pPr>
        <w:spacing w:after="0"/>
        <w:rPr>
          <w:rFonts w:ascii="Arial" w:cs="Arial" w:eastAsia="Arial" w:hAnsi="Arial"/>
          <w:sz w:val="22"/>
          <w:szCs w:val="22"/>
          <w:color w:val="0000EE"/>
        </w:rPr>
      </w:pPr>
      <w:hyperlink w:anchor="page10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Avery W. Catlin, certify that:</w:t>
      </w:r>
    </w:p>
    <w:p>
      <w:pPr>
        <w:spacing w:after="0" w:line="225" w:lineRule="exact"/>
        <w:rPr>
          <w:sz w:val="20"/>
          <w:szCs w:val="20"/>
          <w:color w:val="auto"/>
        </w:rPr>
      </w:pPr>
    </w:p>
    <w:p>
      <w:pPr>
        <w:ind w:left="720" w:hanging="361"/>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Celldex Therapeutics, Inc.;</w:t>
      </w:r>
    </w:p>
    <w:p>
      <w:pPr>
        <w:spacing w:after="0" w:line="225" w:lineRule="exact"/>
        <w:rPr>
          <w:rFonts w:ascii="Arial" w:cs="Arial" w:eastAsia="Arial" w:hAnsi="Arial"/>
          <w:sz w:val="18"/>
          <w:szCs w:val="18"/>
          <w:color w:val="auto"/>
        </w:rPr>
      </w:pPr>
    </w:p>
    <w:p>
      <w:pPr>
        <w:ind w:right="500" w:firstLine="359"/>
        <w:spacing w:after="0" w:line="370" w:lineRule="auto"/>
        <w:tabs>
          <w:tab w:leader="none" w:pos="70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460" w:firstLine="359"/>
        <w:spacing w:after="0" w:line="332" w:lineRule="auto"/>
        <w:tabs>
          <w:tab w:leader="none" w:pos="70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left="700" w:hanging="341"/>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Exchange Act Rules 13a-15(e) and 15d-15(e)) and internal control over financial reporting (as defined in the Exchange Act Rules 13a-15(f) and 15d-15(f)) for the registrant and have:</w:t>
      </w:r>
    </w:p>
    <w:p>
      <w:pPr>
        <w:spacing w:after="0" w:line="191" w:lineRule="exact"/>
        <w:rPr>
          <w:rFonts w:ascii="Arial" w:cs="Arial" w:eastAsia="Arial" w:hAnsi="Arial"/>
          <w:sz w:val="16"/>
          <w:szCs w:val="16"/>
          <w:color w:val="auto"/>
        </w:rPr>
      </w:pPr>
    </w:p>
    <w:p>
      <w:pPr>
        <w:ind w:left="540" w:right="240" w:firstLine="359"/>
        <w:spacing w:after="0" w:line="259" w:lineRule="auto"/>
        <w:tabs>
          <w:tab w:leader="none" w:pos="12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600" w:firstLine="359"/>
        <w:spacing w:after="0" w:line="259" w:lineRule="auto"/>
        <w:tabs>
          <w:tab w:leader="none" w:pos="12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740" w:firstLine="359"/>
        <w:spacing w:after="0" w:line="332" w:lineRule="auto"/>
        <w:tabs>
          <w:tab w:leader="none" w:pos="121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60" w:firstLine="359"/>
        <w:spacing w:after="0" w:line="259" w:lineRule="auto"/>
        <w:tabs>
          <w:tab w:leader="none" w:pos="122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400" w:firstLine="359"/>
        <w:spacing w:after="0" w:line="332" w:lineRule="auto"/>
        <w:tabs>
          <w:tab w:leader="none" w:pos="69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140" w:firstLine="359"/>
        <w:spacing w:after="0" w:line="268" w:lineRule="auto"/>
        <w:tabs>
          <w:tab w:leader="none" w:pos="12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120" w:firstLine="359"/>
        <w:spacing w:after="0" w:line="268" w:lineRule="auto"/>
        <w:tabs>
          <w:tab w:leader="none" w:pos="12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00" w:type="dxa"/>
            <w:vAlign w:val="bottom"/>
          </w:tcPr>
          <w:p>
            <w:pPr>
              <w:ind w:left="1140"/>
              <w:spacing w:after="0"/>
              <w:rPr>
                <w:sz w:val="20"/>
                <w:szCs w:val="20"/>
                <w:color w:val="auto"/>
              </w:rPr>
            </w:pPr>
            <w:r>
              <w:rPr>
                <w:rFonts w:ascii="Arial" w:cs="Arial" w:eastAsia="Arial" w:hAnsi="Arial"/>
                <w:sz w:val="18"/>
                <w:szCs w:val="18"/>
                <w:color w:val="auto"/>
              </w:rPr>
              <w:t>Date: March 3, 2014</w:t>
            </w:r>
          </w:p>
        </w:tc>
        <w:tc>
          <w:tcPr>
            <w:tcW w:w="7320" w:type="dxa"/>
            <w:vAlign w:val="bottom"/>
            <w:gridSpan w:val="4"/>
          </w:tcPr>
          <w:p>
            <w:pPr>
              <w:ind w:left="1500"/>
              <w:spacing w:after="0"/>
              <w:rPr>
                <w:sz w:val="20"/>
                <w:szCs w:val="20"/>
                <w:color w:val="auto"/>
              </w:rPr>
            </w:pPr>
            <w:r>
              <w:rPr>
                <w:rFonts w:ascii="Arial" w:cs="Arial" w:eastAsia="Arial" w:hAnsi="Arial"/>
                <w:sz w:val="18"/>
                <w:szCs w:val="18"/>
                <w:color w:val="auto"/>
              </w:rPr>
              <w:t>By:   /s/ AVERY W. CATLIN</w:t>
            </w:r>
          </w:p>
        </w:tc>
      </w:tr>
      <w:tr>
        <w:trPr>
          <w:trHeight w:val="97"/>
        </w:trPr>
        <w:tc>
          <w:tcPr>
            <w:tcW w:w="410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c>
          <w:tcPr>
            <w:tcW w:w="1100" w:type="dxa"/>
            <w:vAlign w:val="bottom"/>
          </w:tcPr>
          <w:p>
            <w:pPr>
              <w:spacing w:after="0"/>
              <w:rPr>
                <w:sz w:val="8"/>
                <w:szCs w:val="8"/>
                <w:color w:val="auto"/>
              </w:rPr>
            </w:pPr>
          </w:p>
        </w:tc>
      </w:tr>
      <w:tr>
        <w:trPr>
          <w:trHeight w:val="282"/>
        </w:trPr>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Avery W. Catlin</w:t>
            </w:r>
          </w:p>
        </w:tc>
      </w:tr>
      <w:tr>
        <w:trPr>
          <w:trHeight w:val="216"/>
        </w:trPr>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4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740" w:type="dxa"/>
            <w:vAlign w:val="bottom"/>
            <w:gridSpan w:val="2"/>
          </w:tcPr>
          <w:p>
            <w:pPr>
              <w:ind w:left="140"/>
              <w:spacing w:after="0"/>
              <w:rPr>
                <w:sz w:val="20"/>
                <w:szCs w:val="20"/>
                <w:color w:val="auto"/>
              </w:rPr>
            </w:pPr>
            <w:r>
              <w:rPr>
                <w:rFonts w:ascii="Arial" w:cs="Arial" w:eastAsia="Arial" w:hAnsi="Arial"/>
                <w:sz w:val="18"/>
                <w:szCs w:val="18"/>
                <w:i w:val="1"/>
                <w:iCs w:val="1"/>
                <w:color w:val="auto"/>
              </w:rPr>
              <w:t>Chief Financial Officer</w:t>
            </w:r>
          </w:p>
        </w:tc>
      </w:tr>
      <w:tr>
        <w:trPr>
          <w:trHeight w:val="120"/>
        </w:trPr>
        <w:tc>
          <w:tcPr>
            <w:tcW w:w="4100" w:type="dxa"/>
            <w:vAlign w:val="bottom"/>
            <w:tcBorders>
              <w:bottom w:val="single" w:sz="8" w:color="808080"/>
            </w:tcBorders>
          </w:tcPr>
          <w:p>
            <w:pPr>
              <w:spacing w:after="0"/>
              <w:rPr>
                <w:sz w:val="10"/>
                <w:szCs w:val="10"/>
                <w:color w:val="auto"/>
              </w:rPr>
            </w:pPr>
          </w:p>
        </w:tc>
        <w:tc>
          <w:tcPr>
            <w:tcW w:w="19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36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7" w:name="page108"/>
    <w:bookmarkEnd w:id="10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Exhibit 31.2</w:t>
        </w:r>
      </w:hyperlink>
    </w:p>
    <w:p>
      <w:pPr>
        <w:sectPr>
          <w:pgSz w:w="11900" w:h="16838" w:orient="portrait"/>
          <w:cols w:equalWidth="0" w:num="1">
            <w:col w:w="10219"/>
          </w:cols>
          <w:pgMar w:left="240" w:top="820" w:right="1440" w:bottom="1440" w:gutter="0" w:footer="0" w:header="0"/>
        </w:sectPr>
      </w:pPr>
    </w:p>
    <w:bookmarkStart w:id="108" w:name="page109"/>
    <w:bookmarkEnd w:id="108"/>
    <w:p>
      <w:pPr>
        <w:spacing w:after="0"/>
        <w:rPr>
          <w:rFonts w:ascii="Arial" w:cs="Arial" w:eastAsia="Arial" w:hAnsi="Arial"/>
          <w:sz w:val="22"/>
          <w:szCs w:val="22"/>
          <w:color w:val="0000EE"/>
        </w:rPr>
      </w:pPr>
      <w:hyperlink w:anchor="page1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CHIEF FINANCIAL OFFICER PURSUANT TO</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of the undersigned hereby certifies, pursuant to 18 U.S.C. Section 1350, as adopted pursuant to Section 906 of the Sarbanes-Oxley Act of 2002, in his capacity as an officer of Celldex Therapeutics, Inc. (the "Company"), that, to his knowledge, the Annual Report of the Company on Form 10-K for the period ended December 31, 2013 (the "Form 10-K"), fully complies with the requirements of Section 13(a) or 15(d) of the Securities Exchange Act of 1934 (15 U.S.C. §78m or 78o(d)) and that the information contained in such report fairly presents, in all material respects, the financial condition and results of operations of the Company. This written statement is being furnished to the Securities and Exchange Commission as an exhibit to the Form 10-K. A signed original of this statement has been provided to the Company and will be retained by the Company and furnished to the Securities and Exchange Commission or its staff upon request.</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Date: March 3, 2014</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ANTHONY S. MARUCCI</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Anthony S. Marucci</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59"/>
        </w:trPr>
        <w:tc>
          <w:tcPr>
            <w:tcW w:w="2960" w:type="dxa"/>
            <w:vAlign w:val="bottom"/>
          </w:tcPr>
          <w:p>
            <w:pPr>
              <w:spacing w:after="0"/>
              <w:rPr>
                <w:sz w:val="20"/>
                <w:szCs w:val="20"/>
                <w:color w:val="auto"/>
              </w:rPr>
            </w:pPr>
            <w:r>
              <w:rPr>
                <w:rFonts w:ascii="Arial" w:cs="Arial" w:eastAsia="Arial" w:hAnsi="Arial"/>
                <w:sz w:val="18"/>
                <w:szCs w:val="18"/>
                <w:color w:val="auto"/>
              </w:rPr>
              <w:t>Date: March 3, 2014</w:t>
            </w:r>
          </w:p>
        </w:tc>
        <w:tc>
          <w:tcPr>
            <w:tcW w:w="1960" w:type="dxa"/>
            <w:vAlign w:val="bottom"/>
          </w:tcPr>
          <w:p>
            <w:pPr>
              <w:ind w:left="150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AVERY W. CATLIN</w:t>
            </w:r>
          </w:p>
        </w:tc>
      </w:tr>
      <w:tr>
        <w:trPr>
          <w:trHeight w:val="97"/>
        </w:trPr>
        <w:tc>
          <w:tcPr>
            <w:tcW w:w="2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282"/>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Avery W. Catlin</w:t>
            </w:r>
          </w:p>
        </w:tc>
      </w:tr>
      <w:tr>
        <w:trPr>
          <w:trHeight w:val="216"/>
        </w:trPr>
        <w:tc>
          <w:tcPr>
            <w:tcW w:w="29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Senior Vice President and</w:t>
            </w:r>
          </w:p>
        </w:tc>
      </w:tr>
      <w:tr>
        <w:trPr>
          <w:trHeight w:val="222"/>
        </w:trPr>
        <w:tc>
          <w:tcPr>
            <w:tcW w:w="29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ind w:left="14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10"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certification shall be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Exhibit 32</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109">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2"/>
    </w:lvl>
  </w:abstractNum>
  <w:abstractNum w:abstractNumId="23">
    <w:nsid w:val="3A95F874"/>
    <w:multiLevelType w:val="hybridMultilevel"/>
    <w:lvl w:ilvl="0">
      <w:lvlJc w:val="left"/>
      <w:lvlText w:val="(%1)"/>
      <w:numFmt w:val="decimal"/>
      <w:start w:val="15"/>
    </w:lvl>
  </w:abstractNum>
  <w:abstractNum w:abstractNumId="24">
    <w:nsid w:val="8138641"/>
    <w:multiLevelType w:val="hybridMultilevel"/>
    <w:lvl w:ilvl="0">
      <w:lvlJc w:val="left"/>
      <w:lvlText w:val="(%1)"/>
      <w:numFmt w:val="decimal"/>
      <w:start w:val="15"/>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1)"/>
      <w:numFmt w:val="upperLetter"/>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2"/>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2019-12-05T20:01:31Z</dcterms:created>
  <dcterms:modified xsi:type="dcterms:W3CDTF">2019-12-05T20:01:31Z</dcterms:modified>
</cp:coreProperties>
</file>