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794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LIPTON KAREN SHOOS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Celldex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CLDX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0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8"/>
                <w:szCs w:val="18"/>
                <w:color w:val="0000FF"/>
              </w:rPr>
              <w:t>C/O CELLDEX THERAPEUTICS, INC.</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06/19/2013</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119 FOURTH AVENUE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NEEDHAM</w:t>
            </w:r>
          </w:p>
        </w:tc>
        <w:tc>
          <w:tcPr>
            <w:tcW w:w="1240" w:type="dxa"/>
            <w:vAlign w:val="bottom"/>
            <w:gridSpan w:val="3"/>
          </w:tcPr>
          <w:p>
            <w:pPr>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02494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0"/>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40" w:type="dxa"/>
            <w:vAlign w:val="bottom"/>
            <w:gridSpan w:val="5"/>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gridSpan w:val="5"/>
          </w:tcPr>
          <w:p>
            <w:pPr>
              <w:jc w:val="center"/>
              <w:ind w:left="631"/>
              <w:spacing w:after="0"/>
              <w:rPr>
                <w:sz w:val="20"/>
                <w:szCs w:val="20"/>
                <w:color w:val="auto"/>
              </w:rPr>
            </w:pPr>
            <w:r>
              <w:rPr>
                <w:rFonts w:ascii="Arial" w:cs="Arial" w:eastAsia="Arial" w:hAnsi="Arial"/>
                <w:sz w:val="18"/>
                <w:szCs w:val="18"/>
                <w:color w:val="0000FF"/>
                <w:w w:val="88"/>
              </w:rPr>
              <w:t>06/19/2013</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2,000</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60" w:type="dxa"/>
            <w:vAlign w:val="bottom"/>
            <w:gridSpan w:val="2"/>
          </w:tcPr>
          <w:p>
            <w:pPr>
              <w:ind w:left="34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ind w:left="480"/>
              <w:spacing w:after="0"/>
              <w:rPr>
                <w:sz w:val="20"/>
                <w:szCs w:val="20"/>
                <w:color w:val="auto"/>
              </w:rPr>
            </w:pPr>
            <w:r>
              <w:rPr>
                <w:rFonts w:ascii="Arial" w:cs="Arial" w:eastAsia="Arial" w:hAnsi="Arial"/>
                <w:sz w:val="18"/>
                <w:szCs w:val="18"/>
                <w:color w:val="0000FF"/>
              </w:rPr>
              <w:t>13,333</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gridSpan w:val="5"/>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19"/>
          </w:tcPr>
          <w:p>
            <w:pPr>
              <w:ind w:left="1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90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15.2</w:t>
            </w:r>
          </w:p>
        </w:tc>
        <w:tc>
          <w:tcPr>
            <w:tcW w:w="160" w:type="dxa"/>
            <w:vAlign w:val="bottom"/>
          </w:tcPr>
          <w:p>
            <w:pPr>
              <w:spacing w:after="0"/>
              <w:rPr>
                <w:sz w:val="12"/>
                <w:szCs w:val="12"/>
                <w:color w:val="auto"/>
              </w:rPr>
            </w:pPr>
          </w:p>
        </w:tc>
        <w:tc>
          <w:tcPr>
            <w:tcW w:w="900" w:type="dxa"/>
            <w:vAlign w:val="bottom"/>
            <w:vMerge w:val="restart"/>
          </w:tcPr>
          <w:p>
            <w:pPr>
              <w:ind w:left="260"/>
              <w:spacing w:after="0"/>
              <w:rPr>
                <w:sz w:val="20"/>
                <w:szCs w:val="20"/>
                <w:color w:val="auto"/>
              </w:rPr>
            </w:pPr>
            <w:r>
              <w:rPr>
                <w:rFonts w:ascii="Arial" w:cs="Arial" w:eastAsia="Arial" w:hAnsi="Arial"/>
                <w:sz w:val="14"/>
                <w:szCs w:val="14"/>
                <w:color w:val="0000FF"/>
                <w:w w:val="88"/>
              </w:rPr>
              <w:t>06/19/2013</w:t>
            </w: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2,000</w:t>
            </w:r>
          </w:p>
        </w:tc>
        <w:tc>
          <w:tcPr>
            <w:tcW w:w="34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900" w:type="dxa"/>
            <w:vAlign w:val="bottom"/>
            <w:gridSpan w:val="3"/>
            <w:vMerge w:val="restart"/>
          </w:tcPr>
          <w:p>
            <w:pPr>
              <w:ind w:left="160"/>
              <w:spacing w:after="0"/>
              <w:rPr>
                <w:sz w:val="20"/>
                <w:szCs w:val="20"/>
                <w:color w:val="auto"/>
              </w:rPr>
            </w:pPr>
            <w:r>
              <w:rPr>
                <w:rFonts w:ascii="Arial" w:cs="Arial" w:eastAsia="Arial" w:hAnsi="Arial"/>
                <w:sz w:val="14"/>
                <w:szCs w:val="14"/>
                <w:color w:val="0000FF"/>
              </w:rPr>
              <w:t>06/19/2023</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2,000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2,000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1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June 19, 2013, the Company awarded 2,000 shares of the Company common stock as an annual equity grant in the form of restricted stock awards under the Celldex Therapeutics, Inc. 2008 Stock Option and Incentive Plan, subject to time-based forfeiture restrictions.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option granted by the Issuer pursuant to its 2008 Stock Option and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Such option vests in four equal quarterly installments beginning September 19, 2013.</w:t>
      </w:r>
    </w:p>
    <w:p>
      <w:pPr>
        <w:ind w:left="6860"/>
        <w:spacing w:after="0" w:line="184" w:lineRule="auto"/>
        <w:rPr>
          <w:sz w:val="20"/>
          <w:szCs w:val="20"/>
          <w:color w:val="auto"/>
        </w:rPr>
      </w:pPr>
      <w:r>
        <w:rPr>
          <w:rFonts w:ascii="Arial" w:cs="Arial" w:eastAsia="Arial" w:hAnsi="Arial"/>
          <w:sz w:val="17"/>
          <w:szCs w:val="17"/>
          <w:color w:val="0000FF"/>
        </w:rPr>
        <w:t xml:space="preserve">/s/ Avery W. Catlin, attorney in </w:t>
      </w:r>
      <w:r>
        <w:rPr>
          <w:rFonts w:ascii="Arial" w:cs="Arial" w:eastAsia="Arial" w:hAnsi="Arial"/>
          <w:sz w:val="34"/>
          <w:szCs w:val="34"/>
          <w:color w:val="0000FF"/>
          <w:vertAlign w:val="subscript"/>
        </w:rPr>
        <w:t>06/20/2013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Karen L. Shoos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49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96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5681" TargetMode="External"/><Relationship Id="rId13" Type="http://schemas.openxmlformats.org/officeDocument/2006/relationships/hyperlink" Target="http://www.sec.gov/cgi-bin/browse-edgar?action=getcompany&amp;CIK=00007442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2019-12-17T10:46:07Z</dcterms:created>
  <dcterms:modified xsi:type="dcterms:W3CDTF">2019-12-17T10:46:07Z</dcterms:modified>
</cp:coreProperties>
</file>