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00" w:hanging="328"/>
        <w:spacing w:after="0" w:line="256" w:lineRule="auto"/>
        <w:tabs>
          <w:tab w:leader="none" w:pos="55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80" w:hanging="328"/>
        <w:spacing w:after="0" w:line="256" w:lineRule="auto"/>
        <w:tabs>
          <w:tab w:leader="none" w:pos="55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0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No. 13-3191702</w:t>
      </w:r>
    </w:p>
    <w:p>
      <w:pPr>
        <w:spacing w:after="0" w:line="27" w:lineRule="exact"/>
        <w:rPr>
          <w:sz w:val="24"/>
          <w:szCs w:val="24"/>
          <w:color w:val="auto"/>
        </w:rPr>
      </w:pPr>
    </w:p>
    <w:p>
      <w:pPr>
        <w:ind w:left="1160"/>
        <w:spacing w:after="0"/>
        <w:tabs>
          <w:tab w:leader="none" w:pos="730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organization)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2011, 44,147,214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September 30,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5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6608445</wp:posOffset>
            </wp:positionH>
            <wp:positionV relativeFrom="paragraph">
              <wp:posOffset>6350</wp:posOffset>
            </wp:positionV>
            <wp:extent cx="403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12" w:lineRule="exact"/>
        <w:rPr>
          <w:sz w:val="24"/>
          <w:szCs w:val="24"/>
          <w:color w:val="auto"/>
        </w:rPr>
      </w:pPr>
    </w:p>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Part I—Financial Information</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66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6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September 30, 2011 and December 31, 2010</w:t>
              </w:r>
            </w:hyperlink>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Operations for the Three and Nine Months Ended September 30, 2011 and 2010</w:t>
              </w:r>
            </w:hyperlink>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4</w:t>
            </w:r>
          </w:p>
        </w:tc>
      </w:tr>
      <w:tr>
        <w:trPr>
          <w:trHeight w:val="412"/>
        </w:trPr>
        <w:tc>
          <w:tcPr>
            <w:tcW w:w="180" w:type="dxa"/>
            <w:vAlign w:val="bottom"/>
          </w:tcPr>
          <w:p>
            <w:pPr>
              <w:spacing w:after="0"/>
              <w:rPr>
                <w:sz w:val="24"/>
                <w:szCs w:val="24"/>
                <w:color w:val="auto"/>
              </w:rPr>
            </w:pPr>
          </w:p>
        </w:tc>
        <w:tc>
          <w:tcPr>
            <w:tcW w:w="8640" w:type="dxa"/>
            <w:vAlign w:val="bottom"/>
            <w:tcBorders>
              <w:top w:val="single" w:sz="8" w:color="0000EE"/>
            </w:tcBorders>
            <w:gridSpan w:val="15"/>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Cash Flows for the Nine Months Ended September 30, 2011 and 2010</w:t>
              </w:r>
            </w:hyperlink>
          </w:p>
        </w:tc>
        <w:tc>
          <w:tcPr>
            <w:tcW w:w="102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5</w:t>
            </w:r>
          </w:p>
        </w:tc>
      </w:tr>
      <w:tr>
        <w:trPr>
          <w:trHeight w:val="412"/>
        </w:trPr>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3120" w:type="dxa"/>
            <w:vAlign w:val="bottom"/>
            <w:tcBorders>
              <w:top w:val="single" w:sz="8" w:color="0000EE"/>
            </w:tcBorders>
            <w:gridSpan w:val="4"/>
          </w:tcPr>
          <w:p>
            <w:pPr>
              <w:spacing w:after="0"/>
              <w:rPr>
                <w:sz w:val="24"/>
                <w:szCs w:val="24"/>
                <w:color w:val="auto"/>
              </w:rPr>
            </w:pPr>
          </w:p>
        </w:tc>
        <w:tc>
          <w:tcPr>
            <w:tcW w:w="1740" w:type="dxa"/>
            <w:vAlign w:val="bottom"/>
            <w:gridSpan w:val="2"/>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6</w:t>
            </w:r>
          </w:p>
        </w:tc>
      </w:tr>
      <w:tr>
        <w:trPr>
          <w:trHeight w:val="412"/>
        </w:trPr>
        <w:tc>
          <w:tcPr>
            <w:tcW w:w="18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Item 2. Management’s Discussion and Analysis of Financial Condition and Results of Operations</w:t>
              </w:r>
            </w:hyperlink>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13</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2640" w:type="dxa"/>
            <w:vAlign w:val="bottom"/>
            <w:gridSpan w:val="3"/>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4740" w:type="dxa"/>
            <w:vAlign w:val="bottom"/>
            <w:gridSpan w:val="5"/>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29</w:t>
            </w:r>
          </w:p>
        </w:tc>
      </w:tr>
      <w:tr>
        <w:trPr>
          <w:trHeight w:val="412"/>
        </w:trPr>
        <w:tc>
          <w:tcPr>
            <w:tcW w:w="9840" w:type="dxa"/>
            <w:vAlign w:val="bottom"/>
            <w:gridSpan w:val="17"/>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162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160" w:type="dxa"/>
            <w:vAlign w:val="bottom"/>
            <w:tcBorders>
              <w:top w:val="single" w:sz="8" w:color="0000EE"/>
            </w:tcBorders>
          </w:tcPr>
          <w:p>
            <w:pPr>
              <w:spacing w:after="0"/>
              <w:rPr>
                <w:sz w:val="24"/>
                <w:szCs w:val="24"/>
                <w:color w:val="auto"/>
              </w:rPr>
            </w:pPr>
          </w:p>
        </w:tc>
        <w:tc>
          <w:tcPr>
            <w:tcW w:w="7600" w:type="dxa"/>
            <w:vAlign w:val="bottom"/>
            <w:gridSpan w:val="9"/>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29</w:t>
            </w:r>
          </w:p>
        </w:tc>
      </w:tr>
      <w:tr>
        <w:trPr>
          <w:trHeight w:val="412"/>
        </w:trPr>
        <w:tc>
          <w:tcPr>
            <w:tcW w:w="18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1A. Risk Factors</w:t>
              </w:r>
            </w:hyperlink>
          </w:p>
        </w:tc>
        <w:tc>
          <w:tcPr>
            <w:tcW w:w="8060" w:type="dxa"/>
            <w:vAlign w:val="bottom"/>
            <w:gridSpan w:val="11"/>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29</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6.</w:t>
              </w:r>
            </w:hyperlink>
          </w:p>
        </w:tc>
        <w:tc>
          <w:tcPr>
            <w:tcW w:w="9120" w:type="dxa"/>
            <w:vAlign w:val="bottom"/>
            <w:gridSpan w:val="15"/>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30</w:t>
            </w:r>
          </w:p>
        </w:tc>
      </w:tr>
      <w:tr>
        <w:trPr>
          <w:trHeight w:val="412"/>
        </w:trPr>
        <w:tc>
          <w:tcPr>
            <w:tcW w:w="18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8500" w:type="dxa"/>
            <w:vAlign w:val="bottom"/>
            <w:gridSpan w:val="12"/>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31</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6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Exhibit Index</w:t>
              </w:r>
            </w:hyperlink>
          </w:p>
        </w:tc>
        <w:tc>
          <w:tcPr>
            <w:tcW w:w="8660" w:type="dxa"/>
            <w:vAlign w:val="bottom"/>
            <w:gridSpan w:val="13"/>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32</w:t>
            </w:r>
          </w:p>
        </w:tc>
      </w:tr>
      <w:tr>
        <w:trPr>
          <w:trHeight w:val="453"/>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gridSpan w:val="11"/>
          </w:tcPr>
          <w:p>
            <w:pPr>
              <w:ind w:left="494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49,677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25,214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108,448</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Term Loan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Convertible Subordinated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Term Loan, less Current Portion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27,774</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Convertible Preferred Stock, $.01 Par Value; 3,000,000 Shares Authorized; No Shares Issued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September 30, 2011 and December 31, 2010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$.001 Par Value; 297,000,000 Shares Authorized; 44,147,214 and 32,055,382 Shares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Issued and Outstanding at September 30, 2011 and December 31, 2010, respectively</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900"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270,250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232,679</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2,654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(192,274)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(160,207)</w:t>
            </w:r>
          </w:p>
        </w:tc>
      </w:tr>
      <w:tr>
        <w:trPr>
          <w:trHeight w:val="210"/>
        </w:trPr>
        <w:tc>
          <w:tcPr>
            <w:tcW w:w="5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2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80,674</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75,255</w:t>
            </w:r>
          </w:p>
        </w:tc>
        <w:tc>
          <w:tcPr>
            <w:tcW w:w="100" w:type="dxa"/>
            <w:vAlign w:val="bottom"/>
            <w:tcBorders>
              <w:bottom w:val="single" w:sz="8" w:color="CCEEFF"/>
            </w:tcBorders>
          </w:tcPr>
          <w:p>
            <w:pPr>
              <w:spacing w:after="0"/>
              <w:rPr>
                <w:sz w:val="18"/>
                <w:szCs w:val="18"/>
                <w:color w:val="auto"/>
              </w:rPr>
            </w:pPr>
          </w:p>
        </w:tc>
      </w:tr>
      <w:tr>
        <w:trPr>
          <w:trHeight w:val="210"/>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108,448</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Royalties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6,761</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22,615</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6,899</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(11,478)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(31,016)</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50"/>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(11,772)</w:t>
            </w:r>
          </w:p>
        </w:tc>
        <w:tc>
          <w:tcPr>
            <w:tcW w:w="3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(32,067)</w:t>
            </w: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(25,194)</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Basic and Diluted Net Loss Per Common Share (Note 4)</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44,136</w:t>
            </w:r>
          </w:p>
        </w:tc>
        <w:tc>
          <w:tcPr>
            <w:tcW w:w="180" w:type="dxa"/>
            <w:vAlign w:val="bottom"/>
          </w:tcPr>
          <w:p>
            <w:pPr>
              <w:spacing w:after="0"/>
              <w:rPr>
                <w:sz w:val="17"/>
                <w:szCs w:val="17"/>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31,922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37,926</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31,812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Share (Note 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7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(32,067)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(25,194)</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1,696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Loss on Sales and Maturities of Marketable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Gain on Sale or Disposal of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r>
      <w:tr>
        <w:trPr>
          <w:trHeight w:val="138"/>
        </w:trPr>
        <w:tc>
          <w:tcPr>
            <w:tcW w:w="7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(24,357)</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38,353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(48,217)</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35,880</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Term Loan</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(12,503)</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28,305</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(8,190)</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21,287</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13,097</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2010, which are included in the Company’s Annual Report on Form 10-K filed with the Securities and Exchange Commission (“SEC”) on March 9, 2011.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2011.</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At September 30, 2011, the Company had cash, cash equivalents and marketable securities of $62.8 million; working capital of $53.6 million; and a Term Loan balance of $15.1 million. The Company incurred a loss of $32.1 million for the nine months ended September 30, 2011. Net cash used in operations for the nine months ended September 30, 2011 was $26.3 million. The Company believes that the cash, cash equivalents and marketable securities at September 30, 2011 in addition to interest income on invested funds and the Company’s ability to control certain costs, including those related to clinical trials, manufacturing and preclinical activities, will be sufficient to meet estimated working capital requirements and fund planned operations for at least the next twelve months.</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raised net proceeds of $35.9 million from the sale of its common stock during the nine months ended September 30, 2011. During the next twelve months, the Company expects to take further steps to raise additional capital to meet its long-term liquidity needs including, but not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significant discount or on other unfavorable terms, or sell all or part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ectPr>
          <w:pgSz w:w="11900" w:h="16838" w:orient="portrait"/>
          <w:cols w:equalWidth="0" w:num="1">
            <w:col w:w="11420"/>
          </w:cols>
          <w:pgMar w:left="240" w:top="140" w:right="239" w:bottom="171" w:gutter="0" w:footer="0" w:header="0"/>
        </w:sectPr>
      </w:pPr>
    </w:p>
    <w:bookmarkStart w:id="4" w:name="page5"/>
    <w:bookmarkEnd w:id="4"/>
    <w:p>
      <w:pPr>
        <w:ind w:right="34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nine months ended September 30, 2011 are consistent with those discussed in Note 2 to the consolidated financial statements in our Annual Report on Form 10-K for the year ended December 31, 2010, except for the adoption of new accounting standards during the first nine months of 2011 as discussed below.</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January 2011, the Company adopted a new U.S. GAAP accounting standard which revises the accounting guidance for milestone revenue recognition. The new guidance allows for revenue recognition contingent upon the achievement of a milestone in its entirety, in the period in which the milestone is achieved, only if the milestone meets all the criteria within the guidance to be considered substantive. The Company adopted this guidance beginning with agreements entered into on or after January 1, 2011. This standard may impact the Company in the event it completes future transactions or collaborative relationships that include milestone payments.</w:t>
      </w:r>
    </w:p>
    <w:p>
      <w:pPr>
        <w:spacing w:after="0" w:line="18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June 2011, the FASB issued a new U.S. GAAP accounting standard which requires an entity to present the total of comprehensive income, the components of net income, and the components of other comprehensive income either in a single continuous statement of comprehensive income, or in two separate but consecutive statements. This new standard eliminates the option to present components of other comprehensive income as part of the statement of equity and will be effective for the Company beginning January 1, 2012. Early adoption is permitted. The Company does not expect the adoption of this new standard to have a material effect on its operating results or financial position.</w:t>
      </w:r>
    </w:p>
    <w:p>
      <w:pPr>
        <w:spacing w:after="0" w:line="17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September 2011, the FASB amended the guidance on the annual testing of goodwill for impairment. The amended guidance will allow companies to assess qualitative factors to determine if it is more-likely-than-not that goodwill might be impaired and whether it is necessary to perform the two-step goodwill impairment test required under current accounting standards. This guidance will be effective for the Company’s fiscal year ending December 30, 2012. The Company does not expect the adoption of this new standard to have a material effect on its operating results or financial position.</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September 30, 2011 and 2010,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Nine months ended September 30,</w:t>
            </w:r>
          </w:p>
        </w:tc>
        <w:tc>
          <w:tcPr>
            <w:tcW w:w="4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(11,772)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(25,194)</w:t>
            </w:r>
          </w:p>
        </w:tc>
        <w:tc>
          <w:tcPr>
            <w:tcW w:w="4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Unrealized foreign exchange translation (loss) gain</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gain (loss)</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56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(11,892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1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As of 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4,535,137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4,026,378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Convertible debt</w:t>
            </w: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353,563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9,000</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4,544,137</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4,397,441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In connection with the acquisition of CuraGen Corporation (“CuraGen”), the Company assumed the $12.5 million in 4% convertible subordinated debt due February 15, 2011 (the “CuraGen Debt”). Effective October 1, 2009, Celldex, CuraGen, and The Bank of New York Mellon (the “Trustee”) amended the CuraGen Debt to provide that the CuraGen Debt shall be convertible into 353,563 shares of Celldex common stock at the rate of 28.27823 shares of Celldex common stock per $1,000 principal amount of notes, or $35.36 per share. The initial carrying value of the CuraGen Debt was accreted ratably, over the term of the CuraGen Debt, to $12.5 million due at maturity. In February 2011, the Company paid the Trustee $12.8 million to satisfy all outstanding principal and accrued interest related to the CuraGen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ectPr>
          <w:pgSz w:w="11900" w:h="16838" w:orient="portrait"/>
          <w:cols w:equalWidth="0" w:num="1">
            <w:col w:w="11460"/>
          </w:cols>
          <w:pgMar w:left="240" w:top="125" w:right="199" w:bottom="0" w:gutter="0" w:footer="0" w:header="0"/>
        </w:sectPr>
      </w:pPr>
    </w:p>
    <w:bookmarkStart w:id="5" w:name="page6"/>
    <w:bookmarkEnd w:id="5"/>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September 30, 2011</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105"/>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12,554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12,554</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49,677</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49,677</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3"/>
              </w:rPr>
              <w:t>62,231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24"/>
                <w:szCs w:val="2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2010</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105"/>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10,975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10,975</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ind w:left="1060"/>
              <w:spacing w:after="0"/>
              <w:rPr>
                <w:sz w:val="20"/>
                <w:szCs w:val="20"/>
                <w:color w:val="auto"/>
              </w:rPr>
            </w:pPr>
            <w:r>
              <w:rPr>
                <w:rFonts w:ascii="Arial" w:cs="Arial" w:eastAsia="Arial" w:hAnsi="Arial"/>
                <w:sz w:val="18"/>
                <w:szCs w:val="18"/>
                <w:color w:val="auto"/>
                <w:w w:val="83"/>
              </w:rPr>
              <w:t>39,811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39,811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3"/>
              </w:rPr>
              <w:t>50,786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Marketable securities have been valued from independent pricing services which normally drive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approximates the carrying value of the principal portion of the Term Loan and note payable at September 30,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2011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government and municipal obligations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24,855</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6,656</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U.S. government and municipal obligations</w:t>
            </w: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31,658</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18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12,248</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5,852</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corporate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49,611</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government and municipal obligations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14,836</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11,428</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U.S. government and municipal obligations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26,264</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18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1,594</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corporate debt securities</w:t>
            </w: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3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39,656</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September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Estimated</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7"/>
              </w:rPr>
              <w:t>September 30, 2011</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4"/>
                <w:szCs w:val="14"/>
                <w:b w:val="1"/>
                <w:bCs w:val="1"/>
                <w:color w:val="auto"/>
                <w:w w:val="96"/>
              </w:rPr>
              <w:t>December 31, 2010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0"/>
                <w:szCs w:val="10"/>
                <w:color w:val="auto"/>
              </w:rPr>
            </w:pPr>
          </w:p>
        </w:tc>
        <w:tc>
          <w:tcPr>
            <w:tcW w:w="1160" w:type="dxa"/>
            <w:vAlign w:val="bottom"/>
          </w:tcPr>
          <w:p>
            <w:pPr>
              <w:jc w:val="right"/>
              <w:ind w:right="217"/>
              <w:spacing w:after="0" w:line="119" w:lineRule="exact"/>
              <w:rPr>
                <w:sz w:val="20"/>
                <w:szCs w:val="20"/>
                <w:color w:val="auto"/>
              </w:rPr>
            </w:pPr>
            <w:r>
              <w:rPr>
                <w:rFonts w:ascii="Arial" w:cs="Arial" w:eastAsia="Arial" w:hAnsi="Arial"/>
                <w:sz w:val="13"/>
                <w:szCs w:val="13"/>
                <w:b w:val="1"/>
                <w:bCs w:val="1"/>
                <w:color w:val="auto"/>
              </w:rPr>
              <w:t>Accumulated</w:t>
            </w:r>
          </w:p>
        </w:tc>
        <w:tc>
          <w:tcPr>
            <w:tcW w:w="3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0"/>
                <w:szCs w:val="10"/>
                <w:color w:val="auto"/>
              </w:rPr>
            </w:pPr>
          </w:p>
        </w:tc>
        <w:tc>
          <w:tcPr>
            <w:tcW w:w="1460" w:type="dxa"/>
            <w:vAlign w:val="bottom"/>
          </w:tcPr>
          <w:p>
            <w:pPr>
              <w:jc w:val="right"/>
              <w:ind w:right="517"/>
              <w:spacing w:after="0" w:line="119" w:lineRule="exact"/>
              <w:rPr>
                <w:sz w:val="20"/>
                <w:szCs w:val="20"/>
                <w:color w:val="auto"/>
              </w:rPr>
            </w:pPr>
            <w:r>
              <w:rPr>
                <w:rFonts w:ascii="Arial" w:cs="Arial" w:eastAsia="Arial" w:hAnsi="Arial"/>
                <w:sz w:val="13"/>
                <w:szCs w:val="13"/>
                <w:b w:val="1"/>
                <w:bCs w:val="1"/>
                <w:color w:val="auto"/>
              </w:rPr>
              <w:t>Accumulated</w:t>
            </w: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360" w:type="dxa"/>
            <w:vAlign w:val="bottom"/>
          </w:tcPr>
          <w:p>
            <w:pPr>
              <w:ind w:left="44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Amortization</w:t>
            </w:r>
          </w:p>
        </w:tc>
        <w:tc>
          <w:tcPr>
            <w:tcW w:w="3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517"/>
              <w:spacing w:after="0"/>
              <w:rPr>
                <w:sz w:val="20"/>
                <w:szCs w:val="20"/>
                <w:color w:val="auto"/>
              </w:rPr>
            </w:pPr>
            <w:r>
              <w:rPr>
                <w:rFonts w:ascii="Arial" w:cs="Arial" w:eastAsia="Arial" w:hAnsi="Arial"/>
                <w:sz w:val="14"/>
                <w:szCs w:val="14"/>
                <w:b w:val="1"/>
                <w:bCs w:val="1"/>
                <w:color w:val="auto"/>
                <w:w w:val="98"/>
              </w:rPr>
              <w:t>Amortization</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IPR&amp;D</w:t>
            </w:r>
          </w:p>
        </w:tc>
        <w:tc>
          <w:tcPr>
            <w:tcW w:w="1360" w:type="dxa"/>
            <w:vAlign w:val="bottom"/>
          </w:tcPr>
          <w:p>
            <w:pPr>
              <w:spacing w:after="0"/>
              <w:rPr>
                <w:sz w:val="20"/>
                <w:szCs w:val="20"/>
                <w:color w:val="auto"/>
              </w:rPr>
            </w:pPr>
            <w:r>
              <w:rPr>
                <w:rFonts w:ascii="Arial" w:cs="Arial" w:eastAsia="Arial" w:hAnsi="Arial"/>
                <w:sz w:val="18"/>
                <w:szCs w:val="18"/>
                <w:color w:val="auto"/>
              </w:rPr>
              <w:t>Indefinite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11,800</w:t>
            </w:r>
          </w:p>
        </w:tc>
        <w:tc>
          <w:tcPr>
            <w:tcW w:w="240" w:type="dxa"/>
            <w:vAlign w:val="bottom"/>
          </w:tcPr>
          <w:p>
            <w:pPr>
              <w:spacing w:after="0"/>
              <w:rPr>
                <w:sz w:val="18"/>
                <w:szCs w:val="18"/>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11,800</w:t>
            </w:r>
          </w:p>
        </w:tc>
        <w:tc>
          <w:tcPr>
            <w:tcW w:w="240" w:type="dxa"/>
            <w:vAlign w:val="bottom"/>
          </w:tcPr>
          <w:p>
            <w:pPr>
              <w:spacing w:after="0"/>
              <w:rPr>
                <w:sz w:val="18"/>
                <w:szCs w:val="18"/>
                <w:color w:val="auto"/>
              </w:rPr>
            </w:pP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16 years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14,500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(1,121)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13,379</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1360" w:type="dxa"/>
            <w:vAlign w:val="bottom"/>
          </w:tcPr>
          <w:p>
            <w:pPr>
              <w:spacing w:after="0"/>
              <w:rPr>
                <w:sz w:val="20"/>
                <w:szCs w:val="20"/>
                <w:color w:val="auto"/>
              </w:rPr>
            </w:pPr>
            <w:r>
              <w:rPr>
                <w:rFonts w:ascii="Arial" w:cs="Arial" w:eastAsia="Arial" w:hAnsi="Arial"/>
                <w:sz w:val="18"/>
                <w:szCs w:val="18"/>
                <w:color w:val="auto"/>
              </w:rPr>
              <w:t>1.75 years</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8"/>
                <w:szCs w:val="18"/>
                <w:color w:val="auto"/>
              </w:rPr>
            </w:pPr>
          </w:p>
        </w:tc>
        <w:tc>
          <w:tcPr>
            <w:tcW w:w="1460" w:type="dxa"/>
            <w:vAlign w:val="bottom"/>
          </w:tcPr>
          <w:p>
            <w:pPr>
              <w:jc w:val="right"/>
              <w:ind w:right="317"/>
              <w:spacing w:after="0"/>
              <w:rPr>
                <w:sz w:val="20"/>
                <w:szCs w:val="20"/>
                <w:color w:val="auto"/>
              </w:rPr>
            </w:pPr>
            <w:r>
              <w:rPr>
                <w:rFonts w:ascii="Arial" w:cs="Arial" w:eastAsia="Arial" w:hAnsi="Arial"/>
                <w:sz w:val="18"/>
                <w:szCs w:val="18"/>
                <w:color w:val="auto"/>
              </w:rPr>
              <w:t>(2,057)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4.5-11 years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(1,040)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jc w:val="center"/>
              <w:ind w:right="370"/>
              <w:spacing w:after="0"/>
              <w:rPr>
                <w:sz w:val="20"/>
                <w:szCs w:val="20"/>
                <w:color w:val="auto"/>
              </w:rPr>
            </w:pPr>
            <w:r>
              <w:rPr>
                <w:rFonts w:ascii="Arial" w:cs="Arial" w:eastAsia="Arial" w:hAnsi="Arial"/>
                <w:sz w:val="18"/>
                <w:szCs w:val="18"/>
                <w:color w:val="auto"/>
                <w:w w:val="90"/>
              </w:rPr>
              <w:t>Strategic Partner</w:t>
            </w:r>
          </w:p>
        </w:tc>
        <w:tc>
          <w:tcPr>
            <w:tcW w:w="1740" w:type="dxa"/>
            <w:vAlign w:val="bottom"/>
          </w:tcPr>
          <w:p>
            <w:pPr>
              <w:ind w:left="380"/>
              <w:spacing w:after="0"/>
              <w:rPr>
                <w:sz w:val="20"/>
                <w:szCs w:val="20"/>
                <w:color w:val="auto"/>
              </w:rPr>
            </w:pPr>
            <w:r>
              <w:rPr>
                <w:rFonts w:ascii="Arial" w:cs="Arial" w:eastAsia="Arial" w:hAnsi="Arial"/>
                <w:sz w:val="18"/>
                <w:szCs w:val="18"/>
                <w:color w:val="auto"/>
              </w:rPr>
              <w:t>8 years</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Borders>
              <w:bottom w:val="single" w:sz="8" w:color="CCEEFF"/>
            </w:tcBorders>
          </w:tcPr>
          <w:p>
            <w:pPr>
              <w:jc w:val="center"/>
              <w:ind w:right="430"/>
              <w:spacing w:after="0"/>
              <w:rPr>
                <w:sz w:val="20"/>
                <w:szCs w:val="20"/>
                <w:color w:val="auto"/>
              </w:rPr>
            </w:pPr>
            <w:r>
              <w:rPr>
                <w:rFonts w:ascii="Arial" w:cs="Arial" w:eastAsia="Arial" w:hAnsi="Arial"/>
                <w:sz w:val="18"/>
                <w:szCs w:val="18"/>
                <w:color w:val="auto"/>
                <w:w w:val="90"/>
              </w:rPr>
              <w:t>Agreement</w:t>
            </w:r>
          </w:p>
        </w:tc>
        <w:tc>
          <w:tcPr>
            <w:tcW w:w="17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740" w:type="dxa"/>
            <w:vAlign w:val="bottom"/>
            <w:vMerge w:val="restart"/>
          </w:tcPr>
          <w:p>
            <w:pPr>
              <w:ind w:left="380"/>
              <w:spacing w:after="0"/>
              <w:rPr>
                <w:sz w:val="20"/>
                <w:szCs w:val="20"/>
                <w:color w:val="auto"/>
              </w:rPr>
            </w:pPr>
            <w:r>
              <w:rPr>
                <w:rFonts w:ascii="Arial" w:cs="Arial" w:eastAsia="Arial" w:hAnsi="Arial"/>
                <w:sz w:val="18"/>
                <w:szCs w:val="18"/>
                <w:color w:val="auto"/>
              </w:rPr>
              <w:t>Indefinite</w:t>
            </w: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4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4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 milestone payments related to future net sales of Belinostat or 10% of any sublicense income received by TopoTarget (“TopoTarget Payments”). In February 2010, TopoTarget entered into a co-development and commercialization agreement for Belinostat with Spectrum Pharmaceuticals, Inc. which resulted in the Company’s receipt of $3 million of the TopoTarget Payments. The Company recorded this cash receipt as Other Income for the nine months ended September 30, 2010.</w:t>
      </w:r>
    </w:p>
    <w:p>
      <w:pPr>
        <w:spacing w:after="0" w:line="193"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During the nine months ended September 30, 2011, the Company recorded an impairment loss of $0.3 million in Strategic Partnership Agreement to amortization of intangible asset expense due to the Company’s termination of rights to intellectual property underlying that Strategic Partnership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229" w:lineRule="exact"/>
        <w:rPr>
          <w:sz w:val="20"/>
          <w:szCs w:val="20"/>
          <w:color w:val="auto"/>
        </w:rPr>
      </w:pPr>
    </w:p>
    <w:p>
      <w:pPr>
        <w:ind w:right="320" w:firstLine="648"/>
        <w:spacing w:after="0" w:line="285" w:lineRule="auto"/>
        <w:rPr>
          <w:sz w:val="20"/>
          <w:szCs w:val="20"/>
          <w:color w:val="auto"/>
        </w:rPr>
      </w:pPr>
      <w:r>
        <w:rPr>
          <w:rFonts w:ascii="Arial" w:cs="Arial" w:eastAsia="Arial" w:hAnsi="Arial"/>
          <w:sz w:val="16"/>
          <w:szCs w:val="16"/>
          <w:color w:val="auto"/>
        </w:rPr>
        <w:t>In December 2010, the Company entered into a Loan and Security Agreement (the “Loan Agreement”) with MidCap Financial, LLC (“MidCap”) pursuant to which the Company borrowed $10 million (the “Term Loan”) from MidCap. In March 2011, as the Company had anticipated, the Company amended the Loan Agreement and borrowed an additional $5 million from General Electric Capital Corporation (“GECC”) (collectively with MidCap, the “Lenders”) to increase the amount owed under the Term Loan to $15 million. No additional advances are available under the Loan Agreement. The Term Loan accrues interest at a fixed annual interest rate equal to the greater of (i) the sum of (A) the LIBOR Rate (as defined in the Loan Agreement) plus</w:t>
      </w:r>
    </w:p>
    <w:p>
      <w:pPr>
        <w:spacing w:after="0" w:line="2" w:lineRule="exact"/>
        <w:rPr>
          <w:sz w:val="20"/>
          <w:szCs w:val="20"/>
          <w:color w:val="auto"/>
        </w:rPr>
      </w:pPr>
    </w:p>
    <w:p>
      <w:pPr>
        <w:ind w:right="100" w:firstLine="8"/>
        <w:spacing w:after="0" w:line="252"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6.25%; or (ii) a minimum rate of 9.50%. In September 2011, the Company exercised an option to extend the interest-only period by 6 months from October 1, 2011 to April 1, 2012. Interest on the Term Loan is payable monthly and principal is due in 22 equal consecutive monthly installments commencing on April 1, 2012. All unpaid principal and accrued interest with respect to the Term Loan is due and payable on the earlier of (A) December 30, 2013 or (B) the date that the Term Loan otherwise becomes due and payable under the terms of the Loan Agreement. The Company may prepay all, but not less than all, of the Term Loan subject to a prepayment premium of 1% in year three, 2% in year two, and 4% in year one of the original principal amount of the Term Loan.</w:t>
      </w:r>
    </w:p>
    <w:p>
      <w:pPr>
        <w:spacing w:after="0" w:line="19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September 30, 2011, the Company believes it is in compliance with the Loan Agreement.</w:t>
      </w:r>
    </w:p>
    <w:p>
      <w:pPr>
        <w:spacing w:after="0" w:line="193"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Upon repayment of the Term Loan in full, the Company is also obligated to make a final payment fee of $0.5 million (“Final Payment”) which the Company is accreting ratably over the term of the Term Loan to interest expense. At September 30, 2011 and December 31, 2010, the Company had $0.2 million in capitalized deferred financing costs incurred in connection with the Term Loan and is amortizing these costs over the term of the Term Loan to interest expense. Interest expense on the Term Loan including the accretion of the Final Payment and amortization of the deferred financing costs was $0.4 million and $1.2 million for the three and nine months ended September 30, 2011, respectively.</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 2011</w:t>
            </w: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2010</w:t>
            </w:r>
          </w:p>
        </w:tc>
      </w:tr>
      <w:tr>
        <w:trPr>
          <w:trHeight w:val="142"/>
        </w:trPr>
        <w:tc>
          <w:tcPr>
            <w:tcW w:w="5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4"/>
          </w:tcPr>
          <w:p>
            <w:pPr>
              <w:jc w:val="right"/>
              <w:ind w:right="11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Severance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Loan Payable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r>
      <w:tr>
        <w:trPr>
          <w:trHeight w:val="210"/>
        </w:trPr>
        <w:tc>
          <w:tcPr>
            <w:tcW w:w="5540" w:type="dxa"/>
            <w:vAlign w:val="bottom"/>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Long-Term Portion</w:t>
            </w:r>
          </w:p>
        </w:tc>
        <w:tc>
          <w:tcPr>
            <w:tcW w:w="2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January 2011, the Company entered into a controlled equity offering sales agreement (the “Cantor Agreement”) with Cantor Fitzgerald &amp; Co. (“Cantor”) pursuant to which the Company may issue and sell up to 5,000,000 shares of its common stock from time to time through Cantor, acting as agent. The Company agreed to pay Cantor a commission of up to 5% of the gross proceeds from each sale and to reimburse Cantor for certain expenses incurred in connection with entering into the Cantor Agreement. The Cantor Agreement terminates upon the sale of all 5,000,000 shares or upon ten day notice by either</w:t>
      </w:r>
    </w:p>
    <w:p>
      <w:pPr>
        <w:sectPr>
          <w:pgSz w:w="11900" w:h="16838" w:orient="portrait"/>
          <w:cols w:equalWidth="0" w:num="1">
            <w:col w:w="11460"/>
          </w:cols>
          <w:pgMar w:left="240" w:top="125" w:right="199" w:bottom="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t>Cantor or the Company. During the nine months ended September 30, 2011, the Company sold 575,000 shares of common stock under the Cantor Agreement and raised $2.2 million in net proceeds, after deducting commission and offering expenses. During the three months ended September 30, 2011, the Company did not sell any shares of common stock under the Cantor Agreement. As of September 30, 2011, the Company had 4,425,000 shares available to be sold under the Cantor Agreement.</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May 2011, the Company issued 11,500,000 shares of its common stock in an underwritten public offering, including the underwriter’s exercise of their full over-allotment option to purchase an additional 1,500,000 shares of common stock. The net proceeds to the Company were $33.7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2011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left="266"/>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000" w:type="dxa"/>
            <w:vAlign w:val="bottom"/>
          </w:tcPr>
          <w:p>
            <w:pPr>
              <w:jc w:val="center"/>
              <w:ind w:left="266"/>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4,019,982</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6.93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913,350</w:t>
            </w: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2.91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(398,195)</w:t>
            </w: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7.77</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2011</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4,535,137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6.05</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2011</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restart"/>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6.08</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4,472,565</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2,809,966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7.09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945,385</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grant-date fair value of stock options granted during the nine months ended September 30, 2011 was $1.83.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for the nine months ended September 30, 2011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2010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Canceled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September 30, 2011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for the three and nine months ended September 30, 2011 and 2010 was recorded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327</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243</w:t>
            </w:r>
          </w:p>
        </w:tc>
        <w:tc>
          <w:tcPr>
            <w:tcW w:w="10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stock options granted during the three and nine months ended September 30, 2011 and 2010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68 - 70%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65 - 67%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6.2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 – 2.5%</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 – 2.9%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 3.2%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currently under examination for sales and use taxes by the State of Massachusetts for the period December 2008 through March 2011. The Company completed an examination by the Internal Revenue Service with respect to 2008 which resulted in no change to our 2008 tax return. The Company is not currently under examination by any other jurisdictions for any tax year.</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2011 and December 31, 2010 against the Company’s net deferred tax assets.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8" w:name="page9"/>
    <w:bookmarkEnd w:id="8"/>
    <w:p>
      <w:pPr>
        <w:spacing w:after="0" w:line="6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rindopepimut, CDX-011, CDX-1401, CDX-1135, CDX-1127, CDX-301 and other products and the growth of the markets for those product candidates;</w:t>
      </w:r>
    </w:p>
    <w:p>
      <w:pPr>
        <w:spacing w:after="0" w:line="181"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 including our planned Phase 3 trial for rindopepimut;</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including our Phase 3 clinical trial for rindopepimut which we estimate will cost at least $50 million, and to meet our long-term liquidity needs, on terms acceptable to us, or at all;</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CDX-1401, and other preclinical and clinical testing;</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internally or to find another strategic partner to fund the development and commercialization of rindopepimut;</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25" w:lineRule="exact"/>
        <w:rPr>
          <w:rFonts w:ascii="Arial" w:cs="Arial" w:eastAsia="Arial" w:hAnsi="Arial"/>
          <w:sz w:val="18"/>
          <w:szCs w:val="18"/>
          <w:color w:val="auto"/>
        </w:rPr>
      </w:pPr>
    </w:p>
    <w:p>
      <w:pPr>
        <w:ind w:left="980" w:right="380" w:hanging="324"/>
        <w:spacing w:after="0" w:line="216"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those partners;</w:t>
      </w:r>
    </w:p>
    <w:p>
      <w:pPr>
        <w:spacing w:after="0" w:line="20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2010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are a biopharmaceutical company currently focusing on the development of several immunotherapy technologies. Our lead programs include rindopepimut (CDX-110), a vaccine that is expected to enter into Phase 3 development for glioblastoma in the fourth quarter of 2011 and CDX-011, an antibody-drug conjugate currently in a randomized Phase 2b trial for treatment of advanced breast cancer. We have additional programs at various stages of clinical and preclinical development, including (i) CDX-1127, a therapeutic human antibody candidate for cancer indications, (ii) CDX-1307 and CDX-1401,</w:t>
      </w:r>
    </w:p>
    <w:p>
      <w:pPr>
        <w:sectPr>
          <w:pgSz w:w="11900" w:h="16904" w:orient="portrait"/>
          <w:cols w:equalWidth="0" w:num="1">
            <w:col w:w="11420"/>
          </w:cols>
          <w:pgMar w:left="240" w:top="368" w:right="239" w:bottom="0" w:gutter="0" w:footer="0" w:header="0"/>
        </w:sectPr>
      </w:pPr>
    </w:p>
    <w:bookmarkStart w:id="9" w:name="page10"/>
    <w:bookmarkEnd w:id="9"/>
    <w:p>
      <w:pPr>
        <w:ind w:right="620"/>
        <w:spacing w:after="0" w:line="277" w:lineRule="auto"/>
        <w:rPr>
          <w:sz w:val="20"/>
          <w:szCs w:val="20"/>
          <w:color w:val="auto"/>
        </w:rPr>
      </w:pPr>
      <w:r>
        <w:rPr>
          <w:rFonts w:ascii="Arial" w:cs="Arial" w:eastAsia="Arial" w:hAnsi="Arial"/>
          <w:sz w:val="18"/>
          <w:szCs w:val="18"/>
          <w:color w:val="auto"/>
        </w:rPr>
        <w:t>APC Targeting Technology™ programs, and (iii) CDX-301, an immune cell mobilizing agent. We are currently resourcing our priority programs and supplement the development of additional programs through external collaborations and funding.</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by our partner GlaxoSmithKline. Our product candidates address market opportunities for which we believe current therapies are inadequate or non-existent.</w:t>
      </w:r>
    </w:p>
    <w:p>
      <w:pPr>
        <w:spacing w:after="0" w:line="19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preventative and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240" w:type="dxa"/>
            <w:vAlign w:val="bottom"/>
          </w:tcPr>
          <w:p>
            <w:pPr>
              <w:spacing w:after="0"/>
              <w:rPr>
                <w:sz w:val="14"/>
                <w:szCs w:val="14"/>
                <w:color w:val="auto"/>
              </w:rPr>
            </w:pPr>
          </w:p>
        </w:tc>
        <w:tc>
          <w:tcPr>
            <w:tcW w:w="4060" w:type="dxa"/>
            <w:vAlign w:val="bottom"/>
          </w:tcPr>
          <w:p>
            <w:pPr>
              <w:ind w:left="1540"/>
              <w:spacing w:after="0"/>
              <w:rPr>
                <w:sz w:val="20"/>
                <w:szCs w:val="20"/>
                <w:color w:val="auto"/>
              </w:rPr>
            </w:pPr>
            <w:r>
              <w:rPr>
                <w:rFonts w:ascii="Arial" w:cs="Arial" w:eastAsia="Arial" w:hAnsi="Arial"/>
                <w:sz w:val="14"/>
                <w:szCs w:val="14"/>
                <w:b w:val="1"/>
                <w:bCs w:val="1"/>
                <w:color w:val="auto"/>
              </w:rPr>
              <w:t>Indication/Field</w:t>
            </w:r>
          </w:p>
        </w:tc>
        <w:tc>
          <w:tcPr>
            <w:tcW w:w="260" w:type="dxa"/>
            <w:vAlign w:val="bottom"/>
          </w:tcPr>
          <w:p>
            <w:pPr>
              <w:spacing w:after="0"/>
              <w:rPr>
                <w:sz w:val="14"/>
                <w:szCs w:val="14"/>
                <w:color w:val="auto"/>
              </w:rPr>
            </w:pPr>
          </w:p>
        </w:tc>
        <w:tc>
          <w:tcPr>
            <w:tcW w:w="208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CDX-110 (rindopepimut)</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Glioblastoma</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 (glembatumumab vedotin)</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Metastatic breast cancer and melanoma</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CDX-1401</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Multiple solid tumors</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1/2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2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CDX-1127</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Lymphoma and other cancers</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Cancer, autoimmune disease and transplant</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CDX-1135</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Renal disease</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Ovarian and renal cancer</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MARKETED PRODUCTS</w:t>
            </w: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Rotavirus infection</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GlaxoSmithKline</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Marketed</w:t>
            </w: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8680" w:type="dxa"/>
            <w:vAlign w:val="bottom"/>
            <w:gridSpan w:val="2"/>
            <w:vMerge w:val="continue"/>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3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10" w:name="page11"/>
    <w:bookmarkEnd w:id="10"/>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past five years through December 31, 2010, we incurred an aggregate of $96.4 million in research and development expenses. The following table indicates the amount incurred for each of our significant research programs and for other identified research and development activities during the nine months ended September 30, 2011 and 2010. The amounts disclosed in the following table reflect direct research and development costs, license fees associated with the underlying technology and an allocation of indirect research and development costs to each program.</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120" w:type="dxa"/>
            <w:vAlign w:val="bottom"/>
            <w:gridSpan w:val="8"/>
          </w:tcPr>
          <w:p>
            <w:pPr>
              <w:ind w:lef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7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CDX-011</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CDX-1401</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CDX-1135</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CDX-1307</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Total R&amp;D Expense</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22,615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lead clinical development program, rindopepimut,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or GB, also commonly referred to as glioblastoma multiforme or GBM, the most common and aggressive form of brain cancer, and has also been observed in various other cancers such as lung, liver, and head and neck cancer. The Food and Drug Administration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(“FDA”) and the European Medicines Agency (“EMA”) have granted orphan drug designation for rindopepimut for the treatment of EGFRvIII expressing GB and the FDA has also granted Fast Track designation.</w:t>
      </w:r>
    </w:p>
    <w:p>
      <w:pPr>
        <w:spacing w:after="0" w:line="17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April 2008, we and Pfizer Inc. (“Pfizer”) entered into a License and Development Agreement (the “Pfizer Agreement”) under which Pfizer was granted an exclusive worldwide license to rindopepimut. The Pfizer Agreement also gave Pfizer exclusive rights to the use of EGFRvIII vaccines in other potential indications. The Pfizer Agreement also provided for reimbursement by Pfizer of all costs incurred by us in connection with the collaboration since the effective date. In November 2010, the Pfizer Agreement was terminated (the “Pfizer Termination”) and all rights to rindopepimut were returned to us. Pfizer did not provide a reason for termination. Effective with the Pfizer Termination, Pfizer is no longer funding the development of rindopepimut.</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patients, respectively. An extension of the Phase 2a study (ACT II) at the same two institutions evaluated 22 additional GB patients treated in combination with maintenance temozolomide (TMZ) (the current standard of care).</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initiated a Phase 2b/3 randomized study (ACT III)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w:t>
      </w:r>
    </w:p>
    <w:p>
      <w:pPr>
        <w:sectPr>
          <w:pgSz w:w="11900" w:h="16838" w:orient="portrait"/>
          <w:cols w:equalWidth="0" w:num="1">
            <w:col w:w="11420"/>
          </w:cols>
          <w:pgMar w:left="240" w:top="341" w:right="239" w:bottom="0" w:gutter="0" w:footer="0" w:header="0"/>
        </w:sectPr>
      </w:pPr>
    </w:p>
    <w:bookmarkStart w:id="11" w:name="page12"/>
    <w:bookmarkEnd w:id="11"/>
    <w:p>
      <w:pPr>
        <w:ind w:right="520"/>
        <w:spacing w:after="0" w:line="277" w:lineRule="auto"/>
        <w:rPr>
          <w:sz w:val="20"/>
          <w:szCs w:val="20"/>
          <w:color w:val="auto"/>
        </w:rPr>
      </w:pPr>
      <w:r>
        <w:rPr>
          <w:rFonts w:ascii="Arial" w:cs="Arial" w:eastAsia="Arial" w:hAnsi="Arial"/>
          <w:sz w:val="18"/>
          <w:szCs w:val="18"/>
          <w:color w:val="auto"/>
        </w:rPr>
        <w:t>were offered the option to receive treatment with rindopepimut. Under this amendment, the ACT III study provided for a multi-center, non-randomized dataset for rindopepimut in patients with newly diagnosed GB.</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reported in November 2010 as compared to matched historical controls and the standard of care.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Median PFS from</w:t>
            </w:r>
          </w:p>
        </w:tc>
        <w:tc>
          <w:tcPr>
            <w:tcW w:w="2000" w:type="dxa"/>
            <w:vAlign w:val="bottom"/>
            <w:gridSpan w:val="2"/>
          </w:tcPr>
          <w:p>
            <w:pPr>
              <w:ind w:left="340"/>
              <w:spacing w:after="0"/>
              <w:rPr>
                <w:sz w:val="20"/>
                <w:szCs w:val="20"/>
                <w:color w:val="auto"/>
              </w:rPr>
            </w:pPr>
            <w:r>
              <w:rPr>
                <w:rFonts w:ascii="Arial" w:cs="Arial" w:eastAsia="Arial" w:hAnsi="Arial"/>
                <w:sz w:val="14"/>
                <w:szCs w:val="14"/>
                <w:b w:val="1"/>
                <w:bCs w:val="1"/>
                <w:color w:val="auto"/>
              </w:rPr>
              <w:t>Median OS from</w:t>
            </w:r>
          </w:p>
        </w:tc>
        <w:tc>
          <w:tcPr>
            <w:tcW w:w="1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OS at 24 months</w:t>
            </w:r>
          </w:p>
        </w:tc>
        <w:tc>
          <w:tcPr>
            <w:tcW w:w="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diagnosis (months)</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diagnosis (months)</w:t>
            </w:r>
          </w:p>
        </w:tc>
        <w:tc>
          <w:tcPr>
            <w:tcW w:w="3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ACT III (n=65)</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24.3(2)</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ACT II (n=22)</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24.4</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ACTIVATE (n=18)</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24.6</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Matched historical control (n=17)(3)</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15.2</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Standard of care radiation/TMZ (n=287)(4)</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14.6</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survival data for ACT III are estimated and not yet final.</w:t>
      </w:r>
    </w:p>
    <w:p>
      <w:pPr>
        <w:spacing w:after="0" w:line="225" w:lineRule="exact"/>
        <w:rPr>
          <w:rFonts w:ascii="Arial" w:cs="Arial" w:eastAsia="Arial" w:hAnsi="Arial"/>
          <w:sz w:val="18"/>
          <w:szCs w:val="18"/>
          <w:color w:val="auto"/>
        </w:rPr>
      </w:pPr>
    </w:p>
    <w:p>
      <w:pPr>
        <w:ind w:left="660" w:right="580" w:hanging="652"/>
        <w:spacing w:after="0" w:line="264" w:lineRule="auto"/>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KPS greater-than or equal to 80%, complete resection, radiation/TMZ and without progression through ~ 3 months post-diagnosis).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65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17.2 months, which compares favorably with the published data from the SOC of radiation plus TMZ (R+TMZ) of 10.3 months. Those with unmethylated tumors (n=40) treated with the rindopepimut regimen experienced a PFS of</w:t>
      </w:r>
    </w:p>
    <w:p>
      <w:pPr>
        <w:spacing w:after="0" w:line="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11.2 months, which compared favorably to the PFS with SOC of 5.3 months in this patient population. Thus, rindopepimut would appear to benefit both methylated and unmethylated MGMT patients. We expect to present final median OS data from the ACT III study in the fourth quarter of 2011.</w:t>
      </w:r>
    </w:p>
    <w:p>
      <w:pPr>
        <w:spacing w:after="0" w:line="13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currently planning to initiate a pivotal Phase 3 randomized, multi-national, controlled study of rindopepimut in patients with newly-diagnosed, resected GB in the fourth quarter of 2011. We expect that it will cost at least $50 million to complete this Phase 3 study. We are also planning to initiate a Phase 2 randomized study of rindopepimut in combination with Avastin® in recurrent or refractory GB patients in the fourth quarter of 2011. In addition, researchers at Stanford University are conducting a pilot trial of rindopepimut in pediatric patients with pontine glioma in an investigator sponsored trial. Patient screening is ongoing for this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CDX-011 is an antibody-drug conjugate (ADC) that consists of a fully- 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w:t>
      </w:r>
    </w:p>
    <w:p>
      <w:pPr>
        <w:spacing w:after="0" w:line="169"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have received prior therapy (median of seven prior regimens). The study began with a bridging phase to confirm the maximum tolerated dose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any tumor shrinkage, 12-week PFS rate was 70% (7/10), and median PFS was 17.9 weeks. Tumor samples from a subset of patients across all dose groups were analyzed for GPNMB</w:t>
      </w:r>
    </w:p>
    <w:p>
      <w:pPr>
        <w:sectPr>
          <w:pgSz w:w="11900" w:h="16838" w:orient="portrait"/>
          <w:cols w:equalWidth="0" w:num="1">
            <w:col w:w="11420"/>
          </w:cols>
          <w:pgMar w:left="240" w:top="125" w:right="239" w:bottom="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t>expression. The tumor samples from most patients showed evidence of stromal and/or tumor cell expression of GPNMB. The most common treatment-related toxicities were fatigue, rash, nausea, alopecia (hair loss), neutropenia and vomiting.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2010, the FDA granted Fast Track designation to CDX-011 for the treatment of advanced, refractory/resistant GPNMB-expressing breast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cancer.</w:t>
      </w:r>
    </w:p>
    <w:p>
      <w:pPr>
        <w:spacing w:after="0" w:line="21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September 2010, we initiated a randomized Phase 2b controlled study in patients with heavily pre-treated, advanced breast cancer whose tumors are confirmed to express GPNMB via a validated, centralized diagnostic assay. We expect that a significant portion of the enrolled patients will have triple-negative disease, since GPNMB is frequently expressed in this patient population. Patients will be randomized (2:1) to receive either CDX-011 or single-agent “Investigator’s Choice” chemotherapy. Activity endpoints will include objective response rate (“ORR”), PFS and OS. We expect to complete enrollment of 120 patients at approximately 20-25 clinical sites in the United States in the fourth quarter of 2011 with preliminary data expected in mid 2012.</w:t>
      </w:r>
    </w:p>
    <w:p>
      <w:pPr>
        <w:spacing w:after="0" w:line="154"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June 2006, a Phase 1/2 open-label, multi-center, dose escalation study was initiated to evaluate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pharmacokinetics of CDX-011 for patients with un-resectable Stage III or Stage IV melanoma who have failed no more than one prior line of cytotoxic therapy. A total of 117 patients were enrolled in this trial. The trial initially evaluated doses of CDX-011 between 0.03 mg/kg to 2.63 mg/kg given once every three weeks. CDX-011 was generally well tolerated, with rash and neutropenia emerging at higher doses. The MTD was determined to be 1.88 mg/kg administered intravenously (IV) once every three weeks.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study achieved its primary activity objective with an ORR in the Phase 2 cohort of 15% (5/34). Median PFS was 3.9 months. CDX-011 was found to be active in advanced melanoma patients in the study. The most frequent treatment-related adverse events included rash, fatigue, alopecia (hair loss), pruritus, diarrhea and neuropathy.</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More frequent dosing schedules of CDX-011 were also evaluated, including a weekly and a two out of every three-week regimen, to explore if more frequent administration can provide additional activity in patients with metastatic melanoma. Doses of 1.0 mg/kg given once every week and 1.5 mg/kg given for two out of three weeks were identified as the MTD in each schedule. The response rate was observed to be 20% and 33%, respectively. This increased activity was accompanied by increased toxicity.</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Melanoma is a difficult disease to work with and, at this point in time, our intention is to first focus our resources on advancing CDX-011 in breast cancer. We intend to conduct additional Phase 2 development of CDX-011 in combination with other therapies in investigator sponsored studies to further develop this product candidate in melanoma.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CDX-1401, also developed from the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9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TLR agonists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poly-ICLC or Hiltonol™ and/or R848 or resiquimod. We expect to enroll up to 70 patients with solid tumor cancers at multiple clinical sites in the United States.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Other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ectPr>
          <w:pgSz w:w="11900" w:h="16838" w:orient="portrait"/>
          <w:cols w:equalWidth="0" w:num="1">
            <w:col w:w="11420"/>
          </w:cols>
          <w:pgMar w:left="240" w:top="125" w:right="239" w:bottom="32" w:gutter="0" w:footer="0" w:header="0"/>
        </w:sectPr>
      </w:pPr>
    </w:p>
    <w:bookmarkStart w:id="13" w:name="page14"/>
    <w:bookmarkEnd w:id="13"/>
    <w:p>
      <w:pPr>
        <w:ind w:right="20" w:firstLine="648"/>
        <w:spacing w:after="0" w:line="272" w:lineRule="auto"/>
        <w:rPr>
          <w:sz w:val="20"/>
          <w:szCs w:val="20"/>
          <w:color w:val="auto"/>
        </w:rPr>
      </w:pPr>
      <w:r>
        <w:rPr>
          <w:rFonts w:ascii="Arial" w:cs="Arial" w:eastAsia="Arial" w:hAnsi="Arial"/>
          <w:sz w:val="17"/>
          <w:szCs w:val="17"/>
          <w:color w:val="auto"/>
        </w:rPr>
        <w:t xml:space="preserve">CDX-1127 is a human monoclonal antibody that targets CD27, a member of the tumor necrosis factor (TNF) receptor superfamily. We have entered into license agreements with the University of Southampton, UK for intellectual property related to uses of anti-CD27 antibodies and with Medarex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2 potential therapeutic mechanisms. CDX-1127 has been shown to activate immune cells that can target and eliminate cancerous cells in tumor bearing mice, and to directly kill or inhibit the growth of CD27 expressing lymphomas and leukemias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Both mechanisms have been seen even at low doses in appropriate preclinical models.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plan to initiate an open label, dose-escalating Phase 1 study to determine the optimal dose for further development based on the safety, tolerability, pharmacokinetics and activity of CDX-1127 in the fourth quarter of 2011. The trial will evaluate up to five doses of CDX-1127 in patients with selected refractory or relapsed solid tumors or hematologic malignancies that express CD27. The study will accrue up to 90 patients at multiple clinical sites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other proprietary molecules in our portfolio. We plan to initiate a dose-escalating Phase 1 study of CDX-301 in approximately 30 healthy subjects in collaboration with Rockefeller University in the fourth quarter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In 2011, we increased our efforts to complete process development activities, plan for GMP manufacturing and define the most appropriate clinical development path for CDX-1135. We are currently focusing on rare disease conditions of unregulated complement activation as the fastest route to FDA approval.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CDX-014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CDX-1307, developed from the APC Targeting Technology™,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87"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Two Phase 1 studies investigated the safety and immunogenicity of CDX-1307 alone and in combination with adjuvants, including GM-CSF and Toll-Like Receptor (“TLR”) agonists (poly-ICLC or Hiltonol™ and R848 or resiquimod). The Phase 1 studies enrolled over 80 patients with heavily pretreated, advanced-stage colorectal, breast, pancreatic, bladder/ureteral, ovarian and testicular cancer that are known to express hCG-Beta. All patient cohorts demonstrated a favorable safety profile with no dose limiting toxicity. The combination of CDX-1307 with TLR agonists significantly enhanced immune responses against hCG-Beta.</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May 2010, we initiated a 60 patient randomized (1:1) Phase 2 controlled study to evaluate the CDX-1307 regimen in both neoadjuvant and adjuvant settings in patients with newly diagnosed muscle-invasive bladder cancers that express hCG-Beta. In April 2011, we amended the study design to be a 30 patient single-arm study. In June 2011, in connection with the prioritization of our resources, we discontinued the Phase 2 study and plan to further develop CDX-1307, if at all, in investigator sponsored studies.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GlaxoSmithKline plc (“Glaxo”) and Glaxo assumed responsibility for all subsequent clinical trials and all other development activities. Glaxo gained approval for its rotavirus vaccine, Rotarix</w:t>
      </w:r>
      <w:r>
        <w:rPr>
          <w:rFonts w:ascii="Arial" w:cs="Arial" w:eastAsia="Arial" w:hAnsi="Arial"/>
          <w:sz w:val="23"/>
          <w:szCs w:val="23"/>
          <w:color w:val="auto"/>
          <w:vertAlign w:val="superscript"/>
        </w:rPr>
        <w:t>®</w:t>
      </w:r>
      <w:r>
        <w:rPr>
          <w:rFonts w:ascii="Arial" w:cs="Arial" w:eastAsia="Arial" w:hAnsi="Arial"/>
          <w:sz w:val="18"/>
          <w:szCs w:val="18"/>
          <w:color w:val="auto"/>
        </w:rPr>
        <w:t>,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ectPr>
          <w:pgSz w:w="11900" w:h="16838" w:orient="portrait"/>
          <w:cols w:equalWidth="0" w:num="1">
            <w:col w:w="11420"/>
          </w:cols>
          <w:pgMar w:left="240" w:top="125" w:right="239" w:bottom="0" w:gutter="0" w:footer="0" w:header="0"/>
        </w:sectPr>
      </w:pPr>
    </w:p>
    <w:bookmarkStart w:id="14" w:name="page15"/>
    <w:bookmarkEnd w:id="14"/>
    <w:p>
      <w:pPr>
        <w:ind w:right="320" w:firstLine="648"/>
        <w:spacing w:after="0" w:line="238" w:lineRule="auto"/>
        <w:rPr>
          <w:sz w:val="20"/>
          <w:szCs w:val="20"/>
          <w:color w:val="auto"/>
        </w:rPr>
      </w:pPr>
      <w:r>
        <w:rPr>
          <w:rFonts w:ascii="Arial" w:cs="Arial" w:eastAsia="Arial" w:hAnsi="Arial"/>
          <w:sz w:val="18"/>
          <w:szCs w:val="18"/>
          <w:color w:val="auto"/>
        </w:rPr>
        <w:t>In May 2005, we entered into an agreement whereby an affiliate of Paul Royalty Fund II, L.P. (“PRF”) purchased a 70% interest in the milestone payments and net royalties that we will receive on the development and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We have received a total of $60 million in milestone payments under the PRF agreement. No additional milestone payments are due from PRF under the agreement. The PRF agreement terminates on December 12, 2012, unless otherwise extended.</w:t>
      </w:r>
    </w:p>
    <w:p>
      <w:pPr>
        <w:spacing w:after="0" w:line="202" w:lineRule="exact"/>
        <w:rPr>
          <w:sz w:val="20"/>
          <w:szCs w:val="20"/>
          <w:color w:val="auto"/>
        </w:rPr>
      </w:pPr>
    </w:p>
    <w:p>
      <w:pPr>
        <w:ind w:right="140" w:firstLine="648"/>
        <w:spacing w:after="0" w:line="242" w:lineRule="auto"/>
        <w:rPr>
          <w:sz w:val="20"/>
          <w:szCs w:val="20"/>
          <w:color w:val="auto"/>
        </w:rPr>
      </w:pPr>
      <w:r>
        <w:rPr>
          <w:rFonts w:ascii="Arial" w:cs="Arial" w:eastAsia="Arial" w:hAnsi="Arial"/>
          <w:sz w:val="17"/>
          <w:szCs w:val="17"/>
          <w:color w:val="auto"/>
        </w:rPr>
        <w:t>Royalty rates on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vaccine at the lower of the two royalty rates under their 1997 license agreement. Glaxo’s decision to pay the lower royalty rate (which is 70% of the full rate) is based upon Glaxo’s assertion that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not covered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With respect to the $27.5 million annual threshold, if worldwide net royalties on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exceed $27.5 million in any year, we would retain approximately 65% of all royalties in excess of $27.5 million. Irrespective of Glaxo’s position, we will still retain approximately 65% of the royalties on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if PRF receives 2.45 times the aggregate cash payments of $60 million it made to us, though the potential amount of such residual royalties will be lower if Glaxo’s position stands.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2010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2011 compared with Three Months Ended September 30,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Increase/</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(Decrease)</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93"/>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460" w:type="dxa"/>
            <w:vAlign w:val="bottom"/>
            <w:gridSpan w:val="2"/>
          </w:tcPr>
          <w:p>
            <w:pPr>
              <w:jc w:val="right"/>
              <w:ind w:right="66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1,371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(1,331)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1,281</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Royalty</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1,218</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6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13,841</w:t>
            </w:r>
          </w:p>
        </w:tc>
        <w:tc>
          <w:tcPr>
            <w:tcW w:w="3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(11,478)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(11,772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$2.7 million increase in net loss for the three months ended September 30, 2011 was primarily due to an increase in research and development expense and a decrease in product development and licensing agreement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40" w:firstLine="648"/>
        <w:spacing w:after="0" w:line="325" w:lineRule="auto"/>
        <w:rPr>
          <w:sz w:val="20"/>
          <w:szCs w:val="20"/>
          <w:color w:val="auto"/>
        </w:rPr>
      </w:pPr>
      <w:r>
        <w:rPr>
          <w:rFonts w:ascii="Arial" w:cs="Arial" w:eastAsia="Arial" w:hAnsi="Arial"/>
          <w:sz w:val="16"/>
          <w:szCs w:val="16"/>
          <w:color w:val="auto"/>
        </w:rPr>
        <w:t>The $1.3 million decrease in product development and licensing agreement revenue for the three months ended September 30, 2011 was primarily due to the Pfizer Termination which resulted in us recognizing the remaining deferred revenue related to the Pfizer Agreement in 2010. The $1.3 million increase in product royalty revenue for the three months ended September 30, 2011 was related to our retained interests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royalties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which were not sold to PRF and which is equal to the amount payable to CCH and recognized in royalty expense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ectPr>
          <w:pgSz w:w="11900" w:h="16838" w:orient="portrait"/>
          <w:cols w:equalWidth="0" w:num="1">
            <w:col w:w="11420"/>
          </w:cols>
          <w:pgMar w:left="240" w:top="341" w:right="239" w:bottom="154" w:gutter="0" w:footer="0" w:header="0"/>
        </w:sectPr>
      </w:pPr>
    </w:p>
    <w:bookmarkStart w:id="15" w:name="page16"/>
    <w:bookmarkEnd w:id="15"/>
    <w:p>
      <w:pPr>
        <w:spacing w:after="0" w:line="6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center"/>
              <w:ind w:right="498"/>
              <w:spacing w:after="0"/>
              <w:rPr>
                <w:sz w:val="20"/>
                <w:szCs w:val="20"/>
                <w:color w:val="auto"/>
              </w:rPr>
            </w:pPr>
            <w:r>
              <w:rPr>
                <w:rFonts w:ascii="Arial" w:cs="Arial" w:eastAsia="Arial" w:hAnsi="Arial"/>
                <w:sz w:val="14"/>
                <w:szCs w:val="14"/>
                <w:b w:val="1"/>
                <w:bCs w:val="1"/>
                <w:color w:val="auto"/>
                <w:w w:val="92"/>
              </w:rPr>
              <w:t>Increase/</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center"/>
              <w:ind w:right="498"/>
              <w:spacing w:after="0"/>
              <w:rPr>
                <w:sz w:val="20"/>
                <w:szCs w:val="20"/>
                <w:color w:val="auto"/>
              </w:rPr>
            </w:pPr>
            <w:r>
              <w:rPr>
                <w:rFonts w:ascii="Arial" w:cs="Arial" w:eastAsia="Arial" w:hAnsi="Arial"/>
                <w:sz w:val="14"/>
                <w:szCs w:val="14"/>
                <w:b w:val="1"/>
                <w:bCs w:val="1"/>
                <w:color w:val="auto"/>
                <w:w w:val="89"/>
              </w:rPr>
              <w:t>(Decrease)</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498"/>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3,123</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3,035</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88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Laboratory Supplies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388</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18"/>
                <w:szCs w:val="18"/>
                <w:color w:val="auto"/>
              </w:rPr>
            </w:pP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1,196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Product Development</w:t>
            </w: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2,810</w:t>
            </w:r>
          </w:p>
        </w:tc>
        <w:tc>
          <w:tcPr>
            <w:tcW w:w="6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1,657</w:t>
            </w:r>
          </w:p>
        </w:tc>
        <w:tc>
          <w:tcPr>
            <w:tcW w:w="420" w:type="dxa"/>
            <w:vAlign w:val="bottom"/>
          </w:tcPr>
          <w:p>
            <w:pPr>
              <w:spacing w:after="0"/>
              <w:rPr>
                <w:sz w:val="20"/>
                <w:szCs w:val="20"/>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1,153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bl>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Personnel expense for the three months ended September 30, 2011 was relatively consistent as compared to the three months ended September 30, 2010. We expect personnel expenses to increase over the next twelve months as we plan to continue to increase our headcount, primarily in clinical research personnel in preparation for our planned Phase 3 study of rindopepimut.</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Laboratory supply expenses for the three months ended September 30, 2011 was relatively consistent as compared to the three months ended September 30, 2010. We expect supply expenses to increase over the next twelve months as a result of increased research and development activities, although there may be fluctuations on a quarterly basis.</w:t>
      </w:r>
    </w:p>
    <w:p>
      <w:pPr>
        <w:spacing w:after="0" w:line="18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Facility expense for the three months ended September 30, 2011 was relatively consistent as compared to the three months ended September 30, 2010. We expect facility expenses to remain relatively consistent over the next twelve months, although there may be fluctuations on a quarterly basis.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$1.2 million increase in product development expenses for the three months ended September 30, 2011 was due to an increase in clinical trial costs of $1.2 million primarily due to our rindopepimut and CDX-011 programs. We expect product development expenses to increase over the next twelve months due to the increase in clinical trial expense primarily related to our rindopepimut program,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$1.1 million increase in royalty expenses for the three months ended September 30, 2011 was primarily due to an increase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related royalty fees. Our retained interests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royalties which were not sold to PRF are recorded as product royalty revenue and a corresponding amount that is payable to CCH is recorded as royalty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$0.1 million decrease in general and administrative expenses for the three months ended September 30, 2011 was primarily due to a decrease in legal and patent costs. We expect general and administrative expense to remain relatively consistent over the next twelve months, although there may be fluctuations on a quarterly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$0.2 million increase in amortization expenses for the three months ended September 30, 2011 was primarily due to certain intangible assets becoming fully amortized or written off during 2011. We expect amortization expense of acquired intangible assets to decrease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Investment and other income, net for the three months ended September 30, 2011 was relatively consistent as compared to the three months ended September 30, 2010. We anticipate investment income to decrease over the next twelve months due to lower cash and investment balances caused by the utilization of cash and investment balances in the normal course of funding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$0.1 million increase in interest expense for the three months ended September 30, 2011 was primarily due to our Term Loan that we entered into in December 2010 and amended in March 2011. In February 2011, we paid $12.8 million to satisfy all outstanding principal and accrued interest related to the CuraGen Debt. We anticipate interest expense to decrease over the next twelve months as we will begin making principal payments on our Term Loan on April 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2011 compared with Nine Months Ended September 30,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Nine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Increase/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27"/>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(Decrease)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9"/>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6"/>
          </w:tcPr>
          <w:p>
            <w:pPr>
              <w:jc w:val="right"/>
              <w:ind w:right="11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72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4,117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(4,052)</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6,761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4,735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r>
      <w:tr>
        <w:trPr>
          <w:trHeight w:val="104"/>
        </w:trPr>
        <w:tc>
          <w:tcPr>
            <w:tcW w:w="474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9,072</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(2,241)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Expense:</w:t>
            </w: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22,615</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Royalty</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1,484</w:t>
            </w:r>
          </w:p>
        </w:tc>
        <w:tc>
          <w:tcPr>
            <w:tcW w:w="6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37,847</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36,643</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6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3,379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(3,072)</w:t>
            </w: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356</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6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$6.9 million increase in net loss for the nine months ended September 30, 2011 was primarily due to an increase in research and development expense and a decrease in product development and licensing agreement revenue and other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$4.1 million decrease in product development and licensing agreement revenue for the nine months ended September 30, 2011 was primarily due to the Pfizer Termination which resulted in us recognizing the remaining deferred revenue related to the Pfizer Agreement in 2010. The $0.2 million decrease in contracts and grants revenue for the nine months ended September 30, 2011 was due to a decrease in revenue related to our vaccine development work on Rockefeller’s CDX-2401 program. The $2.0 million increase in product royalty revenue for the nine months ended September 30, 2011 was primarily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center"/>
              <w:ind w:right="518"/>
              <w:spacing w:after="0"/>
              <w:rPr>
                <w:sz w:val="20"/>
                <w:szCs w:val="20"/>
                <w:color w:val="auto"/>
              </w:rPr>
            </w:pPr>
            <w:r>
              <w:rPr>
                <w:rFonts w:ascii="Arial" w:cs="Arial" w:eastAsia="Arial" w:hAnsi="Arial"/>
                <w:sz w:val="14"/>
                <w:szCs w:val="14"/>
                <w:b w:val="1"/>
                <w:bCs w:val="1"/>
                <w:color w:val="auto"/>
                <w:w w:val="88"/>
              </w:rPr>
              <w:t>Increase/</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center"/>
              <w:ind w:right="518"/>
              <w:spacing w:after="0"/>
              <w:rPr>
                <w:sz w:val="20"/>
                <w:szCs w:val="20"/>
                <w:color w:val="auto"/>
              </w:rPr>
            </w:pPr>
            <w:r>
              <w:rPr>
                <w:rFonts w:ascii="Arial" w:cs="Arial" w:eastAsia="Arial" w:hAnsi="Arial"/>
                <w:sz w:val="14"/>
                <w:szCs w:val="14"/>
                <w:b w:val="1"/>
                <w:bCs w:val="1"/>
                <w:color w:val="auto"/>
                <w:w w:val="92"/>
              </w:rPr>
              <w:t>(Decrease)</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18"/>
              <w:spacing w:after="0" w:line="142"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9,505</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9,185</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320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Laboratory Supplies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1,508</w:t>
            </w:r>
          </w:p>
        </w:tc>
        <w:tc>
          <w:tcPr>
            <w:tcW w:w="6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440" w:type="dxa"/>
            <w:vAlign w:val="bottom"/>
          </w:tcPr>
          <w:p>
            <w:pPr>
              <w:spacing w:after="0"/>
              <w:rPr>
                <w:sz w:val="18"/>
                <w:szCs w:val="18"/>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375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3,567</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3,934</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(367)</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Product Development</w:t>
            </w: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5,898</w:t>
            </w:r>
          </w:p>
        </w:tc>
        <w:tc>
          <w:tcPr>
            <w:tcW w:w="6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4,332</w:t>
            </w:r>
          </w:p>
        </w:tc>
        <w:tc>
          <w:tcPr>
            <w:tcW w:w="440" w:type="dxa"/>
            <w:vAlign w:val="bottom"/>
          </w:tcPr>
          <w:p>
            <w:pPr>
              <w:spacing w:after="0"/>
              <w:rPr>
                <w:sz w:val="20"/>
                <w:szCs w:val="20"/>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1,566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bl>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$0.3 million increase in personnel expenses for the nine months ended September 30, 2011 was primarily due to higher headcount, partially offset by a decrease in stock-based compensation expense.</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$0.4 million increase in laboratory supply expense for the nine months ended September 30, 2011 was primarily due to renovations to our Fall River manufacturing facility during which manufacturing activities ceased for the nine months ended September 30, 2010.</w:t>
      </w:r>
    </w:p>
    <w:p>
      <w:pPr>
        <w:spacing w:after="0" w:line="14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$0.4 million decrease in facility expenses for the nine months ended September 30, 2011 was primarily due to lower depreciation and amortization expenses.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$1.6 million increase in product development expenses for the nine months ended September 30, 2011 was primarily due to an increase in clinical trial costs of $1.8 million primarily due to our rindopepimut and CDX-011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300" w:firstLine="648"/>
        <w:spacing w:after="0" w:line="234" w:lineRule="auto"/>
        <w:rPr>
          <w:sz w:val="20"/>
          <w:szCs w:val="20"/>
          <w:color w:val="auto"/>
        </w:rPr>
      </w:pPr>
      <w:r>
        <w:rPr>
          <w:rFonts w:ascii="Arial" w:cs="Arial" w:eastAsia="Arial" w:hAnsi="Arial"/>
          <w:sz w:val="18"/>
          <w:szCs w:val="18"/>
          <w:color w:val="auto"/>
        </w:rPr>
        <w:t>The $1.5 million increase in royalty expenses for the nine months ended September 30, 2011 was primarily due to an increase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royalty fees, partially offset by the lack of sublicense royalty fees during the nine months ended September 30, 2011 due to the Pfizer Termination which resulted in us recognizing the remaining deferred sublicense fees related to the Pfizer Agreement in 2010.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$0.9 million decrease in general and administrative expenses for the nine months ended September 30, 2011 was primarily due to a decrease in stock-based compensation, patent and other professional service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$1.0 million decrease in amortization expenses for the nine months ended September 30, 2011 was primarily due to intangible assets acquired in connection with the CuraGen Merger including the TopoTarget Agreement. In February 2010, TopoTarget entered into a co-development and commercialization agreement for</w:t>
      </w:r>
    </w:p>
    <w:p>
      <w:pPr>
        <w:sectPr>
          <w:pgSz w:w="11900" w:h="16838" w:orient="portrait"/>
          <w:cols w:equalWidth="0" w:num="1">
            <w:col w:w="11420"/>
          </w:cols>
          <w:pgMar w:left="240" w:top="140"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Belinostat with Spectrum Pharmaceuticals, Inc. which resulted in our receipt of $3.0 million which we recorded as Other Income for the nine months ended September 30, 2010 and we recorded amortization expense related to the TopoTarget Agreement of $1.5 million for the nine months ended September 30,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$3.1 million decrease in investment and other income, net for the nine months ended September 30, 2011 was primarily due to $3.0 million received in connection with the TopoTarget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$0.4 million increase in interest expense for the nine months ended September 30, 2011 was primarily due to our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September 30, 2011, our principal sources of liquidity consisted of cash, cash equivalents and marketable securities of $62.8 million. Our working capital at September 30, 2011 was $53.6 million. At September 30, 2011, our Term Loan balance was $15.1 million. We incurred a loss of $32.1 million for the nine months ended September 30, 2011. Net cash used in operations for the nine months ended September 30, 2011 was $26.3 million. We believe that the cash, cash equivalents and marketable securities at September 30, 2011 in addition to interest income on invested funds and our ability to control certain costs, including those related to clinical trials, manufacturing and preclinical activities, are sufficient to meet estimated working capital requirements and fund planned operations for at least the next twelve months.</w:t>
      </w:r>
    </w:p>
    <w:p>
      <w:pPr>
        <w:spacing w:after="0" w:line="19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raised net proceeds of $35.9 million from the sale of our common stock during the nine months ended September 30, 2011. During the next twelve months, we expect to take further steps to raise additional capital to fund our planned Phase 3 study of rindopepimut which we expect to cost at least $50 million and to meet our long-term liquidity needs including, but not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trials, license out programs earlier than expected, raise funds at significant discount or on other unfavorable terms, or sell all or part of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used in operating activities was $26.3 million for the nine months ended September 30, 2011 compared to $24.4 million for the nine months ended September 30, 2010. The increase in net cash used in operating activities was primarily due to changes in working capital and decreases during the nine months ended September 30, 2011 in other income and the related amortization of intangible assets resulting from the $3.0 million received in connection with the TopoTarget Agreement during the nine months ended September 30, 2010. We expect that cash used in operations will continue to increase over the next twelve months primarily related to our rindopepimut program.</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 to our collaborators.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Net cash used in investing activities was $10.2 million for the nine months ended September 30, 2011 compared to $23.7 million for the nine months ended September 30, 2010. The decrease in net cash used in investing activities was primarily due to net purchases of marketable securities for the nine months ended September 30, 2011 of $9.9 million as compared to $22.1 million for the nine months ended September 30, 2010. We expect that cash provided</w:t>
      </w:r>
    </w:p>
    <w:p>
      <w:pPr>
        <w:sectPr>
          <w:pgSz w:w="11900" w:h="16838" w:orient="portrait"/>
          <w:cols w:equalWidth="0" w:num="1">
            <w:col w:w="11420"/>
          </w:cols>
          <w:pgMar w:left="240" w:top="368" w:right="239" w:bottom="0" w:gutter="0" w:footer="0" w:header="0"/>
        </w:sectPr>
      </w:pPr>
    </w:p>
    <w:bookmarkStart w:id="18" w:name="page19"/>
    <w:bookmarkEnd w:id="18"/>
    <w:p>
      <w:pPr>
        <w:ind w:right="80"/>
        <w:spacing w:after="0" w:line="342" w:lineRule="auto"/>
        <w:rPr>
          <w:sz w:val="20"/>
          <w:szCs w:val="20"/>
          <w:color w:val="auto"/>
        </w:rPr>
      </w:pPr>
      <w:r>
        <w:rPr>
          <w:rFonts w:ascii="Arial" w:cs="Arial" w:eastAsia="Arial" w:hAnsi="Arial"/>
          <w:sz w:val="16"/>
          <w:szCs w:val="16"/>
          <w:color w:val="auto"/>
        </w:rPr>
        <w:t>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Net cash provided by financing activities was $28.3 million for the nine months ended September 30, 2011 compared to $0.9 million for the nine months ended September 30, 2010. The increase in net cash provided by financing activities was primarily due to the $35.9 million in net proceeds we received through the sale of 11,500,000 shares of our common stock in an underwritten public offering in May 2011 and the sale of 575,000 shares of common stock under the Cantor Agreement during the nine months ended September 30, 2011. In February 2011, we paid $12.5 million to satisfy all outstanding principal related to the CuraGen Debt. In March 2011, we amended the Loan Agreement and borrowed an additional $5 million from GECC to increase the amount owed under the Term Loan to $15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became effective on April 22, 2010.</w:t>
      </w:r>
    </w:p>
    <w:p>
      <w:pPr>
        <w:spacing w:after="0" w:line="12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January 6,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of up to 5% of the gross proceeds from each sale and to reimburse Cantor for certain expenses incurred in connection with entering into the Cantor Agreement. The Cantor Agreement terminates upon the sale of all 5,000,000 shares or upon ten day notice by either Cantor or us. During the nine months ended September 30, 2011, we sold 575,000 shares of common stock under the Cantor Agreement and raised $2.2 million in net proceeds, after deducting commission and offering expenses. During the three months ended September 30, 2011, we did not sell any shares of common stock under the Cantor Agreement. As of September 30, 2011, we had 4,425,000 shares available to be sold under the Cantor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May 2011, we issued 11,500,000 shares of our common stock in an underwritten public offering, including the underwriter’s exercise of their full over-allotment option to purchase an additional 1,500,000 shares of common stock. The net proceeds to us were $33.7 million, after deducting underwriting fees and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December 30, 2010, we entered into a Loan and Security Agreement (the “Loan Agreement”) with MidCap Financial, LLC (“MidCap”) pursuant to which we borrowed $10 million (the “Term Loan”)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w:t>
      </w:r>
    </w:p>
    <w:p>
      <w:pPr>
        <w:spacing w:after="0" w:line="2" w:lineRule="exact"/>
        <w:rPr>
          <w:sz w:val="20"/>
          <w:szCs w:val="20"/>
          <w:color w:val="auto"/>
        </w:rPr>
      </w:pPr>
    </w:p>
    <w:p>
      <w:pPr>
        <w:ind w:right="20" w:firstLine="8"/>
        <w:spacing w:after="0" w:line="270" w:lineRule="auto"/>
        <w:tabs>
          <w:tab w:leader="none" w:pos="285" w:val="left"/>
        </w:tabs>
        <w:numPr>
          <w:ilvl w:val="0"/>
          <w:numId w:val="9"/>
        </w:numPr>
        <w:rPr>
          <w:rFonts w:ascii="Arial" w:cs="Arial" w:eastAsia="Arial" w:hAnsi="Arial"/>
          <w:sz w:val="17"/>
          <w:szCs w:val="17"/>
          <w:color w:val="auto"/>
        </w:rPr>
      </w:pPr>
      <w:r>
        <w:rPr>
          <w:rFonts w:ascii="Arial" w:cs="Arial" w:eastAsia="Arial" w:hAnsi="Arial"/>
          <w:sz w:val="17"/>
          <w:szCs w:val="17"/>
          <w:color w:val="auto"/>
        </w:rPr>
        <w:t>6.25%; or (ii) a minimum rate of 9.50%. In September 2011, we exercised an option to extend the interest-only period by 6 months from October 1, 2011 to April 1, 2012. Interest on the Term Loan is payable monthly and principal is due in 22 equal consecutive monthly installments commencing on April 1, 2012. All unpaid principal and accrued interest with respect to the Term Loan is due and payable on the earlier of (A) December 30, 2013 or (B) the date that the Term Loan otherwise becomes due and payable under the terms of the Loan Agreement. We may prepay all, but not less than all, of the Term Loan subject to a prepayment premium of 1% in year three, 2% in year two, and 4% in year one of the original principal amount of the Term Loan. Upon repayment of the Term Loan in full, we are also obligated to make a final payment fee of $0.5 million (“Final Payment”).</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September 30, 2011, we believe we are in compliance with the Loan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2010 which was filed with the SEC on March 9, 2011 have not materially changed since we filed that report.</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In September 2011, we exercised an option to extend the interest-only period by 6 months from October 1, 2011 to April 1, 2012. Interest on the Term Loan is payable monthly and principal is due in 22 equal consecutive monthly installments commencing on April 1, 2012.</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September 30, 2011 due to the short-term maturities of these instruments.</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September 30, 2011,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nine months ended September 30, 2011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2010,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9,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0460" w:type="dxa"/>
            <w:vAlign w:val="bottom"/>
            <w:gridSpan w:val="2"/>
          </w:tcPr>
          <w:p>
            <w:pPr>
              <w:ind w:left="4620"/>
              <w:spacing w:after="0"/>
              <w:rPr>
                <w:sz w:val="20"/>
                <w:szCs w:val="20"/>
                <w:color w:val="auto"/>
              </w:rPr>
            </w:pPr>
            <w:r>
              <w:rPr>
                <w:rFonts w:ascii="Arial" w:cs="Arial" w:eastAsia="Arial" w:hAnsi="Arial"/>
                <w:sz w:val="18"/>
                <w:szCs w:val="18"/>
                <w:color w:val="auto"/>
              </w:rPr>
              <w:t>29</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2.1</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4"/>
              </w:rPr>
              <w:t>Agreement and Plan of Merger, dated as of May 28, 2009, by and among Celldex Therapeutics, Inc., CuraGen Corporation and Cottrell</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7"/>
              </w:rPr>
              <w:t>Merger Sub, Inc. incorporated by reference to Exhibit 2.1 of the Company’s Current Report on Form 8-K filed May 29, 2009 with the</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3.1</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8"/>
              </w:rPr>
              <w:t>Third Restated Certificate of Incorporation of the Company, incorporated by reference to Exhibit 3.1 of the Company’s Registration</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3.2</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5"/>
              </w:rPr>
              <w:t>Certificate of Amendment of Third Restated Certificate of Incorporation of the Company, incorporated by reference to Exhibit 3.1 of the</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2"/>
              </w:rPr>
              <w:t>Company’s Registration Statement on Form S-4 (Reg. No. 333-59215), filed July 16, 1998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3.3</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the Company’s Registration Statement on Form S-4 (Reg. No. 333-59215), filed July 16, 1998 with the Securities and Exchange</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3.4</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 of</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3.5</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3.6</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4"/>
              </w:rPr>
              <w:t>Fifth Certificate of Amendment of Third Restated Certificate of Incorporation of the Company, incorporated by reference to Exhibit 3.2 of</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3.7</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4"/>
              </w:rPr>
              <w:t>Sixth Certificate of Amendment of Third Restated Certificate of Incorporation of the Company, incorporated by reference to Exhibit 3.7 of</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4.3</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2"/>
              </w:rPr>
              <w:t>Amendment No. 2 to Shareholder Rights Agreement dated November 5, 2004, between the Company and Computershare Trust Company,</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3"/>
              </w:rPr>
              <w:t>N.A. (formerly EquiServe Trust Company, N.A.) as Rights Agent, incorporated by reference to Exhibit 10.1 of the Company’s Registration</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10.1</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7"/>
              </w:rPr>
              <w:t>Employment Agreement dated July 1, 2011 by and between the Company and Ronald A. Pepin, Ph.D. (incorporated by reference to</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Exhibit 10.1 of the Company’s Current Report on Form 8-K, filed on July 6, 2011 with the Securities and Exchange Commission.</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*10.2</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4"/>
              </w:rPr>
              <w:t>Master Services Agreement dated March 29, 2010 by and between the Company and Prologue Research International, Inc. (“Prologue”)</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*10.3</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w w:val="93"/>
              </w:rPr>
              <w:t>Amendment to Master Services Agreement dated July 6, 2011 by and between the Company and Novella Clinical Inc. (formerly known as</w:t>
            </w:r>
          </w:p>
        </w:tc>
      </w:tr>
      <w:tr>
        <w:trPr>
          <w:trHeight w:val="216"/>
        </w:trPr>
        <w:tc>
          <w:tcPr>
            <w:tcW w:w="1000" w:type="dxa"/>
            <w:vAlign w:val="bottom"/>
          </w:tcPr>
          <w:p>
            <w:pPr>
              <w:spacing w:after="0"/>
              <w:rPr>
                <w:sz w:val="18"/>
                <w:szCs w:val="18"/>
                <w:color w:val="auto"/>
              </w:rPr>
            </w:pP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Prologue)</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*31.1</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000" w:type="dxa"/>
            <w:vAlign w:val="bottom"/>
          </w:tcPr>
          <w:p>
            <w:pPr>
              <w:ind w:left="180"/>
              <w:spacing w:after="0"/>
              <w:rPr>
                <w:sz w:val="20"/>
                <w:szCs w:val="20"/>
                <w:color w:val="auto"/>
              </w:rPr>
            </w:pPr>
            <w:r>
              <w:rPr>
                <w:rFonts w:ascii="Arial" w:cs="Arial" w:eastAsia="Arial" w:hAnsi="Arial"/>
                <w:sz w:val="18"/>
                <w:szCs w:val="18"/>
                <w:color w:val="auto"/>
              </w:rPr>
              <w:t>*31.2</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**32.1</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1000" w:type="dxa"/>
            <w:vAlign w:val="bottom"/>
          </w:tcPr>
          <w:p>
            <w:pPr>
              <w:ind w:left="240"/>
              <w:spacing w:after="0"/>
              <w:rPr>
                <w:sz w:val="20"/>
                <w:szCs w:val="20"/>
                <w:color w:val="auto"/>
              </w:rPr>
            </w:pPr>
            <w:r>
              <w:rPr>
                <w:rFonts w:ascii="Arial" w:cs="Arial" w:eastAsia="Arial" w:hAnsi="Arial"/>
                <w:sz w:val="18"/>
                <w:szCs w:val="18"/>
                <w:color w:val="auto"/>
              </w:rPr>
              <w:t>101.1+</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1000" w:type="dxa"/>
            <w:vAlign w:val="bottom"/>
          </w:tcPr>
          <w:p>
            <w:pPr>
              <w:ind w:left="240"/>
              <w:spacing w:after="0"/>
              <w:rPr>
                <w:sz w:val="20"/>
                <w:szCs w:val="20"/>
                <w:color w:val="auto"/>
              </w:rPr>
            </w:pPr>
            <w:r>
              <w:rPr>
                <w:rFonts w:ascii="Arial" w:cs="Arial" w:eastAsia="Arial" w:hAnsi="Arial"/>
                <w:sz w:val="18"/>
                <w:szCs w:val="18"/>
                <w:color w:val="auto"/>
              </w:rPr>
              <w:t>101.2+</w:t>
            </w:r>
          </w:p>
        </w:tc>
        <w:tc>
          <w:tcPr>
            <w:tcW w:w="1046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Schema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17" w:right="199" w:bottom="0" w:gutter="0" w:footer="0" w:header="0"/>
        </w:sectPr>
      </w:pPr>
    </w:p>
    <w:bookmarkStart w:id="20" w:name="page21"/>
    <w:bookmarkEnd w:id="20"/>
    <w:p>
      <w:pPr>
        <w:ind w:left="240"/>
        <w:spacing w:after="0"/>
        <w:tabs>
          <w:tab w:leader="none" w:pos="12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XBRL Taxonomy Extension Calculation Linkbase Document.</w:t>
      </w:r>
    </w:p>
    <w:p>
      <w:pPr>
        <w:spacing w:after="0" w:line="23" w:lineRule="exact"/>
        <w:rPr>
          <w:sz w:val="20"/>
          <w:szCs w:val="20"/>
          <w:color w:val="auto"/>
        </w:rPr>
      </w:pPr>
    </w:p>
    <w:p>
      <w:pPr>
        <w:ind w:left="240"/>
        <w:spacing w:after="0"/>
        <w:tabs>
          <w:tab w:leader="none" w:pos="12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XBRL Taxonomy Extension Definition Linkbase Document.</w:t>
      </w:r>
    </w:p>
    <w:p>
      <w:pPr>
        <w:spacing w:after="0" w:line="9" w:lineRule="exact"/>
        <w:rPr>
          <w:sz w:val="20"/>
          <w:szCs w:val="20"/>
          <w:color w:val="auto"/>
        </w:rPr>
      </w:pPr>
    </w:p>
    <w:p>
      <w:pPr>
        <w:ind w:left="240"/>
        <w:spacing w:after="0"/>
        <w:tabs>
          <w:tab w:leader="none" w:pos="12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XBRL Taxonomy Extension Label Linkbase Document.</w:t>
      </w:r>
    </w:p>
    <w:p>
      <w:pPr>
        <w:spacing w:after="0" w:line="9" w:lineRule="exact"/>
        <w:rPr>
          <w:sz w:val="20"/>
          <w:szCs w:val="20"/>
          <w:color w:val="auto"/>
        </w:rPr>
      </w:pPr>
    </w:p>
    <w:p>
      <w:pPr>
        <w:ind w:left="240"/>
        <w:spacing w:after="0"/>
        <w:tabs>
          <w:tab w:leader="none" w:pos="12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40" w:hanging="714"/>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240" w:hanging="708"/>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240" w:right="140" w:hanging="707"/>
        <w:spacing w:after="0" w:line="261"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3, 2011</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3, 2011</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80" w:type="dxa"/>
            <w:vAlign w:val="bottom"/>
            <w:gridSpan w:val="2"/>
          </w:tcPr>
          <w:p>
            <w:pPr>
              <w:ind w:left="428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40" w:type="dxa"/>
            <w:vAlign w:val="bottom"/>
            <w:gridSpan w:val="4"/>
          </w:tcPr>
          <w:p>
            <w:pPr>
              <w:spacing w:after="0"/>
              <w:rPr>
                <w:rFonts w:ascii="Arial" w:cs="Arial" w:eastAsia="Arial" w:hAnsi="Arial"/>
                <w:sz w:val="18"/>
                <w:szCs w:val="18"/>
                <w:color w:val="0000EE"/>
                <w:w w:val="92"/>
              </w:rPr>
            </w:pPr>
            <w:hyperlink w:anchor="page1">
              <w:r>
                <w:rPr>
                  <w:rFonts w:ascii="Arial" w:cs="Arial" w:eastAsia="Arial" w:hAnsi="Arial"/>
                  <w:sz w:val="18"/>
                  <w:szCs w:val="18"/>
                  <w:color w:val="0000EE"/>
                  <w:w w:val="92"/>
                </w:rPr>
                <w:t>Table of Contents</w:t>
              </w:r>
            </w:hyperlink>
          </w:p>
        </w:tc>
        <w:tc>
          <w:tcPr>
            <w:tcW w:w="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60" w:type="dxa"/>
            <w:vAlign w:val="bottom"/>
            <w:gridSpan w:val="2"/>
          </w:tcPr>
          <w:p>
            <w:pPr>
              <w:ind w:left="36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1006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14"/>
                <w:szCs w:val="14"/>
                <w:color w:val="auto"/>
              </w:rPr>
            </w:pPr>
          </w:p>
        </w:tc>
        <w:tc>
          <w:tcPr>
            <w:tcW w:w="10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Agreement and Plan of Merger, dated as of May 28, 2009, by and among Celldex Therapeutics, Inc., CuraGen Corporation and Cottrell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6"/>
              </w:rPr>
              <w:t>Merger Sub, Inc. incorporated by reference to Exhibit 2.1 of the Company’s Current Report on Form 8-K filed May 29, 2009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0"/>
              </w:rPr>
              <w:t>Amendment No. 2 to Shareholder Rights Agreement dated November 5, 2004, between the Company and Computershare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N.A. (formerly EquiServe Trust Company, N.A.) as Rights Agent, incorporated by reference to Exhibit 10.1 of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Registration 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5"/>
              </w:rPr>
              <w:t>Employment Agreement dated July 1, 2011 by and between the Company and Ronald A. Pepin, Ph.D.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8"/>
              </w:rPr>
              <w:t>Exhibit 10.1 of the Company’s Current Report on Form 8-K, filed on July 6, 2011 with the Securities and Exchange Commission.</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2"/>
              </w:rPr>
              <w:t>Master Services Agreement dated March 29, 2010 by and between the Company and Prologue Research International, Inc. (“Prologue”)</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w w:val="91"/>
              </w:rPr>
              <w:t>Amendment to Master Services Agreement dated July 6, 2011 by and between the Company and Novella Clinical Inc. (formerly known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Prologue)</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31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2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-5387340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-5387340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250"/>
              <w:spacing w:after="0"/>
              <w:rPr>
                <w:sz w:val="20"/>
                <w:szCs w:val="20"/>
                <w:color w:val="auto"/>
              </w:rPr>
            </w:pPr>
            <w:r>
              <w:rPr>
                <w:rFonts w:ascii="Arial" w:cs="Arial" w:eastAsia="Arial" w:hAnsi="Arial"/>
                <w:sz w:val="18"/>
                <w:szCs w:val="18"/>
                <w:color w:val="auto"/>
                <w:w w:val="86"/>
              </w:rPr>
              <w:t>101.4+</w:t>
            </w:r>
          </w:p>
        </w:tc>
        <w:tc>
          <w:tcPr>
            <w:tcW w:w="4860" w:type="dxa"/>
            <w:vAlign w:val="bottom"/>
          </w:tcPr>
          <w:p>
            <w:pPr>
              <w:ind w:left="3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840" w:type="dxa"/>
            <w:vAlign w:val="bottom"/>
          </w:tcPr>
          <w:p>
            <w:pPr>
              <w:jc w:val="right"/>
              <w:ind w:right="250"/>
              <w:spacing w:after="0"/>
              <w:rPr>
                <w:sz w:val="20"/>
                <w:szCs w:val="20"/>
                <w:color w:val="auto"/>
              </w:rPr>
            </w:pPr>
            <w:r>
              <w:rPr>
                <w:rFonts w:ascii="Arial" w:cs="Arial" w:eastAsia="Arial" w:hAnsi="Arial"/>
                <w:sz w:val="18"/>
                <w:szCs w:val="18"/>
                <w:color w:val="auto"/>
                <w:w w:val="86"/>
              </w:rPr>
              <w:t>101.5+</w:t>
            </w:r>
          </w:p>
        </w:tc>
        <w:tc>
          <w:tcPr>
            <w:tcW w:w="486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40" w:type="dxa"/>
            <w:vAlign w:val="bottom"/>
          </w:tcPr>
          <w:p>
            <w:pPr>
              <w:jc w:val="right"/>
              <w:ind w:right="250"/>
              <w:spacing w:after="0"/>
              <w:rPr>
                <w:sz w:val="20"/>
                <w:szCs w:val="20"/>
                <w:color w:val="auto"/>
              </w:rPr>
            </w:pPr>
            <w:r>
              <w:rPr>
                <w:rFonts w:ascii="Arial" w:cs="Arial" w:eastAsia="Arial" w:hAnsi="Arial"/>
                <w:sz w:val="18"/>
                <w:szCs w:val="18"/>
                <w:color w:val="auto"/>
                <w:w w:val="86"/>
              </w:rPr>
              <w:t>101.6+</w:t>
            </w:r>
          </w:p>
        </w:tc>
        <w:tc>
          <w:tcPr>
            <w:tcW w:w="4860" w:type="dxa"/>
            <w:vAlign w:val="bottom"/>
          </w:tcPr>
          <w:p>
            <w:pPr>
              <w:ind w:left="3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60" w:hanging="96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1160" w:hanging="962"/>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60" w:hanging="961"/>
        <w:spacing w:after="0" w:line="290"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480" w:top="125" w:right="4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SERVICES AGREEMENT</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THIS MASTER SERVICES AGREEMENT </w:t>
      </w:r>
      <w:r>
        <w:rPr>
          <w:rFonts w:ascii="Arial" w:cs="Arial" w:eastAsia="Arial" w:hAnsi="Arial"/>
          <w:sz w:val="18"/>
          <w:szCs w:val="18"/>
          <w:color w:val="auto"/>
        </w:rPr>
        <w:t>(“MSA”) is effective as of the 29 day of March, 2010 (the “Effective Date”), by and between Celldex</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Inc. (“Celldex”) with headquarters at 119 Fourth Avenue, Needham, MA 02494, USA and Prologue Research International, Inc. (“Prologue”), with offices at 580 North Fourth Street, Suite 270, Columbus, Ohio 43215, USA.</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Prologue is engaged in providing clinical trial-related services in connection with the research and development of pharmaceutical products;</w:t>
      </w:r>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Celldex is an integrated biopharmaceutical company that applies its comprehensive Precision Targeted Immunotherapy Platform to generate a</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of candidates to treat cancer and other difficult-to-treat diseases; and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Celldex desires to engage Prologue to perform certain designated services relating to management of clinical trials in cancer patients.</w:t>
      </w:r>
    </w:p>
    <w:p>
      <w:pPr>
        <w:spacing w:after="0" w:line="23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promises and undertakings herein contained,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Services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Master Agreement</w:t>
      </w:r>
      <w:r>
        <w:rPr>
          <w:rFonts w:ascii="Arial" w:cs="Arial" w:eastAsia="Arial" w:hAnsi="Arial"/>
          <w:sz w:val="18"/>
          <w:szCs w:val="18"/>
          <w:color w:val="auto"/>
        </w:rPr>
        <w:t>. This MSA is intended by the parties to be a “master” form of contract and allows Prologue to work on one or more projects for Celldex without having to re-negotiate the basic terms and conditions contained herein. The parties contemplate that one or more studies will be conducted under this MSA, each under a separate agreed written Statement of Work as described below. Each agreed Statement of Work shall be duly signed by authorized representatives of both Parties and added to this MSA and incorporated herein. In the case of a conflict between a specific term in a Statement of Work and this MSA the Statement of Work shall control.</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Appointment</w:t>
      </w:r>
      <w:r>
        <w:rPr>
          <w:rFonts w:ascii="Arial" w:cs="Arial" w:eastAsia="Arial" w:hAnsi="Arial"/>
          <w:sz w:val="18"/>
          <w:szCs w:val="18"/>
          <w:color w:val="auto"/>
        </w:rPr>
        <w:t>. Prologue will perform services (the “Services”) for an individual project which will be described in a Statement of Work (“SOW”) covering the project and shall report regularly to Celldex regarding progress under such SOW including provision of all data, work products and results. In addition to a description of the Services, the SOW will also contain a budget, payment schedule and a Transfer of Obligations for the specific project. The term “Services” as used herein means work done on a project by Prologue for Celldex under a Statement of Work. If requested by Celldex, Prologue will advise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Celldex of the names and provide Celldex with the resume(s) of personnel prior to assigning them to perform the Services.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Change in Law or Rules Governing Clinical Trials</w:t>
      </w:r>
      <w:r>
        <w:rPr>
          <w:rFonts w:ascii="Arial" w:cs="Arial" w:eastAsia="Arial" w:hAnsi="Arial"/>
          <w:sz w:val="18"/>
          <w:szCs w:val="18"/>
          <w:color w:val="auto"/>
        </w:rPr>
        <w:t>. In the event the Food, Drug, and Cosmetic Act (the “Act”), or any rule or regulation governing any Services including without limitation any Good Clinical Practice regulation is amended revised or revoked during the term of this Agreement, the parties will discuss the effect of such change on the Agreement and/or on Services being provided under this MSA and work together in good faith to implement any necessary changes to the Services.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Sponsor under 21 CFR §312.52</w:t>
      </w:r>
      <w:r>
        <w:rPr>
          <w:rFonts w:ascii="Arial" w:cs="Arial" w:eastAsia="Arial" w:hAnsi="Arial"/>
          <w:sz w:val="18"/>
          <w:szCs w:val="18"/>
          <w:color w:val="auto"/>
        </w:rPr>
        <w:t>. Celldex remains the sponsor of all studies performed hereunder and has not transferred any obligations to Prologue pursuant to 21 CFR §312.52 unless specified in a Transfer of Obligations attached to and made a part of a Statement of Work. In any such instances, the obligations of Prologue will be mutually agreed to by Celldex and Prologue in writing. Celldex is responsible for the relationship with the Food and Drug Administration (“FDA”) unless specified in a Statement of Work.</w:t>
      </w:r>
    </w:p>
    <w:p>
      <w:pPr>
        <w:spacing w:after="0" w:line="187" w:lineRule="exact"/>
        <w:rPr>
          <w:sz w:val="20"/>
          <w:szCs w:val="20"/>
          <w:color w:val="auto"/>
        </w:rPr>
      </w:pPr>
    </w:p>
    <w:p>
      <w:pPr>
        <w:ind w:right="300" w:firstLine="648"/>
        <w:spacing w:after="0" w:line="271"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Changes to Agreement</w:t>
      </w:r>
      <w:r>
        <w:rPr>
          <w:rFonts w:ascii="Arial" w:cs="Arial" w:eastAsia="Arial" w:hAnsi="Arial"/>
          <w:sz w:val="17"/>
          <w:szCs w:val="17"/>
          <w:color w:val="auto"/>
        </w:rPr>
        <w:t>. The terms of this Agreement may be amended or modified by mutual, written agreement of Celldex and Prologue. If Celldex wishes to change the scope of Services covered by a Statement of Work or this Agreement, or wishes to obtain additional services not initially covered by this Agreement or a Statement of Work, or wishes to reduce or remove any of the Services covered by a Statement of Work, Celldex shall so advise Prologue and the parties will negotiate diligently and in good faith any revisions to the Services and related changes in fees and expenses. Prologue shall have no obligation to implement a modification, expend resources or provide additional services in the absence of a signed amendment to this Agreement; provided, however, that in the event Prologue does provide additional services or expend resources, at Celldex’s written request and in accordance with Celldex’s requirements, in the absence of a written amendment, Celldex will compensate and/or reimburse Prologue for all fees and reasonable costs incurred on a time and materials basis.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Prologue shall perform all of its Services set forth herein in strict accordance 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56"/>
        <w:spacing w:after="0" w:line="277" w:lineRule="auto"/>
        <w:tabs>
          <w:tab w:leader="none" w:pos="8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applicable statutes, rules, guidelines, and regulations, including without limitation (as far as applicable to data management and biometrics services and to regional law);</w:t>
      </w:r>
    </w:p>
    <w:p>
      <w:pPr>
        <w:spacing w:after="0" w:line="170" w:lineRule="exact"/>
        <w:rPr>
          <w:rFonts w:ascii="Arial" w:cs="Arial" w:eastAsia="Arial" w:hAnsi="Arial"/>
          <w:sz w:val="18"/>
          <w:szCs w:val="18"/>
          <w:color w:val="auto"/>
        </w:rPr>
      </w:pPr>
    </w:p>
    <w:p>
      <w:pPr>
        <w:ind w:left="1300" w:right="80" w:firstLine="5"/>
        <w:spacing w:after="0" w:line="291" w:lineRule="auto"/>
        <w:tabs>
          <w:tab w:leader="none" w:pos="151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United States Food, Drug and Cosmetic Act, as amended, and any and all rules and regulations promulgated there under (the “Act”), Title 21 Code of Federal Regulations (“CFR”) Parts 50, 56 and 312, and any other applicable FDA regulations or guidance documents;</w:t>
      </w:r>
    </w:p>
    <w:p>
      <w:pPr>
        <w:ind w:left="1560" w:hanging="255"/>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European Commission Directive </w:t>
      </w:r>
      <w:r>
        <w:rPr>
          <w:rFonts w:ascii="Arial" w:cs="Arial" w:eastAsia="Arial" w:hAnsi="Arial"/>
          <w:sz w:val="18"/>
          <w:szCs w:val="18"/>
          <w:i w:val="1"/>
          <w:iCs w:val="1"/>
          <w:color w:val="auto"/>
        </w:rPr>
        <w:t>2001/20</w:t>
      </w:r>
      <w:r>
        <w:rPr>
          <w:rFonts w:ascii="Arial" w:cs="Arial" w:eastAsia="Arial" w:hAnsi="Arial"/>
          <w:sz w:val="18"/>
          <w:szCs w:val="18"/>
          <w:color w:val="auto"/>
        </w:rPr>
        <w:t xml:space="preserve"> EC; (iv) and any applicable laws relating to patient privacy;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ICH guidelines and Good Clinical Practices;</w:t>
      </w:r>
    </w:p>
    <w:p>
      <w:pPr>
        <w:spacing w:after="0" w:line="210" w:lineRule="exact"/>
        <w:rPr>
          <w:rFonts w:ascii="Arial" w:cs="Arial" w:eastAsia="Arial" w:hAnsi="Arial"/>
          <w:sz w:val="18"/>
          <w:szCs w:val="18"/>
          <w:color w:val="auto"/>
        </w:rPr>
      </w:pPr>
    </w:p>
    <w:p>
      <w:pPr>
        <w:ind w:left="860" w:hanging="20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Protocol;</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Prologue’s or Celldex’s Standard Operating Procedures (SOP’s); and</w:t>
      </w:r>
    </w:p>
    <w:p>
      <w:pPr>
        <w:spacing w:after="0" w:line="9" w:lineRule="exact"/>
        <w:rPr>
          <w:rFonts w:ascii="Arial" w:cs="Arial" w:eastAsia="Arial" w:hAnsi="Arial"/>
          <w:sz w:val="18"/>
          <w:szCs w:val="18"/>
          <w:color w:val="auto"/>
        </w:rPr>
      </w:pPr>
    </w:p>
    <w:p>
      <w:pPr>
        <w:ind w:left="860" w:hanging="20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written instructions from Celldex.</w:t>
      </w:r>
    </w:p>
    <w:p>
      <w:pPr>
        <w:sectPr>
          <w:pgSz w:w="11900" w:h="16838" w:orient="portrait"/>
          <w:cols w:equalWidth="0" w:num="1">
            <w:col w:w="11420"/>
          </w:cols>
          <w:pgMar w:left="240" w:top="121" w:right="239" w:bottom="0" w:gutter="0" w:footer="0" w:header="0"/>
        </w:sectPr>
      </w:pPr>
    </w:p>
    <w:bookmarkStart w:id="23" w:name="page24"/>
    <w:bookmarkEnd w:id="23"/>
    <w:p>
      <w:pPr>
        <w:spacing w:after="0" w:line="10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Debarment</w:t>
      </w:r>
      <w:r>
        <w:rPr>
          <w:rFonts w:ascii="Arial" w:cs="Arial" w:eastAsia="Arial" w:hAnsi="Arial"/>
          <w:sz w:val="17"/>
          <w:szCs w:val="17"/>
          <w:color w:val="auto"/>
        </w:rPr>
        <w:t>. Prologue represents and warrants that it has never been debarred and, none of its employees, affiliates, subcontractors, or agents has ever been 1) debarred 2) threatened to be debarred or 3) to the best of its knowledge after due inquiry, indicted for a crime or otherwise engaged in conduct for which a person can be debarred, under Section 306(a) or (b) of the Food, Drug and Cosmetic Act [21 USC 335aj (“Section 306(a) or (bY). Prologue agrees that it will promptly notify Celldex in the event of any such debarment, conviction, threat or indictment related to the performance of Services hereunder. The terms of this paragraph shall survive the termination or expiration of this Agreement.</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Conflict of Interest</w:t>
      </w:r>
      <w:r>
        <w:rPr>
          <w:rFonts w:ascii="Arial" w:cs="Arial" w:eastAsia="Arial" w:hAnsi="Arial"/>
          <w:sz w:val="18"/>
          <w:szCs w:val="18"/>
          <w:color w:val="auto"/>
        </w:rPr>
        <w:t>. Prologue shall be free to provide services or conduct or sponsor clinical or research studies involving other parties, so long as a its agreement with any such third party does not prevent it from performing its obligations under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 Compensation and Expenses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Payment for Service</w:t>
      </w:r>
      <w:r>
        <w:rPr>
          <w:rFonts w:ascii="Arial" w:cs="Arial" w:eastAsia="Arial" w:hAnsi="Arial"/>
          <w:sz w:val="18"/>
          <w:szCs w:val="18"/>
          <w:color w:val="auto"/>
        </w:rPr>
        <w:t>. As compensation for Prologue’s performance of the Services described in each Statement of Work, Celldex shall pay Prologue fees for Services in the amounts and upon the terms specified in the study budget (“Budget”) attached to and made a part of each Statement of Work, in the manner stated in the payment schedule (the “Payment Schedule”) attached to said Budget.</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Travel &amp; Out-of-Pocket Expenses</w:t>
      </w:r>
      <w:r>
        <w:rPr>
          <w:rFonts w:ascii="Arial" w:cs="Arial" w:eastAsia="Arial" w:hAnsi="Arial"/>
          <w:sz w:val="18"/>
          <w:szCs w:val="18"/>
          <w:color w:val="auto"/>
        </w:rPr>
        <w:t>. Celldex will reimburse Prologue for travel and other reasonable out-of-pocket expenses incurred by Prologue personnel where incurred for the specific purpose of performance of Prologue’s obligations under the Scope-of-work. All pass through costs invoiced to Celldex will be at actual cost with no mark-up for administration or overhead. In the event Prologue incurs a pass through cost in a currency other than U.S. Dollars, the parties shall determine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amount payable based on the relevant conversion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invoice date. Travel and reasonable out-of-pocket expenses shall include the following:</w:t>
      </w:r>
    </w:p>
    <w:p>
      <w:pPr>
        <w:spacing w:after="0" w:line="170"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throughout the United States and Europe via commercial airlines, economy class; train or rental car.</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travel to places other than Prologue’s office by personal car at a rate to be agreed between the parties for each country;</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and reasonable lodging and meal expenses;</w:t>
      </w:r>
    </w:p>
    <w:p>
      <w:pPr>
        <w:spacing w:after="0" w:line="9" w:lineRule="exact"/>
        <w:rPr>
          <w:rFonts w:ascii="Arial" w:cs="Arial" w:eastAsia="Arial" w:hAnsi="Arial"/>
          <w:sz w:val="18"/>
          <w:szCs w:val="18"/>
          <w:color w:val="auto"/>
        </w:rPr>
      </w:pPr>
    </w:p>
    <w:p>
      <w:pPr>
        <w:ind w:left="660" w:hanging="4"/>
        <w:spacing w:after="0" w:line="250" w:lineRule="auto"/>
        <w:tabs>
          <w:tab w:leader="none" w:pos="8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and reasonable telephone expenses, mailing expenses, express courier expenses, facsimile expenses and photocopying expenses incurred in the performance of the Services under this Agreement; and</w:t>
      </w: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reasonable and necessary expenses as approved by Celldex.</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Invoices.</w:t>
      </w:r>
      <w:r>
        <w:rPr>
          <w:rFonts w:ascii="Arial" w:cs="Arial" w:eastAsia="Arial" w:hAnsi="Arial"/>
          <w:sz w:val="18"/>
          <w:szCs w:val="18"/>
          <w:color w:val="auto"/>
        </w:rPr>
        <w:t xml:space="preserve"> Prologue shall submit a reasonably detailed invoice of such travel and out-ofpocket expenses to Celldex each month. Prologue shall retain originals of receipts and shall permit Celldex to review and copy such receipts upon reasonable request.</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Applicable Taxes</w:t>
      </w:r>
      <w:r>
        <w:rPr>
          <w:rFonts w:ascii="Arial" w:cs="Arial" w:eastAsia="Arial" w:hAnsi="Arial"/>
          <w:sz w:val="18"/>
          <w:szCs w:val="18"/>
          <w:color w:val="auto"/>
        </w:rPr>
        <w:t>. Professional fees and out-of-pocket expenses shall be subject if necessary to VAT or other state or local taxes at the appropriate rate in force.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Payment in US Dollars</w:t>
      </w:r>
      <w:r>
        <w:rPr>
          <w:rFonts w:ascii="Arial" w:cs="Arial" w:eastAsia="Arial" w:hAnsi="Arial"/>
          <w:sz w:val="18"/>
          <w:szCs w:val="18"/>
          <w:color w:val="auto"/>
        </w:rPr>
        <w:t>. All invoices and payments will be in U.S. Dollars. Celldex will pay all invoices, via check or wire transfer of immediately available funds, within thirty (30) days of its receipt of an invoice. Invoices not paid within 30 days may be subject to interest which shall accrue and be payable at the rate of 12% per annum, calculated at the rate of 1 % per month.</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Payment Disputes</w:t>
      </w:r>
      <w:r>
        <w:rPr>
          <w:rFonts w:ascii="Arial" w:cs="Arial" w:eastAsia="Arial" w:hAnsi="Arial"/>
          <w:sz w:val="18"/>
          <w:szCs w:val="18"/>
          <w:color w:val="auto"/>
        </w:rPr>
        <w:t>. In the event Celldex disputes one or more items in an invoice, Celldex will notify Prologue in writing within ten (10) working days of receipt of the invoice and such notice shall contain a reasonably specific description of the item(s) being disputed and the basis therefore. Prologue will respond to Celldex within ten (10) working days of receipt of the notification. This written communication pattern will continue until Prologue has provided Celldex with sufficient justification for the disputed item(s) or until the parties agree to a resolution of the disputed amount. Celldex shall pay the undisputed portion of the invoice within 30 days of receipt of the invoice and shall use commercially reasonable efforts to pay the disputed amount within 15 days of resolution of the dispute.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3. Confidentiality</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Access to Confidential Information</w:t>
      </w:r>
      <w:r>
        <w:rPr>
          <w:rFonts w:ascii="Arial" w:cs="Arial" w:eastAsia="Arial" w:hAnsi="Arial"/>
          <w:sz w:val="18"/>
          <w:szCs w:val="18"/>
          <w:color w:val="auto"/>
        </w:rPr>
        <w:t>. Each party acknowledges that in connection with the performance of the Services, it may receive, learn or have access to confidential, trade secret, or proprietary information owned or controlled by the other party or third parties to whom the other party has an obligation of confidentiality (“Confidential Information”).</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Description of Confidential Information</w:t>
      </w:r>
      <w:r>
        <w:rPr>
          <w:rFonts w:ascii="Arial" w:cs="Arial" w:eastAsia="Arial" w:hAnsi="Arial"/>
          <w:sz w:val="17"/>
          <w:szCs w:val="17"/>
          <w:color w:val="auto"/>
        </w:rPr>
        <w:t>. Celldex’s Confidential Information shall include, without limitation, information regarding Celldex’s business, services, methodologies, marketing strategies, business plans and proposals, employees and personnel, standard operating procedures, prices and rates, technology, tools, programs and software programs; scientific or technical information including any experimental results, trade secret, invention, idea, procedure, formulation, process, formula or data; any information relating to Celldex drug products and proposed drug products; any information arising from the Services; current or proposed studies on Celldex products; prior research and results of studies on Celldex’s drug products; and reports and decisions resulting from clinical trials on Celldex’s drug products. Prologue Confidential Information shall include, without limitation, information regarding Prologue’s business including: information regarding Prologue services and documentation; business proposals, prices and rates; employees and personnel; business plans; marketing strategies, standard operating procedures, data, experimental results and trade secrets; business methodologies and processes and associated algorithms, tools, programs, software architecture and technology.</w:t>
      </w:r>
    </w:p>
    <w:p>
      <w:pPr>
        <w:spacing w:after="0" w:line="18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Obligation of Confidentiality and Non-Use</w:t>
      </w:r>
      <w:r>
        <w:rPr>
          <w:rFonts w:ascii="Arial" w:cs="Arial" w:eastAsia="Arial" w:hAnsi="Arial"/>
          <w:sz w:val="16"/>
          <w:szCs w:val="16"/>
          <w:color w:val="auto"/>
        </w:rPr>
        <w:t>. Each party agrees that: (a) it will use the other party’s Confidential Information only as may be necessary in connection with provision of the Services (or in the case of Celldex, such Confidential Information may be used by Celldex for the development of its study drug); (b) it will maintain all Confidential Information in trust and treat such Confidential Information as confidential and proprietary; (c) without the prior written consent of the other party, it will not disclose such Confidential Information orally or in writing to any third party (except however, to disclose such information to its respective agents, consultants or representatives, or IRB/Ethics Committee members, all of whom have a need to know such</w:t>
      </w:r>
    </w:p>
    <w:p>
      <w:pPr>
        <w:sectPr>
          <w:pgSz w:w="11900" w:h="16941" w:orient="portrait"/>
          <w:cols w:equalWidth="0" w:num="1">
            <w:col w:w="11420"/>
          </w:cols>
          <w:pgMar w:left="240" w:top="125" w:right="239" w:bottom="0" w:gutter="0" w:footer="0" w:header="0"/>
        </w:sectPr>
      </w:pPr>
    </w:p>
    <w:bookmarkStart w:id="24" w:name="page25"/>
    <w:bookmarkEnd w:id="24"/>
    <w:p>
      <w:pPr>
        <w:ind w:right="80"/>
        <w:spacing w:after="0" w:line="297" w:lineRule="auto"/>
        <w:rPr>
          <w:sz w:val="20"/>
          <w:szCs w:val="20"/>
          <w:color w:val="auto"/>
        </w:rPr>
      </w:pPr>
      <w:r>
        <w:rPr>
          <w:rFonts w:ascii="Arial" w:cs="Arial" w:eastAsia="Arial" w:hAnsi="Arial"/>
          <w:sz w:val="16"/>
          <w:szCs w:val="16"/>
          <w:color w:val="auto"/>
        </w:rPr>
        <w:t>information in connection with the purpose for which it is disclosed to the party and only after such agents, consultants or representatives, or IRB/Ethics Committee members have been advised of the confidential nature of such information and are bound by an obligation of confidentiality to the receiving party under terms substantially similar to the terms of this Agreement.); (d) it will take all reasonable precautions to protect the Confidential Information; and (e) it will not otherwise appropriate such Confidential Information to its own use or to the use of any other person or entity. Without limiting the foregoing, each party agrees to take at least such precautions to protect the other party’s Confidential Information as it takes to protect its own Confidential Information.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 Upon termination of this Agreement and request by the other party, each party will return to the other party or certify as destroyed all tangible items containing any of the other party’s Confidential Information that are held by that party or its employees, agents or contractors. However, each party may retain archive copies of information as required by applicable regulatory requirements. Each party agrees to notify the other party if it becomes aware of any unauthorized use or disclosure of the other party’s Confidential Information.</w:t>
      </w:r>
    </w:p>
    <w:p>
      <w:pPr>
        <w:spacing w:after="0" w:line="17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Disclosure Required by Law</w:t>
      </w:r>
      <w:r>
        <w:rPr>
          <w:rFonts w:ascii="Arial" w:cs="Arial" w:eastAsia="Arial" w:hAnsi="Arial"/>
          <w:sz w:val="18"/>
          <w:szCs w:val="18"/>
          <w:color w:val="auto"/>
        </w:rPr>
        <w:t>. If either party believes it is required by law or by a subpoena or court order to disclose any of the other party’s Confidential Information, it shall promptly notify the other party prior to any disclosure and shall make all reasonable efforts to allow the other party an opportunity to seek a protective order or other judicial relief.</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Exceptions to Non-Use &amp; Confidentiality</w:t>
      </w:r>
      <w:r>
        <w:rPr>
          <w:rFonts w:ascii="Arial" w:cs="Arial" w:eastAsia="Arial" w:hAnsi="Arial"/>
          <w:sz w:val="18"/>
          <w:szCs w:val="18"/>
          <w:color w:val="auto"/>
        </w:rPr>
        <w:t>. Nothing in this Agreement shall be construed to restrict disclosure or use of information that as shown by competent written proof (a) was in the possession of or rightfully known by the recipient, without an obligation to maintain its confidentiality, prior to receipt from the other party; (b) is or becomes generally known to the public without violation of this Agreement; (c) is obtained by the recipient in good faith from a third party having the right to disclose it without an obligation of confidentiality; (d) is independently developed by the receiving party without reference to or use of the other party’s Confidential Information.</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Confidentiality Term</w:t>
      </w:r>
      <w:r>
        <w:rPr>
          <w:rFonts w:ascii="Arial" w:cs="Arial" w:eastAsia="Arial" w:hAnsi="Arial"/>
          <w:sz w:val="18"/>
          <w:szCs w:val="18"/>
          <w:color w:val="auto"/>
        </w:rPr>
        <w:t>. The obligation of confidentiality and non-disclosure set forth in this Section 3 shall remain in effect for a period of ten (10) years after the expiration and/or termination of this Agreement. The terms and obligations of confidentiality and non-use of the parties contained in this Section 3 shall survive termination or expiration of this Agreement and the completion of the Services by Prologue.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Patient Information</w:t>
      </w:r>
      <w:r>
        <w:rPr>
          <w:rFonts w:ascii="Arial" w:cs="Arial" w:eastAsia="Arial" w:hAnsi="Arial"/>
          <w:sz w:val="18"/>
          <w:szCs w:val="18"/>
          <w:color w:val="auto"/>
        </w:rPr>
        <w:t>. Each party agrees not to disclose or utilize individual patient or medical claim information in any way that would violate any physician-patient confidence or any applicable laws or regulations. Any information containing personally identifiable patient data shall be handled in accordance with all applicable privacy laws, rules and regulations.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4. Term and Termination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shall remain in full effect until three (3) years after the Effective Date or until the last Statement of Work is completed. This Agreement may be renewed by mutual written consent of the parties for such additional period as the parties may agree upon.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In the event that either party commits a breach or default in any of the terms or conditions of this Agreement, and that party fails to remedy the default or breach within thirty (30) days after receipt of written notice of the default or breach from the other party, the party giving notice may, at its option, immediately terminate this Agreement or any Statement of Work attached to this Agreement at the end of the 3~-day notice period.</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Termination by Celldex</w:t>
      </w:r>
      <w:r>
        <w:rPr>
          <w:rFonts w:ascii="Arial" w:cs="Arial" w:eastAsia="Arial" w:hAnsi="Arial"/>
          <w:sz w:val="16"/>
          <w:szCs w:val="16"/>
          <w:color w:val="auto"/>
        </w:rPr>
        <w:t>. Celldex shall have the right to terminate this Agreement (for other than default or breach by Prologue) or any Statement of Work attached to this Agreement at any time by giving appropriate written notice at least sixty (60) days prior to the desired termination date.</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Termination by Prologue</w:t>
      </w:r>
      <w:r>
        <w:rPr>
          <w:rFonts w:ascii="Arial" w:cs="Arial" w:eastAsia="Arial" w:hAnsi="Arial"/>
          <w:sz w:val="18"/>
          <w:szCs w:val="18"/>
          <w:color w:val="auto"/>
        </w:rPr>
        <w:t>._Prologue shall have the right to terminate this Agreement (for other than default or breach by Celldex or any Statement of Work attached to this Agreement at any time by giving appropriate written notice at least sixty (60) days prior to the desired termination date. Notwithstanding anything in the forgoing sentence to the contrary, Prologue may, upon fifteen (15) days prior written notice to Celldex, terminate this Agreement or cease performing its obligations hereunder, without such cessation resulting in a Prologue breach or default, if Celldex fails to make payment to Prologue as required by Section 2 of this Agreement (after application of Subsection 2.6).</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Termination for Insolvency</w:t>
      </w:r>
      <w:r>
        <w:rPr>
          <w:rFonts w:ascii="Arial" w:cs="Arial" w:eastAsia="Arial" w:hAnsi="Arial"/>
          <w:sz w:val="17"/>
          <w:szCs w:val="17"/>
          <w:color w:val="auto"/>
        </w:rPr>
        <w:t>. Either party shall have the right to terminate this Agreement at any time upon written notice to the other party, if the other party has reasonable basis for believing the other party is about to become insolvent or bankrupt, the other party shall be adjudicated insolvent or shall petition for or consent to any relief under any insolvency, re-organization, receivership, liquidation, compromise, or any moratorium statute, whether now or hereafter in effect, or shall make an assignment for the benefit of its creditors, or shall petition for the appointment of a receiver, liquidator, trustee, or custodian for all or a substantial part of its assets, or if a receiver, liquidator, trustee or custodian is appointed for all or a substantial part of its assets and is not discharged within thirty (30) days after the date of such appointment. In the event that any of the events contemplated in this Section 4.3 occur, that party shall immediately notify the other, in writing, of its occurrence.</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Payment of Fees &amp; Expenses upon Termination</w:t>
      </w:r>
      <w:r>
        <w:rPr>
          <w:rFonts w:ascii="Arial" w:cs="Arial" w:eastAsia="Arial" w:hAnsi="Arial"/>
          <w:sz w:val="18"/>
          <w:szCs w:val="18"/>
          <w:color w:val="auto"/>
        </w:rPr>
        <w:t>. Upon termination or expiration of this Agreement, or any Statement of Work attached to this Agreement, Celldex will pay Prologue all fees due and expenses incurred or irrevocably committed up to the date notice of termination is received or date of expiration, plus fees and expenses for phase-down work associated with the Services following the date of receipt of notice, which are necessary for patient safety, government requirement compliance and/or which are requested by Celldex and agreed to by Prologue in an amendment to this Agreement or to a Statement of Work.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25" w:name="page26"/>
    <w:bookmarkEnd w:id="25"/>
    <w:p>
      <w:pPr>
        <w:spacing w:after="0" w:line="11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Winding Down of Services Upon Termination</w:t>
      </w:r>
      <w:r>
        <w:rPr>
          <w:rFonts w:ascii="Arial" w:cs="Arial" w:eastAsia="Arial" w:hAnsi="Arial"/>
          <w:sz w:val="17"/>
          <w:szCs w:val="17"/>
          <w:color w:val="auto"/>
        </w:rPr>
        <w:t>. Upon termination of this Agreement or of a Statement of Work attached to this Agreement, Prologue shall immediately cease providing Services there under. Prologue shall cooperate with Celldex, at Celldex’s reasonable request, to develop and begin implementing a wind-down plan for the services including where appropriate the transition to new service provider(s) designated by Celldex; provided, however, that Celldex compensates Prologue for all services provided in connection with such wind-down plan on a time and materials basis or other mutually agreed-upon rate. In connection with any termination or expiration of this Agreement, Prologue shall return to Celldex all copies of all materials, data, work product, specimens, reports and all other property of Celldex under this Agreement (subject to the provisions of Subsection 3.4).</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5. Indemnification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Celldex Indemnification</w:t>
      </w:r>
      <w:r>
        <w:rPr>
          <w:rFonts w:ascii="Arial" w:cs="Arial" w:eastAsia="Arial" w:hAnsi="Arial"/>
          <w:sz w:val="17"/>
          <w:szCs w:val="17"/>
          <w:color w:val="auto"/>
        </w:rPr>
        <w:t>. Celldex agrees to indemnify and hold harmless Prologue, its affiliates and their respective officers, directors, employees, agents and other representatives against claims, expenses, or losses arising out of or related to this Agreement or the Services, except to the extent that such claims, expenses or losses result from Prologue’s or any other indemnitee’s negligence, wrongful acts or willful misconduct.</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Prologue Indemnification</w:t>
      </w:r>
      <w:r>
        <w:rPr>
          <w:rFonts w:ascii="Arial" w:cs="Arial" w:eastAsia="Arial" w:hAnsi="Arial"/>
          <w:sz w:val="18"/>
          <w:szCs w:val="18"/>
          <w:color w:val="auto"/>
        </w:rPr>
        <w:t>. Prologue agrees to indemnify and hold harmless Celldex, its affiliates and their respective officers, directors, employees, agents and other representatives against claims, expenses or losses resulting from Prologue’s negligence, wrongful acts or willful misconduct, except to the extent that such claims result from Prologue’s actions taken at the specific direction of Celldex or Celldex’s negligence, wrongful acts or willful misconduct.</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Notice of Claim</w:t>
      </w:r>
      <w:r>
        <w:rPr>
          <w:rFonts w:ascii="Arial" w:cs="Arial" w:eastAsia="Arial" w:hAnsi="Arial"/>
          <w:sz w:val="16"/>
          <w:szCs w:val="16"/>
          <w:color w:val="auto"/>
        </w:rPr>
        <w:t>. Each party’s obligations under Section 5 of this Agreement are further conditioned upon the indemnified party giving the indemnifying party timely written notice and assistance in the defense of any claim, proceeding or investigation; provided however, that failure of the indemnified party to give such notice shall not limit the indemnified party’s right to indemnification except in such case where such failure materially and adversely affects the indemnifying party’s ability to defend against such claim, proceeding or investigation and then only to the extent of such adverse effect.</w:t>
      </w:r>
    </w:p>
    <w:p>
      <w:pPr>
        <w:spacing w:after="0" w:line="154"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Consent for Settlement of Claim</w:t>
      </w:r>
      <w:r>
        <w:rPr>
          <w:rFonts w:ascii="Arial" w:cs="Arial" w:eastAsia="Arial" w:hAnsi="Arial"/>
          <w:sz w:val="16"/>
          <w:szCs w:val="16"/>
          <w:color w:val="auto"/>
        </w:rPr>
        <w:t>. Neither party will enter into any settlement agreement that attributes fault or negligence to the other party, requires any payment by the other party, or restricts the future actions or activities of the other party, without the other party’s prior written consent.</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With the exception of liability arising out of the obligation of confidentiality set forth in Section 3 or the indemnification provisions of this Agreement set forth in Section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NEITHER PARTY SHALL HAVE ANY LIABILITY TO THE OTHER OR TO ANY THIRD PARTY FOR ANY SPECIAL, INDIRECT,</w:t>
      </w:r>
      <w:r>
        <w:rPr>
          <w:rFonts w:ascii="Arial" w:cs="Arial" w:eastAsia="Arial" w:hAnsi="Arial"/>
          <w:sz w:val="18"/>
          <w:szCs w:val="18"/>
          <w:color w:val="auto"/>
        </w:rPr>
        <w:t xml:space="preserve"> </w:t>
      </w:r>
      <w:r>
        <w:rPr>
          <w:rFonts w:ascii="Arial" w:cs="Arial" w:eastAsia="Arial" w:hAnsi="Arial"/>
          <w:sz w:val="18"/>
          <w:szCs w:val="18"/>
          <w:b w:val="1"/>
          <w:bCs w:val="1"/>
          <w:color w:val="auto"/>
        </w:rPr>
        <w:t>INCIDENTAL PUNITIVE OR CONSEQUENTIAL DAMAGES IN CONNECTION WITH THIS AGREEMENT.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6. Representations and Warranties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Mutual Representations</w:t>
      </w:r>
      <w:r>
        <w:rPr>
          <w:rFonts w:ascii="Arial" w:cs="Arial" w:eastAsia="Arial" w:hAnsi="Arial"/>
          <w:sz w:val="17"/>
          <w:szCs w:val="17"/>
          <w:color w:val="auto"/>
        </w:rPr>
        <w:t>. Each party represents and warrants the following: (a) that it is authorized to enter into this Agreement and that the terms of this Agreement are not inconsistent with or a violation of any contracted or other legal obligation to which it is subject; and (b) that in performing under this Agreement it shall (i) conduct business in conformance with sound ethical standards of integrity and honesty and in compliance with all applicable laws, regulations and guidelines; (ii) conduct business in such a way as to not give the appearance of impropriety, even when the behavior or activity is in compliance with the law; and (iii) not achieve business results by illegal act or unethical conduct.</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Licenses &amp; Permits</w:t>
      </w:r>
      <w:r>
        <w:rPr>
          <w:rFonts w:ascii="Arial" w:cs="Arial" w:eastAsia="Arial" w:hAnsi="Arial"/>
          <w:sz w:val="18"/>
          <w:szCs w:val="18"/>
          <w:color w:val="auto"/>
        </w:rPr>
        <w:t>. Prologue represents that it has all necessary or appropriate qualifications, authorizations, licenses or permits to perform the Services.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7. Dispute Resolution</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 Celldex and Prologue recognize that a bona fide dispute may arise under this Agreement which may relate to either party’s rights and/or obligations hereunder or under any Statement of Work attached to this Agreement. Celldex and Prologue agree that they shall use all commercially reasonable efforts to resolve, in an amicable manner, any dispute that may arise.</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Injunctive Relief</w:t>
      </w:r>
      <w:r>
        <w:rPr>
          <w:rFonts w:ascii="Arial" w:cs="Arial" w:eastAsia="Arial" w:hAnsi="Arial"/>
          <w:sz w:val="18"/>
          <w:szCs w:val="18"/>
          <w:color w:val="auto"/>
        </w:rPr>
        <w:t>. Notwithstanding the provisions of Section 7.1, each party reserves the right to seek injunctive or other relief in a court of competent jurisdiction if it believes that immediate relief is necessary to protect its business interest.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8. Patents, Rights in Work Product and Trade Secrets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Inventions &amp; Discoveries</w:t>
      </w:r>
      <w:r>
        <w:rPr>
          <w:rFonts w:ascii="Arial" w:cs="Arial" w:eastAsia="Arial" w:hAnsi="Arial"/>
          <w:sz w:val="18"/>
          <w:szCs w:val="18"/>
          <w:color w:val="auto"/>
        </w:rPr>
        <w:t>. The parties acknowledge and agree that any invention, discovery, or improvement directly related to Celldex’s study drug, protocol, or Celldex’s Confidential Information, which is conceived or reduced to practice as a direct consequence of Prologue’s performance of Services hereunder (the “Inventions”) shall be Celldex’s exclusive property and can be used by Celldex as it deems appropriate. Prologue shall promptly disclose in writing to Celldex details of all such Inventions.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Prologue agrees to execute and have executed assignments of the Inventions (or any and all rights therein) to Celldex, along with other documents that may be necessary or helpful to Celldex in filing patent applications, or which may relate to any litigation or interference and/or controversy in connection therewith. The entire control, prosecution, and conduct of any patent application filed by Celldex shall be outside the jurisdiction of and without expense to Prologue and its officers, employees, representatives and agents. Prologue acknowledges that Celldex has the exclusive right to file patent applications and own patents in connection with the Inventions.</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Work for Hire</w:t>
      </w:r>
      <w:r>
        <w:rPr>
          <w:rFonts w:ascii="Arial" w:cs="Arial" w:eastAsia="Arial" w:hAnsi="Arial"/>
          <w:sz w:val="16"/>
          <w:szCs w:val="16"/>
          <w:color w:val="auto"/>
        </w:rPr>
        <w:t>. The parties expressly agree that all original works of authorship, reports, data, technical information, communications, materials, and/or concepts and plans developed by Prologue which are or have been made, conceived or written by Prologue or its employees and which are based upon Services performed by Prologue for Celldex pursuant to this Agreement is a work made for hire as defined under 17 USC §101 and shall belong exclusively</w:t>
      </w:r>
    </w:p>
    <w:p>
      <w:pPr>
        <w:sectPr>
          <w:pgSz w:w="11900" w:h="16952" w:orient="portrait"/>
          <w:cols w:equalWidth="0" w:num="1">
            <w:col w:w="11380"/>
          </w:cols>
          <w:pgMar w:left="240" w:top="125" w:right="279" w:bottom="0" w:gutter="0" w:footer="0" w:header="0"/>
        </w:sectPr>
      </w:pPr>
    </w:p>
    <w:bookmarkStart w:id="26" w:name="page27"/>
    <w:bookmarkEnd w:id="26"/>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Celldex, including, without limitation, all rights to obtain copyrights therein. In cases where an original work or a copy of an original work cannot be assigned to and owned by Celldex, Celldex shall be notified by Prologue, and Prologue shall obtain rights of use in Celldex’s favour, as Celldex may require. All communications, materials and artwork provided by Celldex shall remain the property of Celldex, including, without limitation, any copyrights or other intellectual property rights therein.</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Intellectual Property of a Party Owned Prior to Agreement</w:t>
      </w:r>
      <w:r>
        <w:rPr>
          <w:rFonts w:ascii="Arial" w:cs="Arial" w:eastAsia="Arial" w:hAnsi="Arial"/>
          <w:sz w:val="17"/>
          <w:szCs w:val="17"/>
          <w:color w:val="auto"/>
        </w:rPr>
        <w:t>. Each party agrees that all inventions, processes, technology, know-how, trade secrets, improvements, other intellectual property and other assets, including, without limitation, computer programs and software (including code), applications, databases, methods, techniques, processes and other materials and ideas of or used by the other party under this Agreement, and not supplied to one party by such other party (“Prologue Technology” or “Celldex Technology” as the case may be), are the exclusive property of the relevant party or its licensors. The parties agree that any improvements, alterations or enhancements to the other party’s Technology during the term of this Agreement or any SOW conducted under this Agreement shall be the sole property of such party. In no event shall Prologue be precluded from use of its general knowledge, skills and experience, and of any ideas, concepts, know-how and techniques used or learned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course of providing Services under this Agreement. No rights or licenses to any patent rights or any other proprietary rights of Celldex are implied or granted under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9. Communications and Payments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as otherwise provided herein, all notices, consents, or approvals required under this Agreement will be in writing delivered personally or delivered by facsimile, electronic mail, first class mail, or by a commercial overnight courier that guarantees next day delivery (in the case of notice by facsimile or electronic mail, a confirmation shall thereafter be transmitted to the addressee by first class mail or by a commercial overnight courier that guarantees next day delivery), addressed as follows:</w:t>
      </w:r>
    </w:p>
    <w:p>
      <w:pPr>
        <w:sectPr>
          <w:pgSz w:w="11900" w:h="16975" w:orient="portrait"/>
          <w:cols w:equalWidth="0" w:num="1">
            <w:col w:w="11400"/>
          </w:cols>
          <w:pgMar w:left="240" w:top="125" w:right="259" w:bottom="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Celldex:</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Celldex Therapeutics, Inc.</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119 Fourth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Needham, MA 02494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Attention: President/CEO</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Phone: (781) 433-0771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(781) 433-0262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If to Prologue: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Prologue Research International,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540 North Fourth Street, Suite 270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Columbus, Ohio 43215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(614) 324-1500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(614)324-0683</w:t>
      </w:r>
    </w:p>
    <w:p>
      <w:pPr>
        <w:spacing w:after="0" w:line="200" w:lineRule="exact"/>
        <w:rPr>
          <w:sz w:val="20"/>
          <w:szCs w:val="20"/>
          <w:color w:val="auto"/>
        </w:rPr>
      </w:pPr>
    </w:p>
    <w:p>
      <w:pPr>
        <w:sectPr>
          <w:pgSz w:w="11900" w:h="16975" w:orient="portrait"/>
          <w:cols w:equalWidth="0" w:num="2">
            <w:col w:w="5060" w:space="720"/>
            <w:col w:w="5620"/>
          </w:cols>
          <w:pgMar w:left="240" w:top="125" w:right="259" w:bottom="0" w:gutter="0" w:footer="0" w:header="0"/>
          <w:type w:val="continuous"/>
        </w:sectPr>
      </w:pPr>
    </w:p>
    <w:p>
      <w:pPr>
        <w:spacing w:after="0" w:line="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Payments</w:t>
      </w:r>
      <w:r>
        <w:rPr>
          <w:rFonts w:ascii="Arial" w:cs="Arial" w:eastAsia="Arial" w:hAnsi="Arial"/>
          <w:sz w:val="18"/>
          <w:szCs w:val="18"/>
          <w:color w:val="auto"/>
        </w:rPr>
        <w:t>. Payments made by Celldex to Prologue via check should be mailed to the Columbus, Ohio address above, Attention: Accounts Receivable.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10. Insurance</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Prologue Insurance</w:t>
      </w:r>
      <w:r>
        <w:rPr>
          <w:rFonts w:ascii="Arial" w:cs="Arial" w:eastAsia="Arial" w:hAnsi="Arial"/>
          <w:sz w:val="16"/>
          <w:szCs w:val="16"/>
          <w:color w:val="auto"/>
        </w:rPr>
        <w:t>. Prologue warrants that throughout the term of this Agreement it shall maintain a policy or program of insurance or self-insurance at levels sufficient to support its obligations of indemnification assumed herein in paragraph 5.2. The amount shall not be less than $3,000,000 for each occurrence for liability arising out of bodily injury, property damage and personal injury and a $2,000,000 umbrella policy excluding products and completed operations. Upon written request, Prologue will provide evidence of its insurance or if self-insured, its most recent audited financial statement to Celldex. Prologue will provide to Celldex thirty (30) days prior written notice of any change in or cancellation of its insurance or self-insurance.</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Celldex Insurance</w:t>
      </w:r>
      <w:r>
        <w:rPr>
          <w:rFonts w:ascii="Arial" w:cs="Arial" w:eastAsia="Arial" w:hAnsi="Arial"/>
          <w:sz w:val="18"/>
          <w:szCs w:val="18"/>
          <w:color w:val="auto"/>
        </w:rPr>
        <w:t>. Celldex warrants that throughout the term of this Agreement it shall maintain a policy of insurance at levels sufficient to support its indemnification obligations assumed in paragraph 5.1 herein, but the amount shall not be less than $5 million for each occurrence and $5 million aggregate for bodily injury, personal liability or death. Such insurance shall be Comprehensive General Liability Insurance, Excess Umbrella Liability Insurance and Products Liability Insurance (and shall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include coverage for clinical trials liability, Contractual liability and products liability) for personal and bodily injury and broad form property damage. Such insurance shall be on an occurrence basis (except Products Liability Insurance which is on a claims made basis) and shall (a) be with insurance carriers acceptable to Prologue, (b) name Prologue as an additional insured, and (c) provide that Celldex shall give Prologue thirty (30) days prior written notice of any change in or cancellation of its insurance. If requested by Prologue, Celldex shall deliver certificate(s) of insurance evidencing such coverage prior to the execution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11. Miscellaneous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hereto are independent contractors. Nothing in this Agreement is intended or shall be deemed to constitute a partnership, franchise or joint venture relationship between the parties. Neither party shall incur any debts or make any commitments for the other except to the extent, if at all, specifically provided for in this Agreement or as otherwise authorized in writing.</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Prologue nor Celldex shall incur any liability to the other in the event of non-performance or delay in the performance of its obligations under this Agreement if caused directly or indirectly by strikes, lockouts, inability to procure materials, failure of power, restrictive government or judicial orders, riots, insurrection, war, Acts of God, or other similar reasons beyond Prologue’s or Celldex’s control (“Force Majeure”). Any such non-performance shall be excused for the period of such delay, provided Prologue has used best efforts to mitigate the disruption in Services and the resulting costs of such delays to Celldex.</w:t>
      </w:r>
    </w:p>
    <w:p>
      <w:pPr>
        <w:spacing w:after="0" w:line="18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Publicity</w:t>
      </w:r>
      <w:r>
        <w:rPr>
          <w:rFonts w:ascii="Arial" w:cs="Arial" w:eastAsia="Arial" w:hAnsi="Arial"/>
          <w:sz w:val="16"/>
          <w:szCs w:val="16"/>
          <w:color w:val="auto"/>
        </w:rPr>
        <w:t>. Except as required by law, neither party shall use the name of the other party or disclose its relationship with the other party, the terms or existence of this Agreement, without the prior written consent of the other party in any press release or other public disclosure, whether such disclosure be</w:t>
      </w:r>
    </w:p>
    <w:p>
      <w:pPr>
        <w:sectPr>
          <w:pgSz w:w="11900" w:h="16975" w:orient="portrait"/>
          <w:cols w:equalWidth="0" w:num="1">
            <w:col w:w="11400"/>
          </w:cols>
          <w:pgMar w:left="240" w:top="125" w:right="25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in writing, orally or otherwise.</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have the right to assign this Agreement or any of the rights or obligations hereunder without the prior written consent of the other party, except that (a) either party may assign this Agreement to a parent or subsidiary company or to a successor to that area of its business to which this Agreement is related and in the case of Prologue that has the financial and operational capacity and ability to perform the obligations set forth in this Agreement and all Statements of Work attached to this Agreement; and (b) Celldex may assign this Agreement to any entity acquiring all or substantially all of the assets to which this Agreement relates or upon a merger or consolidation with another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Maintenance of Records</w:t>
      </w:r>
      <w:r>
        <w:rPr>
          <w:rFonts w:ascii="Arial" w:cs="Arial" w:eastAsia="Arial" w:hAnsi="Arial"/>
          <w:sz w:val="17"/>
          <w:szCs w:val="17"/>
          <w:color w:val="auto"/>
        </w:rPr>
        <w:t>. Prologue shall maintain complete and accurate records relating to its performance of the Services and pass-through expenses incurred in connection therewith. Prologue agrees to maintain such records and data during and after the term or early termination of this Agreement in compliance with all applicable laws and regulatory requirements. Records and data should not be destroyed without contacting Celldex beforehand, who may request that said records be further maintained at Celldex’s expense. During the term of this Agreement and for one year thereafter, Celldex or its designee may, upon reasonable notice and at Celldex’s sole cost and expense, audit Prologue’s records, facilities or procedures related to Prologue’s provision of the Services. Celldex agrees to hold such records and procedures in confidence. Audits shall be conducted by Celldex on site at Prologue, in a manner designed to cause the least interruption to Prologue’s business operations. Celldex’s right to audit described in this Section 11.5 shall be limited to one (1) audit per 6-month period. Prologue shall notify Sponsor immediately of any impending inspection or audit by the FDA or other federal, state, or foreign government authority which relates to the Services.</w:t>
      </w:r>
    </w:p>
    <w:p>
      <w:pPr>
        <w:spacing w:after="0" w:line="18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found invalid or unenforceable by a court of competent jurisdiction, the remainder of this Agreement shall continue in full force and effect and the invalid or unenforceable provision shall be deemed amended to conform to applicable laws and to accomplish the intentions of the parties.</w:t>
      </w:r>
    </w:p>
    <w:p>
      <w:pPr>
        <w:spacing w:after="0" w:line="18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The parties hereto acknowledge that each has read this Agreement, understands it and agrees to be bound by its terms. The parties agree that this Agreement is the complete agreement between the parties on the subject matter and supersedes all proposals (oral or written), understandings, representations, conditions, warranties, covenants and other communications between the parties relating to the same subject matter.</w:t>
      </w:r>
    </w:p>
    <w:p>
      <w:pPr>
        <w:spacing w:after="0" w:line="14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terms, provisions, representations and warranties contained in this Agreement that, by their sense and context are intended to survive the performance thereof by either party or both parties hereunder, shall so survive the completion of performance, expiration or termination of this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Captions &amp; Headings</w:t>
      </w:r>
      <w:r>
        <w:rPr>
          <w:rFonts w:ascii="Arial" w:cs="Arial" w:eastAsia="Arial" w:hAnsi="Arial"/>
          <w:sz w:val="18"/>
          <w:szCs w:val="18"/>
          <w:color w:val="auto"/>
        </w:rPr>
        <w:t>. The captions and headings in this Agreement are for convenience and reference only, and they shall in no way be held to explain, modify, or construe the meaning of the terms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11 .10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 This Agreement may be executed in counterparts, each of which shall be deemed an original but all of which taken together shall constitute one and the same instrument.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giving effect to the choice of law principles thereof. The parties hereby consent to the jurisdiction of the state and federal courts sitting in the State of New York, and any Courts of Appeal there from, in connection with any dispute arising in connection with this Agreement or the provision by Prologue of Services hereunder.</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No Waiver.</w:t>
      </w:r>
      <w:r>
        <w:rPr>
          <w:rFonts w:ascii="Arial" w:cs="Arial" w:eastAsia="Arial" w:hAnsi="Arial"/>
          <w:sz w:val="18"/>
          <w:szCs w:val="18"/>
          <w:color w:val="auto"/>
        </w:rPr>
        <w:t xml:space="preserve"> Failure on the part of Celldex or Prologue to exercise or enforce any right conferred upon it hereunder shall not be deemed to be a waiver of any such right nor operate to bar the exercise or enforcement thereof at any time or times thereafter.</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following have caused this General Services Agreement to be . executed by their respective duly authorized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CELLDEX THERAPEUTICS, INC.</w:t>
            </w:r>
          </w:p>
        </w:tc>
        <w:tc>
          <w:tcPr>
            <w:tcW w:w="5860" w:type="dxa"/>
            <w:vAlign w:val="bottom"/>
            <w:gridSpan w:val="2"/>
          </w:tcPr>
          <w:p>
            <w:pPr>
              <w:ind w:left="340"/>
              <w:spacing w:after="0"/>
              <w:rPr>
                <w:sz w:val="20"/>
                <w:szCs w:val="20"/>
                <w:color w:val="auto"/>
              </w:rPr>
            </w:pPr>
            <w:r>
              <w:rPr>
                <w:rFonts w:ascii="Arial" w:cs="Arial" w:eastAsia="Arial" w:hAnsi="Arial"/>
                <w:sz w:val="18"/>
                <w:szCs w:val="18"/>
                <w:b w:val="1"/>
                <w:bCs w:val="1"/>
                <w:color w:val="auto"/>
              </w:rPr>
              <w:t>PROLOGUE RESEARCH INTERNATIONAL,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/s/ Thomas Davis</w:t>
            </w:r>
          </w:p>
        </w:tc>
        <w:tc>
          <w:tcPr>
            <w:tcW w:w="1040" w:type="dxa"/>
            <w:vAlign w:val="bottom"/>
          </w:tcPr>
          <w:p>
            <w:pPr>
              <w:ind w:left="340"/>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illegible</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Thomas Davis MD</w:t>
            </w:r>
          </w:p>
        </w:tc>
        <w:tc>
          <w:tcPr>
            <w:tcW w:w="1040" w:type="dxa"/>
            <w:vAlign w:val="bottom"/>
          </w:tcPr>
          <w:p>
            <w:pPr>
              <w:ind w:left="3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illegible</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CMO</w:t>
            </w:r>
          </w:p>
        </w:tc>
        <w:tc>
          <w:tcPr>
            <w:tcW w:w="1040" w:type="dxa"/>
            <w:vAlign w:val="bottom"/>
          </w:tcPr>
          <w:p>
            <w:pPr>
              <w:ind w:left="3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President</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March 31, 2010</w:t>
            </w:r>
          </w:p>
        </w:tc>
        <w:tc>
          <w:tcPr>
            <w:tcW w:w="1040" w:type="dxa"/>
            <w:vAlign w:val="bottom"/>
          </w:tcPr>
          <w:p>
            <w:pPr>
              <w:ind w:left="340"/>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March 29, 2010</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SERVICES AGREEMENT</w:t>
      </w:r>
    </w:p>
    <w:p>
      <w:pPr>
        <w:spacing w:after="0" w:line="211"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This Amendment (“Amendment”) is entered into effective as of the last date signed below (the “Effective Date”), by and between Celldex Therapeutics, Inc., with offices located at 119 Fourth Avenue, Needham, MA 02494 (“Celldex”), and Novella Clinical Inc., a Delaware corporation with principal offices located at 4309 Emperor Blvd., Suite 400, Durham, North Carolina 27703, formerly Prologue Research Internaltional, Inc. (“Novella”).</w:t>
      </w:r>
    </w:p>
    <w:p>
      <w:pPr>
        <w:spacing w:after="0" w:line="14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Prologue Research International, Inc. (“Prologue”) and Celldex entered into that certain Master Services Agreement, dated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29, 2010 (hereinafter the “MSA”);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Prologue was acquired by Novella Clinical, Inc. (“Novella”) effective December 31, 2010;</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MSA between Prologue and Celldex included a provision that allowed assignment of the MSA to a successor which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and operational capacity to perform the obligations set forth in the MSA;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mutually desire to amend the MSA in the manner set forth below.</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is hereby acknowledged, the parties hereby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6" w:lineRule="exact"/>
        <w:rPr>
          <w:sz w:val="20"/>
          <w:szCs w:val="20"/>
          <w:color w:val="auto"/>
        </w:rPr>
      </w:pPr>
    </w:p>
    <w:p>
      <w:pPr>
        <w:ind w:left="520" w:hanging="18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the parties to this MSA are now Novella and Celldex.</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language is added to Section 1 Services of the MSA:</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Section 1.9 Investigator Payments.</w:t>
      </w:r>
      <w:r>
        <w:rPr>
          <w:rFonts w:ascii="Arial" w:cs="Arial" w:eastAsia="Arial" w:hAnsi="Arial"/>
          <w:sz w:val="18"/>
          <w:szCs w:val="18"/>
          <w:color w:val="auto"/>
        </w:rPr>
        <w:t xml:space="preserve"> If Novella will be paying Investigators on behalf of Celldex, Novella will request advance funds for payments to sites. Novella’s initial invoice will estimate the administrative costs for the sites (Le., non-refundable setup fees, IRB fees, etc). For the per patient fees, Novella will estimate and invoice for the site reimbursement fees on a quarterly basis utilizing enrollment projections agreed to with Celldex. Should additional funds be required during the payment time frame established in the Work Order, Novella will submit an invoice to Celldex as soon as practical. Investigator payments are pass-through expenses and will be subject to the terms detailed in the Investigator Agreement with each site. Novella will not issue any payment to a site until funds are received from Celldex. Novella will provide Celldex with an accounting of funds disbursed to Investigators on a monthly basis and will reimburse any funds paid by Celldex which are not required to be passed on to Investigators. If VAT is charged by a site, Novella will pass this tax onto Celldex as a pass-through payment.</w:t>
      </w:r>
    </w:p>
    <w:p>
      <w:pPr>
        <w:spacing w:after="0" w:line="1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u w:val="single" w:color="auto"/>
          <w:color w:val="auto"/>
        </w:rPr>
        <w:t>Section 1.10 Vendor Payments.</w:t>
      </w:r>
      <w:r>
        <w:rPr>
          <w:rFonts w:ascii="Arial" w:cs="Arial" w:eastAsia="Arial" w:hAnsi="Arial"/>
          <w:sz w:val="18"/>
          <w:szCs w:val="18"/>
          <w:color w:val="auto"/>
        </w:rPr>
        <w:t xml:space="preserve"> If Novella will be paying outside Vendors on behalf of Celldex, Novella will provide Celldex with an estimate of the funding required for this purpose for each calendar quarter not later than 30 days prior to the start of said quarter. Celldex will transfer the required funding to Novella not less than three days prior to the beginning of the quarter. Payments will be subject to the terms detailed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specific agreements between the parties. Should additional funds be required in a quarter, Novella will submit a request to Celldex with appropriate documentation as soon as practicable. If not all funds are projected to be disbursed by the end of a given quarter, Novella will adjust the forecast for the following quarter accordingly. Novella will provide Celldex with an accounting of funds disbursed to Vendors, including applicable administration fees on a monthly basis and will reimburse any funds paid by Celldex which are not required to be passed on to Vendors. No payments will be made to Vendors until receipt of funds at Novella. Celldex shall be responsible for any late fees or penalties imposed on Novella by third party vendors as a result of late payments or nonpayment made by Celldex.</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Section 1.11 Project Delay.</w:t>
      </w:r>
      <w:r>
        <w:rPr>
          <w:rFonts w:ascii="Arial" w:cs="Arial" w:eastAsia="Arial" w:hAnsi="Arial"/>
          <w:sz w:val="16"/>
          <w:szCs w:val="16"/>
          <w:color w:val="auto"/>
        </w:rPr>
        <w:t xml:space="preserve"> In the event that a project delay or temporary project hold is requested by Celldex, the total sums payable by Celldex for Service Fees shall be prorated for actual Services completed in accordance with this MSA through the date of notification of delay or project hold. In addition, Celldex shall pay Novella for all noncancellable costs and for all Pass-through Costs, including those incurred in connection with the delay, as such costs are set forth in the SOW. Any final payment still owed to Novella, or any refund due Celldex, pursuant to this Section, will be made by Celldex or Novella, as applicable, within 30 days of the reconciliation invoice(s) from Novella. In the event the Celldex chooses to maintain Novella’s core team, the Parties shall negotiate in good faith to determine the appropriate amount to be paid by Celldex to Novella in light of the circumstances of delay, with such final agreement to be set forth in a amendment. Nothing herein obligates either Celldex or Novella to hold core team members for delays in excess of 60 days.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The following Sections of the MSA are revised: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1.6Ca) Compliance with Applicable Laws</w:t>
      </w:r>
      <w:r>
        <w:rPr>
          <w:rFonts w:ascii="Arial" w:cs="Arial" w:eastAsia="Arial" w:hAnsi="Arial"/>
          <w:sz w:val="18"/>
          <w:szCs w:val="18"/>
          <w:color w:val="auto"/>
        </w:rPr>
        <w:t xml:space="preserve"> is revised to add the following language,</w:t>
      </w:r>
    </w:p>
    <w:p>
      <w:pPr>
        <w:spacing w:after="0" w:line="22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Medicines and Healthcare products Regulatory Agency, the European Medicines Agency and the General Medical Council;</w:t>
      </w:r>
    </w:p>
    <w:p>
      <w:pPr>
        <w:spacing w:after="0" w:line="225" w:lineRule="exact"/>
        <w:rPr>
          <w:rFonts w:ascii="Arial" w:cs="Arial" w:eastAsia="Arial" w:hAnsi="Arial"/>
          <w:sz w:val="18"/>
          <w:szCs w:val="18"/>
          <w:color w:val="auto"/>
        </w:rPr>
      </w:pPr>
    </w:p>
    <w:p>
      <w:pPr>
        <w:ind w:right="80" w:firstLine="8"/>
        <w:spacing w:after="0" w:line="26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ICH Harmonised Tripartite Guideline for Good Clinical Practice (ICH_E-6) together with such other good clinical practice requirements as are specified in Directive 2001/20/EC of the European Parliament and the Council of 4 April 2001 relating to medicinal products for human use and in guidance published by the European Commission pursuant to such Directive;</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Directive 200S/28/EC, the Human Rights Act 1998;</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Protection Act 1998, E.U. Data Protection Directive 9S/46/EC;</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Medicines Act 1968;</w:t>
      </w:r>
    </w:p>
    <w:p>
      <w:pPr>
        <w:spacing w:after="0" w:line="225" w:lineRule="exact"/>
        <w:rPr>
          <w:rFonts w:ascii="Arial" w:cs="Arial" w:eastAsia="Arial" w:hAnsi="Arial"/>
          <w:sz w:val="18"/>
          <w:szCs w:val="18"/>
          <w:color w:val="auto"/>
        </w:rPr>
      </w:pPr>
    </w:p>
    <w:p>
      <w:pPr>
        <w:ind w:right="100" w:firstLine="8"/>
        <w:spacing w:after="0" w:line="342" w:lineRule="auto"/>
        <w:tabs>
          <w:tab w:leader="none" w:pos="3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Medicines for Human Use (Clinical Trial) Regulations 2004, and with all relevant guidance relating to medicines and clinical trials from time to time in force including, but not limited to, the World Medical Association Declaration of Helsinki entitled ‘Ethical Principles for Medical Research Involving</w:t>
      </w:r>
    </w:p>
    <w:p>
      <w:pPr>
        <w:sectPr>
          <w:pgSz w:w="11900" w:h="16838" w:orient="portrait"/>
          <w:cols w:equalWidth="0" w:num="1">
            <w:col w:w="11420"/>
          </w:cols>
          <w:pgMar w:left="240" w:top="121" w:right="239" w:bottom="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color w:val="auto"/>
        </w:rPr>
        <w:t>Human Subjects’ (1996 version), the NHS Research Governance Framework for Health and Social Care (version 2, April 200S), guidelines from time to time in force and published by The Association of the British Pharmaceutical Industry in relation to clinical trials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particular those entitled “Clinical Trial Compensation Guidelines” (1991), and the regulations promulgated pursuant thereto.</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Section 2.1 Travel &amp; Out-of-Pocket Expenses, sentence 3 previously read,</w:t>
      </w:r>
      <w:r>
        <w:rPr>
          <w:rFonts w:ascii="Arial" w:cs="Arial" w:eastAsia="Arial" w:hAnsi="Arial"/>
          <w:sz w:val="16"/>
          <w:szCs w:val="16"/>
          <w:color w:val="auto"/>
        </w:rPr>
        <w:t xml:space="preserve"> “ In the event Prologue incurs a pass through cost in a currency other than US Dollars, the parties shall determine the amount payable based on the relevant conversion rate as reported in the Wall Street Journal on the invoice date,”</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Section 2.1 Travel &amp; Out-of-Pocket Expenses, sentence 3 is revised to read as follows,</w:t>
      </w:r>
      <w:r>
        <w:rPr>
          <w:rFonts w:ascii="Arial" w:cs="Arial" w:eastAsia="Arial" w:hAnsi="Arial"/>
          <w:sz w:val="18"/>
          <w:szCs w:val="18"/>
          <w:color w:val="auto"/>
        </w:rPr>
        <w:t xml:space="preserve"> “In the event Novella incurs a pass through cost in a currency other than US Dollars, the parties shall determine the amount payable based on the relevant conversion rate as reported as the daily average ask price rounded to the closest hundredths place at www,Oanda.com on the last day of the month that the invoice is paid by Novella.”</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Section 2.4 Applicable Taxes</w:t>
      </w:r>
      <w:r>
        <w:rPr>
          <w:rFonts w:ascii="Arial" w:cs="Arial" w:eastAsia="Arial" w:hAnsi="Arial"/>
          <w:sz w:val="18"/>
          <w:szCs w:val="18"/>
          <w:color w:val="auto"/>
        </w:rPr>
        <w:t xml:space="preserve"> previously read, “Professional fees and out-of-pocket expenses shall be subject if necessary to VAT or other state or local taxes at the appropriate rate in force.”</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u w:val="single" w:color="auto"/>
          <w:color w:val="auto"/>
        </w:rPr>
        <w:t>Section 2.4 Applicable Taxes</w:t>
      </w:r>
      <w:r>
        <w:rPr>
          <w:rFonts w:ascii="Arial" w:cs="Arial" w:eastAsia="Arial" w:hAnsi="Arial"/>
          <w:sz w:val="18"/>
          <w:szCs w:val="18"/>
          <w:color w:val="auto"/>
        </w:rPr>
        <w:t xml:space="preserve"> is revised to read, “On global studies, all fees are exclusive of Value Added Tax (VAT). Taxes (and any penalties thereon) imposed on any payment made by Celldex to Novella for Services shall be the responsibility of Novella, Celldex is responsible for payment of all indirect taxes, including VAT and custom duties.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Section 2.5 Payment in US Dollars</w:t>
      </w:r>
      <w:r>
        <w:rPr>
          <w:rFonts w:ascii="Arial" w:cs="Arial" w:eastAsia="Arial" w:hAnsi="Arial"/>
          <w:sz w:val="18"/>
          <w:szCs w:val="18"/>
          <w:color w:val="auto"/>
        </w:rPr>
        <w:t xml:space="preserve"> is revised to add the following language, “For Statements of Work that involve the performance of Services or incurrence of expenses by Novella in any countries that use currencies other than U.S. Dollars, then the baseline exchange rate will equal the exchange rate as reported as the daily average ask price rounded to the closest hundredths place (“Exchange Rate”) at www,Oanda.com on the effective date of each Statement of Work (“SOW”), The Exchange Rate will be reviewed on a semi-annual basis as of each six month anniversary of the effective date of each SOW. If the average Exchange Rate for the ten trading days prior to the date of the semiannual review deviates by more than five percent in either direction of the Exchange Rate in effect, then the parties agree to adjust the costs on amounts invoiced from that point forward. If the gain or loss is less than five percent, then no adjustment will be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9.2 Payments</w:t>
      </w:r>
      <w:r>
        <w:rPr>
          <w:rFonts w:ascii="Arial" w:cs="Arial" w:eastAsia="Arial" w:hAnsi="Arial"/>
          <w:sz w:val="18"/>
          <w:szCs w:val="18"/>
          <w:color w:val="auto"/>
        </w:rPr>
        <w:t xml:space="preserve"> shall be deleted in its entirety and replaced with the following language: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“Payments to Novella shall be made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If by Courier: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Novella Clinical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63267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28263-3267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ID#: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Or by Wire Transfer at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Novella Clinical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Citizens Bank, RTP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Routing Number = #########</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Account Number =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Tax ID#: ## #######</w:t>
      </w:r>
    </w:p>
    <w:p>
      <w:pPr>
        <w:spacing w:after="0" w:line="200" w:lineRule="exact"/>
        <w:rPr>
          <w:sz w:val="20"/>
          <w:szCs w:val="20"/>
          <w:color w:val="auto"/>
        </w:rPr>
      </w:pPr>
    </w:p>
    <w:p>
      <w:pPr>
        <w:sectPr>
          <w:pgSz w:w="11900" w:h="16838" w:orient="portrait"/>
          <w:cols w:equalWidth="0" w:num="2">
            <w:col w:w="4140" w:space="720"/>
            <w:col w:w="6560"/>
          </w:cols>
          <w:pgMar w:left="240" w:top="125" w:right="239" w:bottom="0" w:gutter="0" w:footer="0" w:header="0"/>
          <w:type w:val="continuous"/>
        </w:sectPr>
      </w:pPr>
    </w:p>
    <w:p>
      <w:pPr>
        <w:spacing w:after="0" w:line="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Section 10.1 Prologue Insurance</w:t>
      </w:r>
      <w:r>
        <w:rPr>
          <w:rFonts w:ascii="Arial" w:cs="Arial" w:eastAsia="Arial" w:hAnsi="Arial"/>
          <w:sz w:val="18"/>
          <w:szCs w:val="18"/>
          <w:color w:val="auto"/>
        </w:rPr>
        <w:t xml:space="preserve"> is deleted in its entirety, and replaced with the following language, “Novella will maintain insurance during the term of this MSA at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sufficient to support its obligations under each sow. The amount shall not be less than $1,000,000 for each occurrence, and $2,000,000 in the aggregate for Commercial General Liability, with an umbrella policy of $5,000,000 over top of the Commercial General Liability. Novella will provide copies of insurance certificates upon request and will give thirty (30) days prior written notification to Celldex of any cancellation or decrease in coverage in their coverage.”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11.5 Maintenance of Records</w:t>
      </w:r>
      <w:r>
        <w:rPr>
          <w:rFonts w:ascii="Arial" w:cs="Arial" w:eastAsia="Arial" w:hAnsi="Arial"/>
          <w:sz w:val="18"/>
          <w:szCs w:val="18"/>
          <w:color w:val="auto"/>
        </w:rPr>
        <w:t xml:space="preserve"> is deleted in its entirety and replaced with the following language: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term of each SOW, Novella shall maintain all study related records and all other data obtained or generated by Novella in the course of providing the Services under that SOW, including all computerized records and files, in a secure area reasonably protected from fire, theft and destruction in compliance with all applicable laws and regulatory requirements. At the expiration or termination each SOW and upon written instruction of Celldex, all materials and all other data and information obtained or generated by Novella in the course of providing the Services hereunder shall, at Celldex’s option, be (i) delivered to Celldex at its offices in such form as is then currently in the possession of Novella, or (ii) disposed of, at the direction and written request of Celldex, unless such materials are otherwise required to be stored or maintained by Novella as a matter of law or regulation. Celldex shall have sole responsibility for the costs of shipping or destruction of the materials referred to herein. Celldex shall retain and be responsible for the performance of any carrier designated by Celldex for the shipping of materials. In no event shall Novella dispose of any materials or data or other information obtained or generated by Novella in the course of providing the Services hereunder without first giving Celldex sixty (60) days prior written notice of its intent to do so. Notwithstanding the foregoing, Novella may retain copies of any of the materials referred to herein as are deemed reasonably necessary, in Novella’s sole discretion, for regulatory or insurance purposes or to demonstrate the performance of its obligations hereunder, subject to its ongoing obligations to maintain the confidentiality of such materials.”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The following Sections are added to Section 11 Miscellaneous: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u w:val="single" w:color="auto"/>
          <w:color w:val="auto"/>
        </w:rPr>
        <w:t>Section 11.13 Employment.</w:t>
      </w:r>
      <w:r>
        <w:rPr>
          <w:rFonts w:ascii="Arial" w:cs="Arial" w:eastAsia="Arial" w:hAnsi="Arial"/>
          <w:sz w:val="17"/>
          <w:szCs w:val="17"/>
          <w:color w:val="auto"/>
        </w:rPr>
        <w:t xml:space="preserve"> Neither party shall not knowingly and intentionally, directly or indirectly, as a contractor, subcontractor, employer, joint venturer or otherwise, engage the services of any subcontractor, employee or agent of the other party who or which performs Services hereunder during the term of this engagement or for a period of one year following termination. The parties acknowledge that damages for any actual or anticipated breach of this MSA may be difficult or impossible to measure and therefore agree that in addition to any other legal or equitable rights, that either party shall be entitled to obtain temporary or permanent injunctive relief to enforce the terms hereof, all without notice or bond.”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11.14 Inspections.</w:t>
      </w:r>
    </w:p>
    <w:p>
      <w:pPr>
        <w:sectPr>
          <w:pgSz w:w="11900" w:h="16838" w:orient="portrait"/>
          <w:cols w:equalWidth="0" w:num="1">
            <w:col w:w="11420"/>
          </w:cols>
          <w:pgMar w:left="240" w:top="125" w:right="239" w:bottom="0" w:gutter="0" w:footer="0" w:header="0"/>
          <w:type w:val="continuous"/>
        </w:sectPr>
      </w:pPr>
    </w:p>
    <w:bookmarkStart w:id="30" w:name="page31"/>
    <w:bookmarkEnd w:id="30"/>
    <w:p>
      <w:pPr>
        <w:ind w:right="600" w:firstLine="8"/>
        <w:spacing w:after="0" w:line="277"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Inspections by Sponsor</w:t>
      </w:r>
      <w:r>
        <w:rPr>
          <w:rFonts w:ascii="Arial" w:cs="Arial" w:eastAsia="Arial" w:hAnsi="Arial"/>
          <w:sz w:val="18"/>
          <w:szCs w:val="18"/>
          <w:color w:val="auto"/>
        </w:rPr>
        <w:t>. Novella shall cooperate with any internal review or audit by Celldex, and at Celldex’s sole cost and expense, make records pertinent to the contracted services available to Celldex and their agents for examination, during normal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hours subject to at least 10 business days advance notice to Novella, the facilities where the Services are being conducted, study documentation, study data and any other relevant information necessary to confirm that the Services are being conducted in conformance with applicable standard operating procedures, the specific SOW, this Agreement and in compliance with applicable laws and regulations. Novella shall provide copies of any records pertaining to Celldex’s project reasonably requested by Celldex during such review or audit. Audits shall be conducted by Celldex on site at Novella, in a manner designed to cause the least interruption to Novella. Celldex’s right to perform a standard audit shall be limited to one audit per 6 month period. “For cause” audits are not limited.</w:t>
      </w:r>
    </w:p>
    <w:p>
      <w:pPr>
        <w:spacing w:after="0" w:line="193" w:lineRule="exact"/>
        <w:rPr>
          <w:sz w:val="20"/>
          <w:szCs w:val="20"/>
          <w:color w:val="auto"/>
        </w:rPr>
      </w:pPr>
    </w:p>
    <w:p>
      <w:pPr>
        <w:ind w:right="80" w:firstLine="8"/>
        <w:spacing w:after="0" w:line="25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Inspections by Regulatory Agency</w:t>
      </w:r>
      <w:r>
        <w:rPr>
          <w:rFonts w:ascii="Arial" w:cs="Arial" w:eastAsia="Arial" w:hAnsi="Arial"/>
          <w:sz w:val="18"/>
          <w:szCs w:val="18"/>
          <w:color w:val="auto"/>
        </w:rPr>
        <w:t>. During the term of this Agreement, Novella agrees to permit regulatory authorities to examine the facilities where the Services are being conducted, study documentation, study data and any other relevant information, including information that may be designated by one or both of the parties as confidential, reasonably necessary for regulatory authorities to confirm that the Services are being conducted in compliance with applicable laws and regulations. Novella will promptly notify Celldex of any regulatory inspection, where it may involve a relation to Celldex Services.lf the inspection is related to the project, if possible, Novella agrees to permit representatives of Celldex to be present during the portion of the inspection that relates solely to Celldex’s project, and promptly provide Celldex with relevant portions or summary of any report issued after the inspection. All inspection fees charged by regulatory agencies shall be invoiced to Celldex as a pass-through expense, and Celldex shall pay such inspection fee pursuant to the terms of Section 2.”</w:t>
      </w:r>
    </w:p>
    <w:p>
      <w:pPr>
        <w:spacing w:after="0" w:line="19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Except as amended hereby, the MSA shall remain in full force and effect without modification. In the event of inconsistency between the terms of the MSA and this Amendment, the terms of this Amendment shall govern. Capitalized terms used and not otherwise defined herein shall have the meaning set forth in the MSA.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WI1NESS WHEREOF, </w:t>
      </w:r>
      <w:r>
        <w:rPr>
          <w:rFonts w:ascii="Arial" w:cs="Arial" w:eastAsia="Arial" w:hAnsi="Arial"/>
          <w:sz w:val="18"/>
          <w:szCs w:val="18"/>
          <w:color w:val="auto"/>
        </w:rPr>
        <w:t>the parties have executed this Amendment to the MSA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NOVELLA CLINICAL INC.</w:t>
            </w:r>
          </w:p>
        </w:tc>
        <w:tc>
          <w:tcPr>
            <w:tcW w:w="5860" w:type="dxa"/>
            <w:vAlign w:val="bottom"/>
            <w:gridSpan w:val="2"/>
          </w:tcPr>
          <w:p>
            <w:pPr>
              <w:ind w:left="340"/>
              <w:spacing w:after="0"/>
              <w:rPr>
                <w:sz w:val="20"/>
                <w:szCs w:val="20"/>
                <w:color w:val="auto"/>
              </w:rPr>
            </w:pPr>
            <w:r>
              <w:rPr>
                <w:rFonts w:ascii="Arial" w:cs="Arial" w:eastAsia="Arial" w:hAnsi="Arial"/>
                <w:sz w:val="18"/>
                <w:szCs w:val="18"/>
                <w:b w:val="1"/>
                <w:bCs w:val="1"/>
                <w:color w:val="auto"/>
              </w:rPr>
              <w:t>CELLDEX THERAPEUTICS, INC.</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40"/>
              <w:spacing w:after="0"/>
              <w:rPr>
                <w:sz w:val="20"/>
                <w:szCs w:val="20"/>
                <w:color w:val="auto"/>
              </w:rPr>
            </w:pPr>
            <w:r>
              <w:rPr>
                <w:rFonts w:ascii="Arial" w:cs="Arial" w:eastAsia="Arial" w:hAnsi="Arial"/>
                <w:sz w:val="18"/>
                <w:szCs w:val="18"/>
                <w:color w:val="auto"/>
              </w:rPr>
              <w:t>/s/ Charles R. Lambert</w:t>
            </w:r>
          </w:p>
        </w:tc>
        <w:tc>
          <w:tcPr>
            <w:tcW w:w="1100" w:type="dxa"/>
            <w:vAlign w:val="bottom"/>
          </w:tcPr>
          <w:p>
            <w:pPr>
              <w:ind w:left="34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920" w:type="dxa"/>
            <w:vAlign w:val="bottom"/>
            <w:gridSpan w:val="2"/>
          </w:tcPr>
          <w:p>
            <w:pPr>
              <w:ind w:left="140"/>
              <w:spacing w:after="0"/>
              <w:rPr>
                <w:sz w:val="20"/>
                <w:szCs w:val="20"/>
                <w:color w:val="auto"/>
              </w:rPr>
            </w:pPr>
            <w:r>
              <w:rPr>
                <w:rFonts w:ascii="Arial" w:cs="Arial" w:eastAsia="Arial" w:hAnsi="Arial"/>
                <w:sz w:val="18"/>
                <w:szCs w:val="18"/>
                <w:color w:val="auto"/>
              </w:rPr>
              <w:t>Charles R. Lambert</w:t>
            </w:r>
          </w:p>
        </w:tc>
        <w:tc>
          <w:tcPr>
            <w:tcW w:w="1100" w:type="dxa"/>
            <w:vAlign w:val="bottom"/>
          </w:tcPr>
          <w:p>
            <w:pPr>
              <w:ind w:left="340"/>
              <w:spacing w:after="0"/>
              <w:rPr>
                <w:sz w:val="20"/>
                <w:szCs w:val="20"/>
                <w:color w:val="auto"/>
              </w:rPr>
            </w:pPr>
            <w:r>
              <w:rPr>
                <w:rFonts w:ascii="Arial" w:cs="Arial" w:eastAsia="Arial" w:hAnsi="Arial"/>
                <w:sz w:val="18"/>
                <w:szCs w:val="18"/>
                <w:color w:val="auto"/>
              </w:rPr>
              <w:t>Name:</w:t>
            </w:r>
          </w:p>
        </w:tc>
        <w:tc>
          <w:tcPr>
            <w:tcW w:w="4760" w:type="dxa"/>
            <w:vAlign w:val="bottom"/>
          </w:tcPr>
          <w:p>
            <w:pPr>
              <w:spacing w:after="0"/>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ind w:left="140"/>
              <w:spacing w:after="0"/>
              <w:rPr>
                <w:sz w:val="20"/>
                <w:szCs w:val="20"/>
                <w:color w:val="auto"/>
              </w:rPr>
            </w:pPr>
            <w:r>
              <w:rPr>
                <w:rFonts w:ascii="Arial" w:cs="Arial" w:eastAsia="Arial" w:hAnsi="Arial"/>
                <w:sz w:val="18"/>
                <w:szCs w:val="18"/>
                <w:color w:val="auto"/>
              </w:rPr>
              <w:t>CFO</w:t>
            </w:r>
          </w:p>
        </w:tc>
        <w:tc>
          <w:tcPr>
            <w:tcW w:w="1100" w:type="dxa"/>
            <w:vAlign w:val="bottom"/>
          </w:tcPr>
          <w:p>
            <w:pPr>
              <w:ind w:left="34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gridSpan w:val="2"/>
          </w:tcPr>
          <w:p>
            <w:pPr>
              <w:ind w:left="140"/>
              <w:spacing w:after="0"/>
              <w:rPr>
                <w:sz w:val="20"/>
                <w:szCs w:val="20"/>
                <w:color w:val="auto"/>
              </w:rPr>
            </w:pPr>
            <w:r>
              <w:rPr>
                <w:rFonts w:ascii="Arial" w:cs="Arial" w:eastAsia="Arial" w:hAnsi="Arial"/>
                <w:sz w:val="18"/>
                <w:szCs w:val="18"/>
                <w:color w:val="auto"/>
              </w:rPr>
              <w:t>June 8, 2011</w:t>
            </w:r>
          </w:p>
        </w:tc>
        <w:tc>
          <w:tcPr>
            <w:tcW w:w="1100" w:type="dxa"/>
            <w:vAlign w:val="bottom"/>
          </w:tcPr>
          <w:p>
            <w:pPr>
              <w:ind w:left="340"/>
              <w:spacing w:after="0"/>
              <w:rPr>
                <w:sz w:val="20"/>
                <w:szCs w:val="20"/>
                <w:color w:val="auto"/>
              </w:rPr>
            </w:pPr>
            <w:r>
              <w:rPr>
                <w:rFonts w:ascii="Arial" w:cs="Arial" w:eastAsia="Arial" w:hAnsi="Arial"/>
                <w:sz w:val="18"/>
                <w:szCs w:val="18"/>
                <w:color w:val="auto"/>
              </w:rPr>
              <w:t>Date:</w:t>
            </w:r>
          </w:p>
        </w:tc>
        <w:tc>
          <w:tcPr>
            <w:tcW w:w="4760" w:type="dxa"/>
            <w:vAlign w:val="bottom"/>
          </w:tcPr>
          <w:p>
            <w:pPr>
              <w:spacing w:after="0"/>
              <w:rPr>
                <w:sz w:val="20"/>
                <w:szCs w:val="20"/>
                <w:color w:val="auto"/>
              </w:rPr>
            </w:pPr>
            <w:r>
              <w:rPr>
                <w:rFonts w:ascii="Arial" w:cs="Arial" w:eastAsia="Arial" w:hAnsi="Arial"/>
                <w:sz w:val="18"/>
                <w:szCs w:val="18"/>
                <w:color w:val="auto"/>
              </w:rPr>
              <w:t>July 6, 2011</w:t>
            </w:r>
          </w:p>
        </w:tc>
        <w:tc>
          <w:tcPr>
            <w:tcW w:w="40" w:type="dxa"/>
            <w:vAlign w:val="bottom"/>
          </w:tcPr>
          <w:p>
            <w:pPr>
              <w:spacing w:after="0"/>
              <w:rPr>
                <w:sz w:val="24"/>
                <w:szCs w:val="24"/>
                <w:color w:val="auto"/>
              </w:rPr>
            </w:pPr>
          </w:p>
        </w:tc>
      </w:tr>
      <w:tr>
        <w:trPr>
          <w:trHeight w:val="341"/>
        </w:trPr>
        <w:tc>
          <w:tcPr>
            <w:tcW w:w="6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780" w:type="dxa"/>
            <w:vAlign w:val="bottom"/>
            <w:tcBorders>
              <w:top w:val="single" w:sz="8" w:color="auto"/>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476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480" w:hanging="34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460" w:right="520" w:hanging="322"/>
        <w:spacing w:after="0" w:line="264" w:lineRule="auto"/>
        <w:tabs>
          <w:tab w:leader="none" w:pos="4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80" w:hanging="322"/>
        <w:spacing w:after="0" w:line="308" w:lineRule="auto"/>
        <w:tabs>
          <w:tab w:leader="none" w:pos="4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100" w:hanging="322"/>
        <w:spacing w:after="0" w:line="264" w:lineRule="auto"/>
        <w:tabs>
          <w:tab w:leader="none" w:pos="4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20" w:right="120" w:hanging="658"/>
        <w:spacing w:after="0" w:line="264" w:lineRule="auto"/>
        <w:tabs>
          <w:tab w:leader="none" w:pos="11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20" w:right="460" w:hanging="658"/>
        <w:spacing w:after="0" w:line="264" w:lineRule="auto"/>
        <w:tabs>
          <w:tab w:leader="none" w:pos="11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20" w:right="620" w:hanging="658"/>
        <w:spacing w:after="0" w:line="342" w:lineRule="auto"/>
        <w:tabs>
          <w:tab w:leader="none" w:pos="113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120" w:hanging="658"/>
        <w:spacing w:after="0" w:line="264" w:lineRule="auto"/>
        <w:tabs>
          <w:tab w:leader="none" w:pos="11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400" w:hanging="322"/>
        <w:spacing w:after="0" w:line="308" w:lineRule="auto"/>
        <w:tabs>
          <w:tab w:leader="none" w:pos="4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20" w:right="860" w:hanging="658"/>
        <w:spacing w:after="0" w:line="342" w:lineRule="auto"/>
        <w:tabs>
          <w:tab w:leader="none" w:pos="113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540" w:hanging="658"/>
        <w:spacing w:after="0" w:line="277" w:lineRule="auto"/>
        <w:tabs>
          <w:tab w:leader="none" w:pos="11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3, 2011</w:t>
            </w:r>
          </w:p>
        </w:tc>
        <w:tc>
          <w:tcPr>
            <w:tcW w:w="2720" w:type="dxa"/>
            <w:vAlign w:val="bottom"/>
          </w:tcPr>
          <w:p>
            <w:pPr>
              <w:ind w:left="19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40" w:type="dxa"/>
            <w:vAlign w:val="bottom"/>
          </w:tcPr>
          <w:p>
            <w:pPr>
              <w:spacing w:after="0"/>
              <w:rPr>
                <w:sz w:val="16"/>
                <w:szCs w:val="16"/>
                <w:color w:val="auto"/>
              </w:rPr>
            </w:pPr>
          </w:p>
        </w:tc>
        <w:tc>
          <w:tcPr>
            <w:tcW w:w="272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720" w:type="dxa"/>
            <w:vAlign w:val="bottom"/>
          </w:tcPr>
          <w:p>
            <w:pPr>
              <w:ind w:left="19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480" w:hanging="34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460" w:right="520" w:hanging="322"/>
        <w:spacing w:after="0" w:line="264" w:lineRule="auto"/>
        <w:tabs>
          <w:tab w:leader="none" w:pos="4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80" w:hanging="322"/>
        <w:spacing w:after="0" w:line="308" w:lineRule="auto"/>
        <w:tabs>
          <w:tab w:leader="none" w:pos="4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100" w:hanging="322"/>
        <w:spacing w:after="0" w:line="264" w:lineRule="auto"/>
        <w:tabs>
          <w:tab w:leader="none" w:pos="4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20" w:right="120" w:hanging="658"/>
        <w:spacing w:after="0" w:line="264" w:lineRule="auto"/>
        <w:tabs>
          <w:tab w:leader="none" w:pos="11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20" w:right="460" w:hanging="658"/>
        <w:spacing w:after="0" w:line="264" w:lineRule="auto"/>
        <w:tabs>
          <w:tab w:leader="none" w:pos="11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20" w:right="620" w:hanging="658"/>
        <w:spacing w:after="0" w:line="342" w:lineRule="auto"/>
        <w:tabs>
          <w:tab w:leader="none" w:pos="113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120" w:hanging="658"/>
        <w:spacing w:after="0" w:line="264" w:lineRule="auto"/>
        <w:tabs>
          <w:tab w:leader="none" w:pos="11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400" w:hanging="322"/>
        <w:spacing w:after="0" w:line="308" w:lineRule="auto"/>
        <w:tabs>
          <w:tab w:leader="none" w:pos="4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20" w:right="860" w:hanging="658"/>
        <w:spacing w:after="0" w:line="342" w:lineRule="auto"/>
        <w:tabs>
          <w:tab w:leader="none" w:pos="113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540" w:hanging="658"/>
        <w:spacing w:after="0" w:line="277" w:lineRule="auto"/>
        <w:tabs>
          <w:tab w:leader="none" w:pos="11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3, 2011</w:t>
            </w:r>
          </w:p>
        </w:tc>
        <w:tc>
          <w:tcPr>
            <w:tcW w:w="2700" w:type="dxa"/>
            <w:vAlign w:val="bottom"/>
          </w:tcPr>
          <w:p>
            <w:pPr>
              <w:ind w:left="19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40" w:type="dxa"/>
            <w:vAlign w:val="bottom"/>
          </w:tcPr>
          <w:p>
            <w:pPr>
              <w:spacing w:after="0"/>
              <w:rPr>
                <w:sz w:val="16"/>
                <w:szCs w:val="16"/>
                <w:color w:val="auto"/>
              </w:rPr>
            </w:pPr>
          </w:p>
        </w:tc>
        <w:tc>
          <w:tcPr>
            <w:tcW w:w="27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3, 2011</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40" w:type="dxa"/>
            <w:vAlign w:val="bottom"/>
          </w:tcPr>
          <w:p>
            <w:pPr>
              <w:spacing w:after="0"/>
              <w:rPr>
                <w:sz w:val="16"/>
                <w:szCs w:val="16"/>
                <w:color w:val="auto"/>
              </w:rPr>
            </w:pPr>
          </w:p>
        </w:tc>
        <w:tc>
          <w:tcPr>
            <w:tcW w:w="27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40" w:type="dxa"/>
            <w:vAlign w:val="bottom"/>
          </w:tcPr>
          <w:p>
            <w:pPr>
              <w:spacing w:after="0"/>
              <w:rPr>
                <w:sz w:val="20"/>
                <w:szCs w:val="20"/>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November 3, 2011</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40" w:type="dxa"/>
            <w:vAlign w:val="bottom"/>
          </w:tcPr>
          <w:p>
            <w:pPr>
              <w:spacing w:after="0"/>
              <w:rPr>
                <w:sz w:val="16"/>
                <w:szCs w:val="16"/>
                <w:color w:val="auto"/>
              </w:rPr>
            </w:pPr>
          </w:p>
        </w:tc>
        <w:tc>
          <w:tcPr>
            <w:tcW w:w="27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740" w:type="dxa"/>
            <w:vAlign w:val="bottom"/>
          </w:tcPr>
          <w:p>
            <w:pPr>
              <w:spacing w:after="0"/>
              <w:rPr>
                <w:sz w:val="18"/>
                <w:szCs w:val="18"/>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upperLetter"/>
      <w:start w:val="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1)"/>
      <w:numFmt w:val="upperLetter"/>
      <w:start w:val="2"/>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lvl w:ilvl="1">
      <w:lvlJc w:val="left"/>
      <w:lvlText w:val="(%2)"/>
      <w:numFmt w:val="lowerRoman"/>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Roman"/>
      <w:start w:val="4"/>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2019-12-10T06:46:25Z</dcterms:created>
  <dcterms:modified xsi:type="dcterms:W3CDTF">2019-12-10T06:46:25Z</dcterms:modified>
</cp:coreProperties>
</file>