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60" w:right="40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4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000-15006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CELLDEX THERAPEUTICS,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98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No. 13-3191702</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427" w:lineRule="exact"/>
        <w:rPr>
          <w:sz w:val="24"/>
          <w:szCs w:val="24"/>
          <w:color w:val="auto"/>
        </w:rPr>
      </w:pPr>
    </w:p>
    <w:p>
      <w:pPr>
        <w:sectPr>
          <w:pgSz w:w="11900" w:h="16838" w:orient="portrait"/>
          <w:cols w:equalWidth="0" w:num="2">
            <w:col w:w="6600" w:space="720"/>
            <w:col w:w="4100"/>
          </w:cols>
          <w:pgMar w:left="240" w:top="544" w:right="239" w:bottom="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Perryville III Building, 53 Frontage Road, Suite 220, Hampton, New Jersey 08827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(908) 200-7500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80"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544" w:right="239" w:bottom="0" w:gutter="0" w:footer="0" w:header="0"/>
          <w:type w:val="continuous"/>
        </w:sectPr>
      </w:pPr>
    </w:p>
    <w:p>
      <w:pPr>
        <w:spacing w:after="0" w:line="124"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60"/>
          </w:cols>
          <w:pgMar w:left="240" w:top="544" w:right="23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840"/>
          </w:cols>
          <w:pgMar w:left="240" w:top="544" w:right="23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October 31, 2016, 101,248,821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Quarter Ended September 30, 2016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4"/>
          <w:szCs w:val="24"/>
          <w:color w:val="auto"/>
        </w:rPr>
      </w:pPr>
    </w:p>
    <w:p>
      <w:pPr>
        <w:ind w:left="1092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6814185</wp:posOffset>
            </wp:positionH>
            <wp:positionV relativeFrom="paragraph">
              <wp:posOffset>6350</wp:posOffset>
            </wp:positionV>
            <wp:extent cx="4375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229" w:lineRule="exact"/>
        <w:rPr>
          <w:sz w:val="24"/>
          <w:szCs w:val="24"/>
          <w:color w:val="auto"/>
        </w:rPr>
      </w:pPr>
    </w:p>
    <w:tbl>
      <w:tblPr>
        <w:tblLayout w:type="fixed"/>
        <w:tblInd w:w="18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Item 1. Unaudited Financial Statements</w:t>
            </w:r>
          </w:p>
        </w:tc>
        <w:tc>
          <w:tcPr>
            <w:tcW w:w="4240" w:type="dxa"/>
            <w:vAlign w:val="bottom"/>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544"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Condensed Consolidated Balance Sheets at September 30, 2016 and December 31, 2015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1440" w:type="dxa"/>
            <w:vAlign w:val="bottom"/>
            <w:gridSpan w:val="11"/>
          </w:tcPr>
          <w:p>
            <w:pPr>
              <w:ind w:left="160"/>
              <w:spacing w:after="0"/>
              <w:rPr>
                <w:sz w:val="20"/>
                <w:szCs w:val="20"/>
                <w:color w:val="auto"/>
              </w:rPr>
            </w:pPr>
            <w:r>
              <w:rPr>
                <w:rFonts w:ascii="Arial" w:cs="Arial" w:eastAsia="Arial" w:hAnsi="Arial"/>
                <w:sz w:val="18"/>
                <w:szCs w:val="18"/>
                <w:color w:val="auto"/>
                <w:w w:val="99"/>
              </w:rPr>
              <w:t>Condensed Consolidated Statements of Operations and Comprehensive Loss for the Three and Nine Months Ended September 30, 2016 and</w:t>
            </w:r>
          </w:p>
        </w:tc>
        <w:tc>
          <w:tcPr>
            <w:tcW w:w="0" w:type="dxa"/>
            <w:vAlign w:val="bottom"/>
          </w:tcPr>
          <w:p>
            <w:pPr>
              <w:spacing w:after="0"/>
              <w:rPr>
                <w:sz w:val="1"/>
                <w:szCs w:val="1"/>
                <w:color w:val="auto"/>
              </w:rPr>
            </w:pPr>
          </w:p>
        </w:tc>
      </w:tr>
      <w:tr>
        <w:trPr>
          <w:trHeight w:val="230"/>
        </w:trPr>
        <w:tc>
          <w:tcPr>
            <w:tcW w:w="7760" w:type="dxa"/>
            <w:vAlign w:val="bottom"/>
            <w:gridSpan w:val="2"/>
          </w:tcPr>
          <w:p>
            <w:pPr>
              <w:ind w:left="360"/>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4"/>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720" w:type="dxa"/>
            <w:vAlign w:val="bottom"/>
            <w:gridSpan w:val="5"/>
          </w:tcPr>
          <w:p>
            <w:pPr>
              <w:ind w:left="160"/>
              <w:spacing w:after="0"/>
              <w:rPr>
                <w:sz w:val="20"/>
                <w:szCs w:val="20"/>
                <w:color w:val="auto"/>
              </w:rPr>
            </w:pPr>
            <w:r>
              <w:rPr>
                <w:rFonts w:ascii="Arial" w:cs="Arial" w:eastAsia="Arial" w:hAnsi="Arial"/>
                <w:sz w:val="18"/>
                <w:szCs w:val="18"/>
                <w:color w:val="auto"/>
              </w:rPr>
              <w:t>Condensed Consolidated Statements of Cash Flows for the Nine Months Ended September 30, 2016 and 2015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4"/>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Notes to Unaudited Condensed Consolidated Financial Statements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4"/>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w w:val="98"/>
              </w:rPr>
              <w:t>Item 2. Management’s Discussion and Analysis of Financial Condition and Results of Operations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4"/>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4"/>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Item 4. Controls and Procedures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4"/>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32"/>
        </w:trPr>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Part II — Other Information</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Item 1A. Risk Factors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4"/>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Item 6. Exhibits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4"/>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Signatures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4"/>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Exhibit Index</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4"/>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32"/>
        </w:trPr>
        <w:tc>
          <w:tcPr>
            <w:tcW w:w="7760" w:type="dxa"/>
            <w:vAlign w:val="bottom"/>
            <w:gridSpan w:val="2"/>
          </w:tcPr>
          <w:p>
            <w:pPr>
              <w:jc w:val="center"/>
              <w:ind w:left="357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7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PART I—FINANCIAL INFORMATION</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Item 1. Unaudited Financial Statements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740" w:type="dxa"/>
            <w:vAlign w:val="bottom"/>
          </w:tcPr>
          <w:p>
            <w:pPr>
              <w:jc w:val="center"/>
              <w:ind w:left="3570"/>
              <w:spacing w:after="0"/>
              <w:rPr>
                <w:sz w:val="20"/>
                <w:szCs w:val="20"/>
                <w:color w:val="auto"/>
              </w:rPr>
            </w:pPr>
            <w:r>
              <w:rPr>
                <w:rFonts w:ascii="Arial" w:cs="Arial" w:eastAsia="Arial" w:hAnsi="Arial"/>
                <w:sz w:val="18"/>
                <w:szCs w:val="18"/>
                <w:b w:val="1"/>
                <w:bCs w:val="1"/>
                <w:color w:val="auto"/>
              </w:rPr>
              <w:t>CELLDEX THERAPEUTICS, INC.</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jc w:val="center"/>
              <w:ind w:left="3570"/>
              <w:spacing w:after="0"/>
              <w:rPr>
                <w:sz w:val="20"/>
                <w:szCs w:val="20"/>
                <w:color w:val="auto"/>
              </w:rPr>
            </w:pPr>
            <w:r>
              <w:rPr>
                <w:rFonts w:ascii="Arial" w:cs="Arial" w:eastAsia="Arial" w:hAnsi="Arial"/>
                <w:sz w:val="18"/>
                <w:szCs w:val="18"/>
                <w:b w:val="1"/>
                <w:bCs w:val="1"/>
                <w:color w:val="auto"/>
                <w:w w:val="98"/>
              </w:rPr>
              <w:t>CONDENSED BALANCE SHEETS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40" w:type="dxa"/>
            <w:vAlign w:val="bottom"/>
          </w:tcPr>
          <w:p>
            <w:pPr>
              <w:jc w:val="center"/>
              <w:ind w:left="3550"/>
              <w:spacing w:after="0"/>
              <w:rPr>
                <w:sz w:val="20"/>
                <w:szCs w:val="20"/>
                <w:color w:val="auto"/>
              </w:rPr>
            </w:pPr>
            <w:r>
              <w:rPr>
                <w:rFonts w:ascii="Arial" w:cs="Arial" w:eastAsia="Arial" w:hAnsi="Arial"/>
                <w:sz w:val="18"/>
                <w:szCs w:val="18"/>
                <w:b w:val="1"/>
                <w:bCs w:val="1"/>
                <w:color w:val="auto"/>
                <w:w w:val="93"/>
              </w:rPr>
              <w:t>(Unaudited)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40" w:type="dxa"/>
            <w:vAlign w:val="bottom"/>
          </w:tcPr>
          <w:p>
            <w:pPr>
              <w:jc w:val="center"/>
              <w:ind w:left="357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w w:val="95"/>
              </w:rPr>
              <w:t>December 31, 2015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September 30, 2016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31,743</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72,108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171,505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217,781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and Other Receivables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80"/>
              <w:spacing w:after="0"/>
              <w:rPr>
                <w:sz w:val="20"/>
                <w:szCs w:val="20"/>
                <w:color w:val="auto"/>
              </w:rPr>
            </w:pPr>
            <w:r>
              <w:rPr>
                <w:rFonts w:ascii="Arial" w:cs="Arial" w:eastAsia="Arial" w:hAnsi="Arial"/>
                <w:sz w:val="18"/>
                <w:szCs w:val="18"/>
                <w:color w:val="auto"/>
              </w:rPr>
              <w:t>Prepaid and Other Current Assets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4,887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4,077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209,714</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11,355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11,461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20,034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20,794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1,879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1,428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8,965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8,965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251,947</w:t>
            </w:r>
          </w:p>
        </w:tc>
        <w:tc>
          <w:tcPr>
            <w:tcW w:w="3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337,584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1,019</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1,506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13,233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24,316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80"/>
              <w:spacing w:after="0"/>
              <w:rPr>
                <w:sz w:val="20"/>
                <w:szCs w:val="20"/>
                <w:color w:val="auto"/>
              </w:rPr>
            </w:pPr>
            <w:r>
              <w:rPr>
                <w:rFonts w:ascii="Arial" w:cs="Arial" w:eastAsia="Arial" w:hAnsi="Arial"/>
                <w:sz w:val="18"/>
                <w:szCs w:val="18"/>
                <w:color w:val="auto"/>
              </w:rPr>
              <w:t>Current Portion of Long-Term Liabilities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4,378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4,418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18,630</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16,225</w:t>
            </w: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tcPr>
          <w:p>
            <w:pPr>
              <w:ind w:left="180"/>
              <w:spacing w:after="0" w:line="201" w:lineRule="exact"/>
              <w:rPr>
                <w:sz w:val="20"/>
                <w:szCs w:val="20"/>
                <w:color w:val="auto"/>
              </w:rPr>
            </w:pPr>
            <w:r>
              <w:rPr>
                <w:rFonts w:ascii="Arial" w:cs="Arial" w:eastAsia="Arial" w:hAnsi="Arial"/>
                <w:sz w:val="18"/>
                <w:szCs w:val="18"/>
                <w:color w:val="auto"/>
                <w:w w:val="96"/>
              </w:rPr>
              <w:t>Convertible Preferred Stock, $.01 Par Value; 3,000,000 Shares Authorized; No Shares Issued and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40" w:type="dxa"/>
            <w:vAlign w:val="bottom"/>
          </w:tcPr>
          <w:p>
            <w:pPr>
              <w:ind w:left="360"/>
              <w:spacing w:after="0"/>
              <w:rPr>
                <w:sz w:val="20"/>
                <w:szCs w:val="20"/>
                <w:color w:val="auto"/>
              </w:rPr>
            </w:pPr>
            <w:r>
              <w:rPr>
                <w:rFonts w:ascii="Arial" w:cs="Arial" w:eastAsia="Arial" w:hAnsi="Arial"/>
                <w:sz w:val="18"/>
                <w:szCs w:val="18"/>
                <w:color w:val="auto"/>
              </w:rPr>
              <w:t>Outstanding at September 30, 2016 and December 31, 2015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Common Stock, $.001 Par Value; 297,000,000 Shares Authorized; 101,248,821 and 98,685,595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Shares Issued and Outstanding at September 30, 2016 and December 31, 2015, respectively</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901,560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878,655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(687,179)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(590,956)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217,092</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290,105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251,947</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337,584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-6604635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-6604635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COMPRENHENSIVE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4"/>
                <w:szCs w:val="14"/>
                <w:color w:val="auto"/>
              </w:rPr>
            </w:pPr>
          </w:p>
        </w:tc>
        <w:tc>
          <w:tcPr>
            <w:tcW w:w="16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Nine Months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 2016</w:t>
            </w:r>
          </w:p>
        </w:tc>
        <w:tc>
          <w:tcPr>
            <w:tcW w:w="140" w:type="dxa"/>
            <w:vAlign w:val="bottom"/>
          </w:tcPr>
          <w:p>
            <w:pPr>
              <w:spacing w:after="0"/>
              <w:rPr>
                <w:sz w:val="14"/>
                <w:szCs w:val="14"/>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 2015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 2016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493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1,551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1,727</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2,220</w:t>
            </w:r>
          </w:p>
        </w:tc>
        <w:tc>
          <w:tcPr>
            <w:tcW w:w="3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OPERATING EXPENSE:</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25,009</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6,950</w:t>
            </w:r>
          </w:p>
        </w:tc>
        <w:tc>
          <w:tcPr>
            <w:tcW w:w="14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8,487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24,049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22,761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Acquired Intangible Assets</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32,213</w:t>
            </w:r>
          </w:p>
        </w:tc>
        <w:tc>
          <w:tcPr>
            <w:tcW w:w="3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33,397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102,977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99,792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(29,993)</w:t>
            </w:r>
          </w:p>
        </w:tc>
        <w:tc>
          <w:tcPr>
            <w:tcW w:w="14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(32,371)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(98,064)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(96,103)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(29,598)</w:t>
            </w:r>
          </w:p>
        </w:tc>
        <w:tc>
          <w:tcPr>
            <w:tcW w:w="3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(31,980)</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(96,223)</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(94,513)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60" w:type="dxa"/>
            <w:vAlign w:val="bottom"/>
          </w:tcPr>
          <w:p>
            <w:pPr>
              <w:spacing w:after="0" w:line="201" w:lineRule="exact"/>
              <w:rPr>
                <w:sz w:val="20"/>
                <w:szCs w:val="20"/>
                <w:color w:val="auto"/>
              </w:rPr>
            </w:pPr>
            <w:r>
              <w:rPr>
                <w:rFonts w:ascii="Arial" w:cs="Arial" w:eastAsia="Arial" w:hAnsi="Arial"/>
                <w:sz w:val="18"/>
                <w:szCs w:val="18"/>
                <w:color w:val="auto"/>
              </w:rPr>
              <w:t>Basic and Diluted Net Loss Per Common Share</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(0.29)</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(0.32)</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(0.97)</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vMerge w:val="restart"/>
          </w:tcPr>
          <w:p>
            <w:pPr>
              <w:jc w:val="right"/>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(Note 3)</w:t>
            </w:r>
          </w:p>
        </w:tc>
        <w:tc>
          <w:tcPr>
            <w:tcW w:w="140" w:type="dxa"/>
            <w:vAlign w:val="bottom"/>
            <w:vMerge w:val="continue"/>
          </w:tcPr>
          <w:p>
            <w:pPr>
              <w:spacing w:after="0"/>
              <w:rPr>
                <w:sz w:val="22"/>
                <w:szCs w:val="22"/>
                <w:color w:val="auto"/>
              </w:rPr>
            </w:pPr>
          </w:p>
        </w:tc>
        <w:tc>
          <w:tcPr>
            <w:tcW w:w="1760" w:type="dxa"/>
            <w:vAlign w:val="bottom"/>
            <w:gridSpan w:val="2"/>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1640" w:type="dxa"/>
            <w:vAlign w:val="bottom"/>
            <w:gridSpan w:val="2"/>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1620" w:type="dxa"/>
            <w:vAlign w:val="bottom"/>
            <w:gridSpan w:val="2"/>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15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0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60" w:type="dxa"/>
            <w:vAlign w:val="bottom"/>
          </w:tcPr>
          <w:p>
            <w:pPr>
              <w:spacing w:after="0" w:line="201" w:lineRule="exact"/>
              <w:rPr>
                <w:sz w:val="20"/>
                <w:szCs w:val="20"/>
                <w:color w:val="auto"/>
              </w:rPr>
            </w:pPr>
            <w:r>
              <w:rPr>
                <w:rFonts w:ascii="Arial" w:cs="Arial" w:eastAsia="Arial" w:hAnsi="Arial"/>
                <w:sz w:val="18"/>
                <w:szCs w:val="18"/>
                <w:color w:val="auto"/>
              </w:rPr>
              <w:t>Shares Used in Calculating Basic and Diluted Net</w:t>
            </w:r>
          </w:p>
        </w:tc>
        <w:tc>
          <w:tcPr>
            <w:tcW w:w="140" w:type="dxa"/>
            <w:vAlign w:val="bottom"/>
          </w:tcPr>
          <w:p>
            <w:pPr>
              <w:spacing w:after="0"/>
              <w:rPr>
                <w:sz w:val="17"/>
                <w:szCs w:val="17"/>
                <w:color w:val="auto"/>
              </w:rPr>
            </w:pPr>
          </w:p>
        </w:tc>
        <w:tc>
          <w:tcPr>
            <w:tcW w:w="17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100,672</w:t>
            </w:r>
          </w:p>
        </w:tc>
        <w:tc>
          <w:tcPr>
            <w:tcW w:w="140" w:type="dxa"/>
            <w:vAlign w:val="bottom"/>
          </w:tcPr>
          <w:p>
            <w:pPr>
              <w:spacing w:after="0"/>
              <w:rPr>
                <w:sz w:val="17"/>
                <w:szCs w:val="17"/>
                <w:color w:val="auto"/>
              </w:rPr>
            </w:pPr>
          </w:p>
        </w:tc>
        <w:tc>
          <w:tcPr>
            <w:tcW w:w="16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98,568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99,398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96,518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Loss per Share (Note 3)</w:t>
            </w:r>
          </w:p>
        </w:tc>
        <w:tc>
          <w:tcPr>
            <w:tcW w:w="140" w:type="dxa"/>
            <w:vAlign w:val="bottom"/>
          </w:tcPr>
          <w:p>
            <w:pPr>
              <w:spacing w:after="0"/>
              <w:rPr>
                <w:sz w:val="22"/>
                <w:szCs w:val="22"/>
                <w:color w:val="auto"/>
              </w:rPr>
            </w:pPr>
          </w:p>
        </w:tc>
        <w:tc>
          <w:tcPr>
            <w:tcW w:w="176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0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(29,598)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(96,223)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80"/>
              <w:spacing w:after="0"/>
              <w:rPr>
                <w:sz w:val="20"/>
                <w:szCs w:val="20"/>
                <w:color w:val="auto"/>
              </w:rPr>
            </w:pPr>
            <w:r>
              <w:rPr>
                <w:rFonts w:ascii="Arial" w:cs="Arial" w:eastAsia="Arial" w:hAnsi="Arial"/>
                <w:sz w:val="18"/>
                <w:szCs w:val="18"/>
                <w:color w:val="auto"/>
                <w:w w:val="99"/>
              </w:rPr>
              <w:t>Unrealized Gain (Loss) on Marketable Securities</w:t>
            </w:r>
          </w:p>
        </w:tc>
        <w:tc>
          <w:tcPr>
            <w:tcW w:w="14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(29,711</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(31,856</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(95,920</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(94,543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6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Nine Months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 2016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 2015</w:t>
            </w:r>
          </w:p>
        </w:tc>
        <w:tc>
          <w:tcPr>
            <w:tcW w:w="0" w:type="dxa"/>
            <w:vAlign w:val="bottom"/>
          </w:tcPr>
          <w:p>
            <w:pPr>
              <w:spacing w:after="0"/>
              <w:rPr>
                <w:sz w:val="1"/>
                <w:szCs w:val="1"/>
                <w:color w:val="auto"/>
              </w:rPr>
            </w:pPr>
          </w:p>
        </w:tc>
      </w:tr>
      <w:tr>
        <w:trPr>
          <w:trHeight w:val="196"/>
        </w:trPr>
        <w:tc>
          <w:tcPr>
            <w:tcW w:w="6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(96,223)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(94,513)</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2,135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6820" w:type="dxa"/>
            <w:vAlign w:val="bottom"/>
          </w:tcPr>
          <w:p>
            <w:pPr>
              <w:ind w:left="380"/>
              <w:spacing w:after="0"/>
              <w:rPr>
                <w:sz w:val="20"/>
                <w:szCs w:val="20"/>
                <w:color w:val="auto"/>
              </w:rPr>
            </w:pPr>
            <w:r>
              <w:rPr>
                <w:rFonts w:ascii="Arial" w:cs="Arial" w:eastAsia="Arial" w:hAnsi="Arial"/>
                <w:sz w:val="18"/>
                <w:szCs w:val="18"/>
                <w:color w:val="auto"/>
              </w:rPr>
              <w:t>Amortization and Premium of Marketable Securities, Net</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Loss on Sale or Disposal of Assets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11,709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Non-Cash Expense</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682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Accounts and Other Receivables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820" w:type="dxa"/>
            <w:vAlign w:val="bottom"/>
          </w:tcPr>
          <w:p>
            <w:pPr>
              <w:ind w:left="560"/>
              <w:spacing w:after="0"/>
              <w:rPr>
                <w:sz w:val="20"/>
                <w:szCs w:val="20"/>
                <w:color w:val="auto"/>
              </w:rPr>
            </w:pPr>
            <w:r>
              <w:rPr>
                <w:rFonts w:ascii="Arial" w:cs="Arial" w:eastAsia="Arial" w:hAnsi="Arial"/>
                <w:sz w:val="18"/>
                <w:szCs w:val="18"/>
                <w:color w:val="auto"/>
              </w:rPr>
              <w:t>Prepaid and Other Current Assets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Assets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820" w:type="dxa"/>
            <w:vAlign w:val="bottom"/>
          </w:tcPr>
          <w:p>
            <w:pPr>
              <w:ind w:left="560"/>
              <w:spacing w:after="0"/>
              <w:rPr>
                <w:sz w:val="20"/>
                <w:szCs w:val="20"/>
                <w:color w:val="auto"/>
              </w:rPr>
            </w:pPr>
            <w:r>
              <w:rPr>
                <w:rFonts w:ascii="Arial" w:cs="Arial" w:eastAsia="Arial" w:hAnsi="Arial"/>
                <w:sz w:val="18"/>
                <w:szCs w:val="18"/>
                <w:color w:val="auto"/>
              </w:rPr>
              <w:t>Accounts Payable and Accrued Expenses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(11,560)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Liabilities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Cash Used in Operating Activities</w:t>
            </w:r>
          </w:p>
        </w:tc>
        <w:tc>
          <w:tcPr>
            <w:tcW w:w="10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(92,687)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(85,142)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Maturities of Marketable Securities</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194,915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80"/>
              <w:spacing w:after="0"/>
              <w:rPr>
                <w:sz w:val="20"/>
                <w:szCs w:val="20"/>
                <w:color w:val="auto"/>
              </w:rPr>
            </w:pPr>
            <w:r>
              <w:rPr>
                <w:rFonts w:ascii="Arial" w:cs="Arial" w:eastAsia="Arial" w:hAnsi="Arial"/>
                <w:sz w:val="18"/>
                <w:szCs w:val="18"/>
                <w:color w:val="auto"/>
              </w:rPr>
              <w:t>Purchases of Marketable Securities</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(149,877)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(193,815)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Other</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(2,113)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(4,469)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4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41,124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80"/>
              <w:spacing w:after="0"/>
              <w:rPr>
                <w:sz w:val="20"/>
                <w:szCs w:val="20"/>
                <w:color w:val="auto"/>
              </w:rPr>
            </w:pPr>
            <w:r>
              <w:rPr>
                <w:rFonts w:ascii="Arial" w:cs="Arial" w:eastAsia="Arial" w:hAnsi="Arial"/>
                <w:sz w:val="18"/>
                <w:szCs w:val="18"/>
                <w:color w:val="auto"/>
              </w:rPr>
              <w:t>Net Proceeds from Stock Issuances</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10,666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188,840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Stock from Employee Benefit Plans</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46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192,833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(40,365)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38,771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72,108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28,020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46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31,743</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66,791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i w:val="1"/>
                <w:iCs w:val="1"/>
                <w:color w:val="auto"/>
              </w:rPr>
              <w:t>Non-cash Investing Activities</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Acquisition of Property and Equipment included in Accounts Payable and Accrued Expenses</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subsidiaries. All intercompany transactions have been eliminated in consolidation.</w:t>
      </w:r>
    </w:p>
    <w:p>
      <w:pPr>
        <w:spacing w:after="0" w:line="16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2015, which are included in the Company’s Annual Report on Form 10-K/A filed with the Securities and Exchange Commission (“SEC”) on February 25, 2016. In the opinion of management, the interim financial statements reflect all normal recurring adjustments necessary to fairly state the Company’s financial position and results of operations for the interim periods presented. The year-end condensed balance sheet data presented for comparative purposes was derived from audited financial statements, but does not include all disclosures required by U.S. GAAP.</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2016.</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At September 30, 2016, the Company had cash, cash equivalents and marketable securities of $203.2 million. The Company incurred a loss of $96.2 million for the nine months ended September 30, 2016. Net cash used in operations for the nine months ended September 30, 2016 was $92.7 million. The Company believes that the cash, cash equivalents and marketable securities at September 30, 2016 will be sufficient to meet estimated working capital requirements and fund planned operations for at least the next twelve months.</w:t>
      </w:r>
    </w:p>
    <w:p>
      <w:pPr>
        <w:spacing w:after="0" w:line="187"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During the next twelve months, the Company may take further steps to raise additional capital to meet its long-term liquidity needs. These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the Company may seek capital through a number of means,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If the Company is unable to obtain adequate financing, the Company may be required to reduce or delay spending on its research and/or development programs.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right="240" w:firstLine="630"/>
        <w:spacing w:after="0" w:line="286" w:lineRule="auto"/>
        <w:rPr>
          <w:sz w:val="20"/>
          <w:szCs w:val="20"/>
          <w:color w:val="auto"/>
        </w:rPr>
      </w:pPr>
      <w:r>
        <w:rPr>
          <w:rFonts w:ascii="Arial" w:cs="Arial" w:eastAsia="Arial" w:hAnsi="Arial"/>
          <w:sz w:val="17"/>
          <w:szCs w:val="17"/>
          <w:color w:val="auto"/>
        </w:rPr>
        <w:t>The significant accounting policies used in preparation of these condensed consolidated financial statements for the nine months ended September 30, 2016 are consistent with those discussed in Note 2 to the financial statements in our Annual Report on Form 10-K/A for the year ended December 31, 2015, except for the adoption of new accounting standards during the first nine months of 2016 as discussed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ectPr>
          <w:pgSz w:w="11900" w:h="16838" w:orient="portrait"/>
          <w:cols w:equalWidth="0" w:num="1">
            <w:col w:w="11420"/>
          </w:cols>
          <w:pgMar w:left="240" w:top="121" w:right="239" w:bottom="0" w:gutter="0" w:footer="0" w:header="0"/>
        </w:sectPr>
      </w:pPr>
    </w:p>
    <w:bookmarkStart w:id="4" w:name="page5"/>
    <w:bookmarkEnd w:id="4"/>
    <w:p>
      <w:pPr>
        <w:ind w:right="100" w:firstLine="648"/>
        <w:spacing w:after="0" w:line="259" w:lineRule="auto"/>
        <w:rPr>
          <w:sz w:val="20"/>
          <w:szCs w:val="20"/>
          <w:color w:val="auto"/>
        </w:rPr>
      </w:pPr>
      <w:r>
        <w:rPr>
          <w:rFonts w:ascii="Arial" w:cs="Arial" w:eastAsia="Arial" w:hAnsi="Arial"/>
          <w:sz w:val="18"/>
          <w:szCs w:val="18"/>
          <w:color w:val="auto"/>
        </w:rPr>
        <w:t>In February 2016, the FASB issued a new U.S. GAAP accounting standard which requires that all lessees recognize the assets and liabilities that arise from leases on the balance sheet and disclose qualitative and quantitative information about its leasing arrangements. The new standard will be effective for the Company on January 1, 2019. The Company is currently evaluating the potential impact that this standard may have on the Company’s financial statements.</w:t>
      </w:r>
    </w:p>
    <w:p>
      <w:pPr>
        <w:spacing w:after="0" w:line="18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March 2016, the FASB issued a new U.S. GAAP accounting standard which involves several aspects of the accounting for share-based payment transactions, including the income tax consequences, classification of awards as either equity or liabilities and classification on the statement of cash flows. The new standard will be effective for the Company on January 1, 2017. The Company is currently evaluating the potential impact that this standard may have on the Company’s financial statements.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June 2016, the FASB issued a new U.S. GAAP accounting standard which changes the impairment model for most financial assets and certain other instruments. Under the new standard, entities holding financial assets and net investment in leases that are not accounted for at fair value through net income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The new standard will be effective for the Company on January 1, 2020. The adoption of this standard is not expected to have a material impact on the Company’s financial statements.</w:t>
      </w:r>
    </w:p>
    <w:p>
      <w:pPr>
        <w:spacing w:after="0" w:line="193"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In August 2016, the FASB issued a new U.S. GAAP accounting standard which clarifies certain aspects of the statement of cash flows, including the classification of debt prepayment or debt extinguishment costs, settlement of zero-coupon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distributions received from equity method investees and beneficial interests in securitization transactions. The new standard also clarifies that an entity should determine each separately identifiable source or use within the cash receipts and cash payments on the basis of the nature of the underlying cash flows. In situations in which cash receipts and payments have aspects of more than one class of cash flows and cannot be separated by source or use, the appropriate classification should depend on the activity that is likely to be the predominant source or use of cash flows for the item. The new standard will be effective for us on January 1, 2018. The Company is currently evaluating the potential impact that this standard may have on the Company’s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180"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Nine</w:t>
      </w:r>
    </w:p>
    <w:p>
      <w:pPr>
        <w:jc w:val="center"/>
        <w:ind w:left="8200"/>
        <w:spacing w:after="0" w:line="236" w:lineRule="auto"/>
        <w:rPr>
          <w:sz w:val="20"/>
          <w:szCs w:val="20"/>
          <w:color w:val="auto"/>
        </w:rPr>
      </w:pPr>
      <w:r>
        <w:rPr>
          <w:rFonts w:ascii="Arial" w:cs="Arial" w:eastAsia="Arial" w:hAnsi="Arial"/>
          <w:sz w:val="14"/>
          <w:szCs w:val="14"/>
          <w:b w:val="1"/>
          <w:bCs w:val="1"/>
          <w:color w:val="auto"/>
        </w:rPr>
        <w:t>Months Ended 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10,150,598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8,098,128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Restricted stock</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60,000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29,750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10,210,598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8,127,878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Loss</w:t>
      </w:r>
    </w:p>
    <w:p>
      <w:pPr>
        <w:spacing w:after="0" w:line="229"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changes in Accumulated Other Comprehensive Income by component for the three and nine months ended September 30, 2016 are summarized below. No amounts were reclassified out of accumulated other comprehensive income during the three or nine months ended September 30, 2016.</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Unrealized Gain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(Loss) on</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Securities, net of tax</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Currency Items</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center"/>
              <w:ind w:right="94"/>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2,596</w:t>
            </w:r>
          </w:p>
        </w:tc>
        <w:tc>
          <w:tcPr>
            <w:tcW w:w="5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 comprehensive loss before reclassifications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current-period other comprehensive loss</w:t>
            </w:r>
          </w:p>
        </w:tc>
        <w:tc>
          <w:tcPr>
            <w:tcW w:w="1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2016</w:t>
            </w:r>
          </w:p>
        </w:tc>
        <w:tc>
          <w:tcPr>
            <w:tcW w:w="1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2,596</w:t>
            </w:r>
          </w:p>
        </w:tc>
        <w:tc>
          <w:tcPr>
            <w:tcW w:w="5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current-period other comprehensive income</w:t>
            </w:r>
          </w:p>
        </w:tc>
        <w:tc>
          <w:tcPr>
            <w:tcW w:w="1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2016</w:t>
            </w:r>
          </w:p>
        </w:tc>
        <w:tc>
          <w:tcPr>
            <w:tcW w:w="1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100" w:type="dxa"/>
            <w:vAlign w:val="bottom"/>
            <w:vMerge w:val="restart"/>
          </w:tcPr>
          <w:p>
            <w:pPr>
              <w:jc w:val="right"/>
              <w:ind w:right="110"/>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the Company’s financial assets subject to fair value measurements:</w:t>
      </w:r>
    </w:p>
    <w:p>
      <w:pPr>
        <w:sectPr>
          <w:pgSz w:w="11900" w:h="16838" w:orient="portrait"/>
          <w:cols w:equalWidth="0" w:num="1">
            <w:col w:w="11460"/>
          </w:cols>
          <w:pgMar w:left="240" w:top="125" w:right="199" w:bottom="0" w:gutter="0" w:footer="0" w:header="0"/>
        </w:sectPr>
      </w:pPr>
    </w:p>
    <w:bookmarkStart w:id="5" w:name="page6"/>
    <w:bookmarkEnd w:id="5"/>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As of</w:t>
            </w:r>
          </w:p>
        </w:tc>
        <w:tc>
          <w:tcPr>
            <w:tcW w:w="280" w:type="dxa"/>
            <w:vAlign w:val="bottom"/>
          </w:tcPr>
          <w:p>
            <w:pPr>
              <w:spacing w:after="0"/>
              <w:rPr>
                <w:sz w:val="14"/>
                <w:szCs w:val="14"/>
                <w:color w:val="auto"/>
              </w:rPr>
            </w:pPr>
          </w:p>
        </w:tc>
        <w:tc>
          <w:tcPr>
            <w:tcW w:w="1100" w:type="dxa"/>
            <w:vAlign w:val="bottom"/>
          </w:tcPr>
          <w:p>
            <w:pPr>
              <w:ind w:left="2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1"/>
              </w:rPr>
              <w:t>September 30, 2016</w:t>
            </w: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3"/>
          </w:tcPr>
          <w:p>
            <w:pPr>
              <w:ind w:left="660"/>
              <w:spacing w:after="0" w:line="142"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cash equivalents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23,003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23,003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Marketable securities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171,505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171,505</w:t>
            </w:r>
          </w:p>
        </w:tc>
        <w:tc>
          <w:tcPr>
            <w:tcW w:w="28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194,508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194,508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As of</w:t>
            </w:r>
          </w:p>
        </w:tc>
        <w:tc>
          <w:tcPr>
            <w:tcW w:w="280" w:type="dxa"/>
            <w:vAlign w:val="bottom"/>
          </w:tcPr>
          <w:p>
            <w:pPr>
              <w:spacing w:after="0"/>
              <w:rPr>
                <w:sz w:val="24"/>
                <w:szCs w:val="24"/>
                <w:color w:val="auto"/>
              </w:rPr>
            </w:pPr>
          </w:p>
        </w:tc>
        <w:tc>
          <w:tcPr>
            <w:tcW w:w="11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4"/>
                <w:szCs w:val="24"/>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December 31, 2015</w:t>
            </w:r>
          </w:p>
        </w:tc>
        <w:tc>
          <w:tcPr>
            <w:tcW w:w="2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3"/>
          </w:tcPr>
          <w:p>
            <w:pPr>
              <w:ind w:left="660"/>
              <w:spacing w:after="0" w:line="142"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cash equivalents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59,831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59,831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Marketable securities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217,781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217,781</w:t>
            </w:r>
          </w:p>
        </w:tc>
        <w:tc>
          <w:tcPr>
            <w:tcW w:w="28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277,612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277,612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There have been no transfers of assets or liabilities between the fair value measurement classifications. The Company’s financial instruments consist mainly of cash and cash equivalents, marketable securities, short-term accounts receivable and accounts payable.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 Short-term accounts receivable and accounts payable are reflected in the accompanying consolidated financial statements at cost, which approximates fair value due to the short-term nature of these instruments.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marketable securities is shown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9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2016</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and municipal obligations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540"/>
              <w:spacing w:after="0"/>
              <w:rPr>
                <w:sz w:val="20"/>
                <w:szCs w:val="20"/>
                <w:color w:val="auto"/>
              </w:rPr>
            </w:pPr>
            <w:r>
              <w:rPr>
                <w:rFonts w:ascii="Arial" w:cs="Arial" w:eastAsia="Arial" w:hAnsi="Arial"/>
                <w:sz w:val="18"/>
                <w:szCs w:val="18"/>
                <w:color w:val="auto"/>
              </w:rPr>
              <w:t>Maturing in one year or less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61,179</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61,203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three years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tcPr>
          <w:p>
            <w:pPr>
              <w:ind w:left="360"/>
              <w:spacing w:after="0"/>
              <w:rPr>
                <w:sz w:val="20"/>
                <w:szCs w:val="20"/>
                <w:color w:val="auto"/>
              </w:rPr>
            </w:pPr>
            <w:r>
              <w:rPr>
                <w:rFonts w:ascii="Arial" w:cs="Arial" w:eastAsia="Arial" w:hAnsi="Arial"/>
                <w:sz w:val="18"/>
                <w:szCs w:val="18"/>
                <w:color w:val="auto"/>
              </w:rPr>
              <w:t>Total U.S. government and municipal obligations</w:t>
            </w:r>
          </w:p>
        </w:tc>
        <w:tc>
          <w:tcPr>
            <w:tcW w:w="7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61,513</w:t>
            </w:r>
          </w:p>
        </w:tc>
        <w:tc>
          <w:tcPr>
            <w:tcW w:w="14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vMerge w:val="continue"/>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100" w:type="dxa"/>
            <w:vAlign w:val="bottom"/>
            <w:vMerge w:val="continue"/>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61,549</w:t>
            </w:r>
          </w:p>
        </w:tc>
        <w:tc>
          <w:tcPr>
            <w:tcW w:w="1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Borders>
              <w:top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Corporate debt securities</w:t>
            </w:r>
          </w:p>
        </w:tc>
        <w:tc>
          <w:tcPr>
            <w:tcW w:w="7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540"/>
              <w:spacing w:after="0"/>
              <w:rPr>
                <w:sz w:val="20"/>
                <w:szCs w:val="20"/>
                <w:color w:val="auto"/>
              </w:rPr>
            </w:pPr>
            <w:r>
              <w:rPr>
                <w:rFonts w:ascii="Arial" w:cs="Arial" w:eastAsia="Arial" w:hAnsi="Arial"/>
                <w:sz w:val="18"/>
                <w:szCs w:val="18"/>
                <w:color w:val="auto"/>
              </w:rPr>
              <w:t>Maturing in one year or less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109,978</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109,956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three years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corporate debt securities</w:t>
            </w:r>
          </w:p>
        </w:tc>
        <w:tc>
          <w:tcPr>
            <w:tcW w:w="7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109,978</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109,956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7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171,491</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171,505</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2015</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and municipal obligations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540"/>
              <w:spacing w:after="0"/>
              <w:rPr>
                <w:sz w:val="20"/>
                <w:szCs w:val="20"/>
                <w:color w:val="auto"/>
              </w:rPr>
            </w:pPr>
            <w:r>
              <w:rPr>
                <w:rFonts w:ascii="Arial" w:cs="Arial" w:eastAsia="Arial" w:hAnsi="Arial"/>
                <w:sz w:val="18"/>
                <w:szCs w:val="18"/>
                <w:color w:val="auto"/>
              </w:rPr>
              <w:t>Maturing in one year or less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48,871</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48,855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three years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15,940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U.S. government and municipal obligations</w:t>
            </w:r>
          </w:p>
        </w:tc>
        <w:tc>
          <w:tcPr>
            <w:tcW w:w="7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64,811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64,762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Corporate debt securities</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540"/>
              <w:spacing w:after="0"/>
              <w:rPr>
                <w:sz w:val="20"/>
                <w:szCs w:val="20"/>
                <w:color w:val="auto"/>
              </w:rPr>
            </w:pPr>
            <w:r>
              <w:rPr>
                <w:rFonts w:ascii="Arial" w:cs="Arial" w:eastAsia="Arial" w:hAnsi="Arial"/>
                <w:sz w:val="18"/>
                <w:szCs w:val="18"/>
                <w:color w:val="auto"/>
              </w:rPr>
              <w:t>Maturing in one year or less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129,327</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129,188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three years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23,932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corporate debt securities</w:t>
            </w:r>
          </w:p>
        </w:tc>
        <w:tc>
          <w:tcPr>
            <w:tcW w:w="7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153,259</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153,019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7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218,070</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217,781</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872"/>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66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marketable securities held by the Company were high investment grade and there were no marketable securities that the Company considered to be other-than-temporarily impaired as of September 30, 2016. Marketable securities include $0.7 million and $1.5 million in accrued interest at September 30, 2016 and December 31, 2015,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net of accumulated amortization, and goodwill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116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6"/>
              </w:rPr>
              <w:t>September 30, 2016</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6"/>
              </w:rPr>
              <w:t>December 31, 2015</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4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0"/>
                <w:szCs w:val="10"/>
                <w:color w:val="auto"/>
              </w:rPr>
            </w:pP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1160" w:type="dxa"/>
            <w:vAlign w:val="bottom"/>
          </w:tcPr>
          <w:p>
            <w:pPr>
              <w:jc w:val="right"/>
              <w:ind w:right="436"/>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Amortization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200"/>
              <w:spacing w:after="0"/>
              <w:rPr>
                <w:sz w:val="20"/>
                <w:szCs w:val="20"/>
                <w:color w:val="auto"/>
              </w:rPr>
            </w:pPr>
            <w:r>
              <w:rPr>
                <w:rFonts w:ascii="Arial" w:cs="Arial" w:eastAsia="Arial" w:hAnsi="Arial"/>
                <w:sz w:val="18"/>
                <w:szCs w:val="18"/>
                <w:color w:val="auto"/>
              </w:rPr>
              <w:t>IPR&amp;D</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Indefinite</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11,800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76"/>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11,800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11,800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Amgen Amendment</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 years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(6,276)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8,224</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(5,605)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200"/>
              <w:spacing w:after="0"/>
              <w:rPr>
                <w:sz w:val="20"/>
                <w:szCs w:val="20"/>
                <w:color w:val="auto"/>
              </w:rPr>
            </w:pPr>
            <w:r>
              <w:rPr>
                <w:rFonts w:ascii="Arial" w:cs="Arial" w:eastAsia="Arial" w:hAnsi="Arial"/>
                <w:sz w:val="18"/>
                <w:szCs w:val="18"/>
                <w:color w:val="auto"/>
              </w:rPr>
              <w:t>Core Technology</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11 years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(1,286)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(1,197)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8"/>
                <w:szCs w:val="18"/>
                <w:color w:val="auto"/>
              </w:rPr>
              <w:t>Goodwill</w:t>
            </w:r>
          </w:p>
        </w:tc>
        <w:tc>
          <w:tcPr>
            <w:tcW w:w="1160" w:type="dxa"/>
            <w:vAlign w:val="bottom"/>
            <w:vMerge w:val="restart"/>
          </w:tcPr>
          <w:p>
            <w:pPr>
              <w:jc w:val="right"/>
              <w:ind w:right="36"/>
              <w:spacing w:after="0"/>
              <w:rPr>
                <w:sz w:val="20"/>
                <w:szCs w:val="20"/>
                <w:color w:val="auto"/>
              </w:rPr>
            </w:pPr>
            <w:r>
              <w:rPr>
                <w:rFonts w:ascii="Arial" w:cs="Arial" w:eastAsia="Arial" w:hAnsi="Arial"/>
                <w:sz w:val="18"/>
                <w:szCs w:val="18"/>
                <w:color w:val="auto"/>
              </w:rPr>
              <w:t>Indefinite</w:t>
            </w:r>
          </w:p>
        </w:tc>
        <w:tc>
          <w:tcPr>
            <w:tcW w:w="1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4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4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40" w:orient="portrait"/>
          <w:cols w:equalWidth="0" w:num="1">
            <w:col w:w="11460"/>
          </w:cols>
          <w:pgMar w:left="240" w:top="104" w:right="199" w:bottom="0" w:gutter="0" w:footer="0" w:header="0"/>
        </w:sectPr>
      </w:pPr>
    </w:p>
    <w:p>
      <w:pPr>
        <w:spacing w:after="0" w:line="2"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The IPR&amp;D intangible asset was recorded in connection with the acquisition of CuraGen and relates to the development of glembatumumab vedotin. At the date of acquisition and at September 30, 2016, glembatumumab vedotin had not yet reached technological feasibility nor did it have any</w:t>
      </w:r>
    </w:p>
    <w:p>
      <w:pPr>
        <w:sectPr>
          <w:pgSz w:w="11900" w:h="16840" w:orient="portrait"/>
          <w:cols w:equalWidth="0" w:num="1">
            <w:col w:w="11460"/>
          </w:cols>
          <w:pgMar w:left="240" w:top="104" w:right="199" w:bottom="0" w:gutter="0" w:footer="0" w:header="0"/>
          <w:type w:val="continuous"/>
        </w:sectPr>
      </w:pPr>
    </w:p>
    <w:bookmarkStart w:id="6" w:name="page7"/>
    <w:bookmarkEnd w:id="6"/>
    <w:p>
      <w:pPr>
        <w:ind w:right="160"/>
        <w:spacing w:after="0" w:line="277" w:lineRule="auto"/>
        <w:rPr>
          <w:sz w:val="20"/>
          <w:szCs w:val="20"/>
          <w:color w:val="auto"/>
        </w:rPr>
      </w:pPr>
      <w:r>
        <w:rPr>
          <w:rFonts w:ascii="Arial" w:cs="Arial" w:eastAsia="Arial" w:hAnsi="Arial"/>
          <w:sz w:val="18"/>
          <w:szCs w:val="18"/>
          <w:color w:val="auto"/>
        </w:rPr>
        <w:t>alternative future use. Glembatumumab vedotin is in a randomized, Phase 2b study for the treatment of triple negative breast cancer and a Phase 2 study for the treatment of metastatic melanoma.</w:t>
      </w:r>
    </w:p>
    <w:p>
      <w:pPr>
        <w:spacing w:after="0" w:line="17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Company performed an annual impairment test of the IPR&amp;D and goodwill assets as of July 1, 2016 and concluded that the IPR&amp;D and goodwill assets were not impaired.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Assets</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April 2016, the Company entered into a research and collaboration agreement with an undisclosed private company to access novel technologies and paid $3.5 million to support research activities and make an investment in the private company. The Company initially recorded $1.8 million to other assets related to this investment and $1.7 million was recorded to prepaid and other currents assets and is being amortized over the term of the agreement. At September 30, 2016, $0.8 million remained recorded to prepaid research related to this collaboration.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Long-Term Liabilities</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Other long-term liabilities include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September 30, 2016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2015</w:t>
            </w:r>
          </w:p>
        </w:tc>
      </w:tr>
      <w:tr>
        <w:trPr>
          <w:trHeight w:val="142"/>
        </w:trPr>
        <w:tc>
          <w:tcPr>
            <w:tcW w:w="55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340" w:type="dxa"/>
            <w:vAlign w:val="bottom"/>
            <w:tcBorders>
              <w:top w:val="single" w:sz="8" w:color="auto"/>
            </w:tcBorders>
            <w:gridSpan w:val="5"/>
          </w:tcPr>
          <w:p>
            <w:pPr>
              <w:jc w:val="right"/>
              <w:ind w:right="121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Net Deferred Tax Liability related to IPR&amp;D</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4,661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4,661</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from Sale of Tax Benefits</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12,219</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Deferred Revenue</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3,922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4,368</w:t>
            </w:r>
          </w:p>
        </w:tc>
      </w:tr>
      <w:tr>
        <w:trPr>
          <w:trHeight w:val="210"/>
        </w:trPr>
        <w:tc>
          <w:tcPr>
            <w:tcW w:w="55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Less Current Portion</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(4,378)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(4,418)</w:t>
            </w:r>
          </w:p>
        </w:tc>
      </w:tr>
      <w:tr>
        <w:trPr>
          <w:trHeight w:val="210"/>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2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November 2015, December 2014, January 2014, January 2013 and January 2012, the Company received approval from the New Jersey Economic Development Authority and agreed to sell New Jersey tax benefits worth $9.8 million, $1.9 million, $1.1 million, $0.8 million and $0.8 million to an independent third party for $9.2 million, $1.8 million, $1.0 million, $0.8 million and $0.7 million, respectively. Under the agreement, the Company must maintain a base of operations in New Jersey for five years or the tax benefits must be paid back on a pro-rata basis based on the number of years completed. During the nine months ended September 30, 2016 and 2015, the Company recorded $0.6 million and $0.6 million to other income related to the sale of these tax benefits,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In March 2015, the Company issued 8,337,500 shares of its common stock in an underwritten public offering resulting in net proceeds to the Company of $188.8 million, after deducting underwriting fees and offering expenses.</w:t>
      </w:r>
    </w:p>
    <w:p>
      <w:pPr>
        <w:spacing w:after="0" w:line="170"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In May 2016, the Company entered into an agreement with Cantor Fitzgerald &amp; Co. to allow the Company to issue and sell shares of its common stock having an aggregate offering price of up to $60.0 million from time to time through Cantor, acting as agent. Subject to the terms and conditions of the agreement, Cantor will sell shares from time to time based upon the Company’s instructions, including any price, time or size limits specified by the Company. Under the agreement, the Company pays Cantor a fixed commission rate of 3.0% of the gross sales price per share of any common stock sold through Cantor, as agent. During the nine months ended September 30, 2016, the Company issued 2,395,949 shares under the agreement and raised $10.7 million in net proceeds. At September 30, 2016, the Company had $48.8 million remaining in aggregate gross offering price available under the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nine months ended September 30, 2016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Exercise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68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Price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Per Share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Term (In Years)</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2015</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8,110,239</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2,314,550</w:t>
            </w:r>
          </w:p>
        </w:tc>
        <w:tc>
          <w:tcPr>
            <w:tcW w:w="3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(47,942)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Canceled</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(226,249)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September 30, 2016</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10,150,598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11.26</w:t>
            </w:r>
          </w:p>
        </w:tc>
        <w:tc>
          <w:tcPr>
            <w:tcW w:w="14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 September 30, 2016</w:t>
            </w: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20" w:type="dxa"/>
            <w:vAlign w:val="bottom"/>
            <w:vMerge w:val="restart"/>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11.26</w:t>
            </w:r>
          </w:p>
        </w:tc>
        <w:tc>
          <w:tcPr>
            <w:tcW w:w="14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10,071,300</w:t>
            </w:r>
          </w:p>
        </w:tc>
        <w:tc>
          <w:tcPr>
            <w:tcW w:w="3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September 30, 2016</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5,871,345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Shares Available for Grant under the 2008 Plan</w:t>
            </w:r>
          </w:p>
        </w:tc>
        <w:tc>
          <w:tcPr>
            <w:tcW w:w="1380" w:type="dxa"/>
            <w:vAlign w:val="bottom"/>
          </w:tcPr>
          <w:p>
            <w:pPr>
              <w:jc w:val="right"/>
              <w:spacing w:after="0"/>
              <w:rPr>
                <w:sz w:val="20"/>
                <w:szCs w:val="20"/>
                <w:color w:val="auto"/>
              </w:rPr>
            </w:pPr>
            <w:r>
              <w:rPr>
                <w:rFonts w:ascii="Arial" w:cs="Arial" w:eastAsia="Arial" w:hAnsi="Arial"/>
                <w:sz w:val="18"/>
                <w:szCs w:val="18"/>
                <w:color w:val="auto"/>
              </w:rPr>
              <w:t>3,641,582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weighted average grant-date fair value of stock options granted during the nine months ended September 30, 2016 was $3.22 per share. Stock-based compensation expense for the three and nine months ended September 30, 2016 and 2015 was recorded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3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40" w:type="dxa"/>
            <w:vAlign w:val="bottom"/>
            <w:gridSpan w:val="2"/>
            <w:shd w:val="clear" w:color="auto" w:fill="CCEEFF"/>
          </w:tcPr>
          <w:p>
            <w:pPr>
              <w:jc w:val="right"/>
              <w:ind w:right="74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2,042</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1,715</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5,866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4,228</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1,754</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2,153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5,843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4,449</w:t>
            </w:r>
          </w:p>
        </w:tc>
      </w:tr>
      <w:tr>
        <w:trPr>
          <w:trHeight w:val="210"/>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3,796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3,868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7" w:name="page8"/>
    <w:bookmarkEnd w:id="7"/>
    <w:p>
      <w:pPr>
        <w:spacing w:after="0" w:line="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fair values of employee and director stock options granted during the three and nine months ended September 30, 2016 and 2015 were valued using the Black-Scholes option-pricing model with the following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33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Three Months Ended September 30,</w:t>
            </w:r>
          </w:p>
        </w:tc>
        <w:tc>
          <w:tcPr>
            <w:tcW w:w="3120" w:type="dxa"/>
            <w:vAlign w:val="bottom"/>
            <w:gridSpan w:val="4"/>
          </w:tcPr>
          <w:p>
            <w:pPr>
              <w:ind w:left="440"/>
              <w:spacing w:after="0"/>
              <w:rPr>
                <w:sz w:val="20"/>
                <w:szCs w:val="20"/>
                <w:color w:val="auto"/>
              </w:rPr>
            </w:pPr>
            <w:r>
              <w:rPr>
                <w:rFonts w:ascii="Arial" w:cs="Arial" w:eastAsia="Arial" w:hAnsi="Arial"/>
                <w:sz w:val="14"/>
                <w:szCs w:val="14"/>
                <w:b w:val="1"/>
                <w:bCs w:val="1"/>
                <w:color w:val="auto"/>
              </w:rPr>
              <w:t>Nine Months Ended September 30,</w:t>
            </w:r>
          </w:p>
        </w:tc>
        <w:tc>
          <w:tcPr>
            <w:tcW w:w="40" w:type="dxa"/>
            <w:vAlign w:val="bottom"/>
          </w:tcPr>
          <w:p>
            <w:pPr>
              <w:spacing w:after="0"/>
              <w:rPr>
                <w:sz w:val="14"/>
                <w:szCs w:val="14"/>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70 - 77%</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67 - 69%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Expected option term</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6.0 years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6.0 years</w:t>
            </w:r>
          </w:p>
        </w:tc>
        <w:tc>
          <w:tcPr>
            <w:tcW w:w="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1.4 - 1.6%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1.8 - 2.2%</w:t>
            </w:r>
          </w:p>
        </w:tc>
        <w:tc>
          <w:tcPr>
            <w:tcW w:w="40" w:type="dxa"/>
            <w:vAlign w:val="bottom"/>
          </w:tcPr>
          <w:p>
            <w:pPr>
              <w:spacing w:after="0"/>
              <w:rPr>
                <w:sz w:val="18"/>
                <w:szCs w:val="18"/>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None</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c>
          <w:tcPr>
            <w:tcW w:w="40" w:type="dxa"/>
            <w:vAlign w:val="bottom"/>
          </w:tcPr>
          <w:p>
            <w:pPr>
              <w:spacing w:after="0"/>
              <w:rPr>
                <w:sz w:val="20"/>
                <w:szCs w:val="20"/>
                <w:color w:val="auto"/>
              </w:rPr>
            </w:pPr>
          </w:p>
        </w:tc>
      </w:tr>
      <w:tr>
        <w:trPr>
          <w:trHeight w:val="418"/>
        </w:trPr>
        <w:tc>
          <w:tcPr>
            <w:tcW w:w="5000" w:type="dxa"/>
            <w:vAlign w:val="bottom"/>
          </w:tcPr>
          <w:p>
            <w:pPr>
              <w:spacing w:after="0"/>
              <w:rPr>
                <w:sz w:val="24"/>
                <w:szCs w:val="24"/>
                <w:color w:val="auto"/>
              </w:rPr>
            </w:pPr>
          </w:p>
        </w:tc>
        <w:tc>
          <w:tcPr>
            <w:tcW w:w="1360" w:type="dxa"/>
            <w:vAlign w:val="bottom"/>
          </w:tcPr>
          <w:p>
            <w:pPr>
              <w:jc w:val="right"/>
              <w:ind w:right="475"/>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0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Bristol-Myers Squibb Company (BMS)</w:t>
      </w:r>
    </w:p>
    <w:p>
      <w:pPr>
        <w:spacing w:after="0" w:line="225" w:lineRule="exact"/>
        <w:rPr>
          <w:sz w:val="20"/>
          <w:szCs w:val="20"/>
          <w:color w:val="auto"/>
        </w:rPr>
      </w:pPr>
    </w:p>
    <w:p>
      <w:pPr>
        <w:ind w:right="60" w:firstLine="648"/>
        <w:spacing w:after="0" w:line="244" w:lineRule="auto"/>
        <w:rPr>
          <w:sz w:val="20"/>
          <w:szCs w:val="20"/>
          <w:color w:val="auto"/>
        </w:rPr>
      </w:pPr>
      <w:r>
        <w:rPr>
          <w:rFonts w:ascii="Arial" w:cs="Arial" w:eastAsia="Arial" w:hAnsi="Arial"/>
          <w:sz w:val="18"/>
          <w:szCs w:val="18"/>
          <w:color w:val="auto"/>
        </w:rPr>
        <w:t>In May 2014, the Company entered into a clinical trial collaboration with BMS to evaluate the safety, tolerability and preliminary efficacy of varlilumab and Opdivo</w:t>
      </w:r>
      <w:r>
        <w:rPr>
          <w:rFonts w:ascii="Arial" w:cs="Arial" w:eastAsia="Arial" w:hAnsi="Arial"/>
          <w:sz w:val="23"/>
          <w:szCs w:val="23"/>
          <w:color w:val="auto"/>
          <w:vertAlign w:val="superscript"/>
        </w:rPr>
        <w:t>®</w:t>
      </w:r>
      <w:r>
        <w:rPr>
          <w:rFonts w:ascii="Arial" w:cs="Arial" w:eastAsia="Arial" w:hAnsi="Arial"/>
          <w:sz w:val="18"/>
          <w:szCs w:val="18"/>
          <w:color w:val="auto"/>
        </w:rPr>
        <w:t>, BMS’s PD-1 immune checkpoint inhibitor, in a Phase 1/2 study. Under the terms of this clinical trial collaboration, BMS made a one-time payment to the Company of $5.0 million and BMS and the Company amended the terms of the Company’s existing license agreement with Medarex (a subsidiary of BMS) related to the Company’s CD27 program whereby certain future milestone payments were waived and future royalty rates were reduced that may have been due from the Company to Medarex. In return, BMS was granted a time-limited right of first negotiation if the Company wishes to out-license varlilumab. The companies also agreed to work exclusively with each other to explore anti-PD-1 antagonist antibody and anti-CD27 agonist antibody combination regimens. The clinical trial collaboration provides that the companies will share development costs and that the Company will be responsible for conducting the ongoing Phase 1/2 study.</w:t>
      </w:r>
    </w:p>
    <w:p>
      <w:pPr>
        <w:spacing w:after="0" w:line="203" w:lineRule="exact"/>
        <w:rPr>
          <w:sz w:val="20"/>
          <w:szCs w:val="20"/>
          <w:color w:val="auto"/>
        </w:rPr>
      </w:pPr>
    </w:p>
    <w:p>
      <w:pPr>
        <w:ind w:right="200" w:firstLine="648"/>
        <w:spacing w:after="0" w:line="271" w:lineRule="auto"/>
        <w:rPr>
          <w:sz w:val="20"/>
          <w:szCs w:val="20"/>
          <w:color w:val="auto"/>
        </w:rPr>
      </w:pPr>
      <w:r>
        <w:rPr>
          <w:rFonts w:ascii="Arial" w:cs="Arial" w:eastAsia="Arial" w:hAnsi="Arial"/>
          <w:sz w:val="17"/>
          <w:szCs w:val="17"/>
          <w:color w:val="auto"/>
        </w:rPr>
        <w:t>The Company has determined that its performance obligations under the BMS agreement, which primarily include performing research and development, supplying varlilumab and participating in the joint development committee, should be accounted for as a single unit of accounting and estimated that its performance period under the BMS agreement would be 5 years. Accordingly, the $5.0 million up-front payment was initially recorded as deferred revenue and is being recognized as revenue on a straight-line basis over the estimated 5-year performance period using the Contingency Adjusted Performance Model (“CAPM”). The BMS agreement also provides for BMS to reimburse the Company for 50% of the external costs incurred by the Company in connection with the clinical trial. These BMS payments will be recognized as revenue under the CAPM. The Company recorded $0.5 million and $1.5 million in revenue related to the BMS agreement during the three and nine months ended September 30, 2016, respectively, and $0.3 million and $1.0 million during the three and nine months ended September 30, 2015,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Rockefeller University (Rockefeller)</w:t>
      </w:r>
    </w:p>
    <w:p>
      <w:pPr>
        <w:spacing w:after="0" w:line="22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In September 2013, the Company entered into an agreement, as amended, with Rockefeller pursuant to which the Company performs research and development services for Rockefeller. The Company bills Rockefeller quarterly for actual time and direct costs incurred and records those amounts to revenue in the quarter the services are performed. The Company recorded $1.1 million and $1.8 million in revenue related to the Rockefeller agreement during the three and nine months ended September 30, 2016, respectively, and $0.5 million and $2.1 million during the three and nine months ended September 30, 2015,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Massachusetts, New Jersey and Connecticut are the three states in which the Company primarily operates or has operated and has income tax nexus.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currently under examination by any jurisdictions for any tax year.</w:t>
      </w:r>
    </w:p>
    <w:p>
      <w:pPr>
        <w:spacing w:after="0" w:line="21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which are comprised principally of net operating loss carryforwards, capitalized R&amp;D expenditures and R&amp;D tax credit carryforwards. The Company has determined that it is more likely than not that it will not recognize the benefits of federal and state deferred tax assets and, as a result, a full valuation allowance was maintained at September 30, 2016 and December 31, 2015 against the Company’s net deferred tax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w:t>
      </w:r>
    </w:p>
    <w:p>
      <w:pPr>
        <w:spacing w:after="0" w:line="229"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On November 1, 2016, the Company entered into an Agreement and Plan of merger pursuant to which the Company will acquire Kolltan Pharmaceuticals, Inc., a Delaware corporation. Kolltan is a privately-held, clinical-stage biopharmaceutical company focused on the discovery and development of novel antibody-based drugs targeting receptor tyrosine kinases, or RTKs, for the treatment of cancer and other diseases with significant unmet need. In connection with the closing of the transactions contemplated by the merger agreement, the Company will be required to issue to the holders of Kolltan’s capital stock and a lender to Kolltan an aggregate of 19,218,942 shares of the Company’s common stock, with a value of $62.5 million based on the average closing price of the Company’s stock for the five trading day period ending on October 28, 2016. The merger agreement further provides that the number of shares that can be issued at the closing would be increased or decreased by no more than 5% in either direction based on the comparable average closing prices over the five trading days ending three calendar days prior to the closing date. In addition, at closing, certain officers of Kolltan will receive an aggregate of approximately 461,000 shares of the Company’s common stock in lieu of cash severance obligations owed to them by Kolltan. In addition, in the event that certain specified preclinical and clinical development milestones related to Kolltan’s development programs and/or the Company’s development programs and certain commercial milestones related to Kolltan’s product candidates are achieved, the Company will be required to pay Kolltan’s stockholders milestone payments of up to $172.5 million, which milestone payments may be made, at the Company’s sole election, in</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cash, in shares of the Company’s common stock or a combination of both, subject to NASDAQ listing requirements which require the Company to obtain stockholder approval of stock issuances which would exceed 19.9% of the Company’s common stock outstanding prior to the merger and provisions of the merger agreement. Shares of the Company’s common stock issued in connection with a milestone payment, if any, will be valued based on the average</w:t>
      </w:r>
    </w:p>
    <w:p>
      <w:pPr>
        <w:sectPr>
          <w:pgSz w:w="11900" w:h="16844" w:orient="portrait"/>
          <w:cols w:equalWidth="0" w:num="1">
            <w:col w:w="11460"/>
          </w:cols>
          <w:pgMar w:left="240" w:top="125" w:right="199" w:bottom="0" w:gutter="0" w:footer="0" w:header="0"/>
        </w:sectPr>
      </w:pPr>
    </w:p>
    <w:bookmarkStart w:id="8" w:name="page9"/>
    <w:bookmarkEnd w:id="8"/>
    <w:p>
      <w:pPr>
        <w:ind w:right="20"/>
        <w:spacing w:after="0" w:line="276" w:lineRule="auto"/>
        <w:rPr>
          <w:sz w:val="20"/>
          <w:szCs w:val="20"/>
          <w:color w:val="auto"/>
        </w:rPr>
      </w:pPr>
      <w:r>
        <w:rPr>
          <w:rFonts w:ascii="Arial" w:cs="Arial" w:eastAsia="Arial" w:hAnsi="Arial"/>
          <w:sz w:val="17"/>
          <w:szCs w:val="17"/>
          <w:color w:val="auto"/>
        </w:rPr>
        <w:t>closing price per share of the Company’s common stock for the five trading day period ending three calendar days prior to the achievement of such milestone. The merger agreement also provides that in no event will the shares issuable by the Company at closing exceed 19.9% of the outstanding shares of the Company’s common stock as of the date of the merger agreement. If the shares that the Company would otherwise be required to issue at the closing exceeds 19.9% of the outstanding shares of the Company’s common stock (measured as of the date of the merger agreement), the excess shares will not be issued at the closing and, instead, the value of those shares will be added to the first contingent milestone.</w:t>
      </w:r>
    </w:p>
    <w:p>
      <w:pPr>
        <w:spacing w:after="0" w:line="17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closing is subject to customary closing conditions, including that 60% of Kolltan’s stockholders have approved the merger agreement. The merger is expected to close prior to the end of 2016.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report on Form 10-Q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980" w:right="140" w:hanging="324"/>
        <w:spacing w:after="0" w:line="264"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complete research and further development, including animal, preclinical and clinical studies, and, if we obtain regulatory approval, commercialization of glembatumumab vedotin (also referred to as CDX-011) and other drug candidates and the growth of the markets for those drug candidates;</w:t>
      </w:r>
    </w:p>
    <w:p>
      <w:pPr>
        <w:spacing w:after="0" w:line="181" w:lineRule="exact"/>
        <w:rPr>
          <w:rFonts w:ascii="Arial" w:cs="Arial" w:eastAsia="Arial" w:hAnsi="Arial"/>
          <w:sz w:val="18"/>
          <w:szCs w:val="18"/>
          <w:color w:val="auto"/>
        </w:rPr>
      </w:pPr>
    </w:p>
    <w:p>
      <w:pPr>
        <w:ind w:left="980" w:right="20" w:hanging="324"/>
        <w:spacing w:after="0" w:line="259"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sufficient capital to fund our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86"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negotiate strategic partnerships, where appropriate, for our programs, which may include, glembatumumab vedotin and varlilumab (also referred to as CDX-1127);</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obtain approval of the merger from Kolltan’s stockholders;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or Kolltan’s inability to satisfy in a timely manner or at all the closing conditions of, and to consummate, the merger;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integrate our and Kolltan’s businesses and to operate the combined business efficiently;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the anticipated benefits from the acquisition of Kolltan;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cost, timing, scope and results of ongoing safety and efficacy trials of glembatumumab vedotin, and other preclinical and clinical testing;</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timing, and uncertainty of obtaining regulatory approvals for our drug candidates;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management services provided by our clinical research organization partners;</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 grade materials produced by our own manufacturing facility or supplied by contract manufacturers, suppliers and partners, who may be the sole source of supply;</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and commercialize products before competitors that are superior to the alternatives developed by such competitors;</w:t>
      </w:r>
    </w:p>
    <w:p>
      <w:pPr>
        <w:spacing w:after="0" w:line="236" w:lineRule="exact"/>
        <w:rPr>
          <w:rFonts w:ascii="Arial" w:cs="Arial" w:eastAsia="Arial" w:hAnsi="Arial"/>
          <w:sz w:val="17"/>
          <w:szCs w:val="17"/>
          <w:color w:val="auto"/>
        </w:rPr>
      </w:pPr>
    </w:p>
    <w:p>
      <w:pPr>
        <w:ind w:left="980" w:right="40" w:hanging="324"/>
        <w:spacing w:after="0" w:line="342" w:lineRule="auto"/>
        <w:tabs>
          <w:tab w:leader="none" w:pos="944"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develop technological capabilities, including identification of novel and clinically important targets, exploiting our existing technology platforms to develop new product candidates and expand our focus to broader markets for our existing targeted immunotherapeutics;</w:t>
      </w:r>
    </w:p>
    <w:p>
      <w:pPr>
        <w:spacing w:after="0" w:line="123" w:lineRule="exact"/>
        <w:rPr>
          <w:rFonts w:ascii="Arial" w:cs="Arial" w:eastAsia="Arial" w:hAnsi="Arial"/>
          <w:sz w:val="16"/>
          <w:szCs w:val="16"/>
          <w:color w:val="auto"/>
        </w:rPr>
      </w:pPr>
    </w:p>
    <w:p>
      <w:pPr>
        <w:ind w:left="980" w:right="88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adapt our proprietary antibody-targeted technology, or APC Targeting Technology™, to develop new, safe and effective therapeutics for oncology and infectious disease indications;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80" w:right="420" w:hanging="324"/>
        <w:spacing w:after="0" w:line="264"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including the ability to successfully defend patent oppositions filed against a European patent related to technology we use in varlilumab, and our ability to avoid intellectual property litigation, which can be costly and divert management time and attention; and</w:t>
      </w:r>
    </w:p>
    <w:p>
      <w:pPr>
        <w:sectPr>
          <w:pgSz w:w="11900" w:h="16838" w:orient="portrait"/>
          <w:cols w:equalWidth="0" w:num="1">
            <w:col w:w="11420"/>
          </w:cols>
          <w:pgMar w:left="240" w:top="125" w:right="239" w:bottom="0" w:gutter="0" w:footer="0" w:header="0"/>
        </w:sectPr>
      </w:pPr>
    </w:p>
    <w:bookmarkStart w:id="9" w:name="page10"/>
    <w:bookmarkEnd w:id="9"/>
    <w:p>
      <w:pPr>
        <w:ind w:left="980" w:right="120" w:hanging="324"/>
        <w:spacing w:after="0" w:line="286" w:lineRule="auto"/>
        <w:tabs>
          <w:tab w:leader="none" w:pos="944"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factors listed under the heading “Risk Factors” listed elsewhere in this report and under the headings “Business,” “Risk Factors” and Management’s Discussion and Analysis of Financial Condition and Results of Operations” in the Company’s annual report on Form 10-K/A for the year ended December 31, 2015 and other reports that we file with the Securities and Exchange Commission.</w:t>
      </w:r>
    </w:p>
    <w:p>
      <w:pPr>
        <w:spacing w:after="0" w:line="166"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We are a biopharmaceutical company focused on the development and commercialization of several immunotherapy technologies for the treatment of cancer and other difficult-to-treat diseases. Our drug candidates are derived from a broad set of complementary technologies which have the ability to utilize the human immune system and enable the creation of therapeutic agents. We are using these technologies to develop targeted immunotherapeutics comprised of protein-based molecules such as vaccines, antibodies and antibody-drug conjugates that are used to treat specific types of cancer or other diseases.</w:t>
      </w:r>
    </w:p>
    <w:p>
      <w:pPr>
        <w:spacing w:after="0" w:line="18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latest stage drug candidate, glembatumumab vedotin (also referred to as CDX-011) is a targeted antibody-drug conjugate in a randomized, Phase 2b study for the treatment of triple negative breast cancer and a Phase 2 study for the treatment of metastatic melanoma. Varlilumab (also referred to as CDX-1127) is an immune modulating antibody that is designed to enhance a patient’s immune response against their cancer. We established proof of concept in a Phase 1 study with varlilumab, which has allowed several combination studies to begin in various indications. We also have a number of earlier stage drug candidates in clinical development, including CDX-1401, a targeted immunotherapeutic aimed at antigen presenting cells, or APCs, for cancer indications, CDX-301, an immune cell mobilizing agent and dendritic cell growth factor, and CDX-014, an antibody drug conjugate targeting TIM-1. Our drug candidates address market opportunities for which we believe current therapies are inadequate or non-existent.</w:t>
      </w:r>
    </w:p>
    <w:p>
      <w:pPr>
        <w:spacing w:after="0" w:line="16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are building a fully integrated, commercial-stage biopharmaceutical company that develops important therapies for patients with unmet medical needs.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our current clinical pipeline.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20"/>
                <w:szCs w:val="20"/>
                <w:color w:val="auto"/>
              </w:rPr>
            </w:pPr>
            <w:r>
              <w:rPr>
                <w:rFonts w:ascii="Arial" w:cs="Arial" w:eastAsia="Arial" w:hAnsi="Arial"/>
                <w:sz w:val="14"/>
                <w:szCs w:val="14"/>
                <w:b w:val="1"/>
                <w:bCs w:val="1"/>
                <w:color w:val="auto"/>
              </w:rPr>
              <w:t>Product (generic)</w:t>
            </w:r>
          </w:p>
        </w:tc>
        <w:tc>
          <w:tcPr>
            <w:tcW w:w="300" w:type="dxa"/>
            <w:vAlign w:val="bottom"/>
          </w:tcPr>
          <w:p>
            <w:pPr>
              <w:spacing w:after="0"/>
              <w:rPr>
                <w:sz w:val="14"/>
                <w:szCs w:val="14"/>
                <w:color w:val="auto"/>
              </w:rPr>
            </w:pPr>
          </w:p>
        </w:tc>
        <w:tc>
          <w:tcPr>
            <w:tcW w:w="4840" w:type="dxa"/>
            <w:vAlign w:val="bottom"/>
            <w:gridSpan w:val="2"/>
          </w:tcPr>
          <w:p>
            <w:pPr>
              <w:ind w:left="1780"/>
              <w:spacing w:after="0"/>
              <w:rPr>
                <w:sz w:val="20"/>
                <w:szCs w:val="20"/>
                <w:color w:val="auto"/>
              </w:rPr>
            </w:pPr>
            <w:r>
              <w:rPr>
                <w:rFonts w:ascii="Arial" w:cs="Arial" w:eastAsia="Arial" w:hAnsi="Arial"/>
                <w:sz w:val="14"/>
                <w:szCs w:val="14"/>
                <w:b w:val="1"/>
                <w:bCs w:val="1"/>
                <w:color w:val="auto"/>
              </w:rPr>
              <w:t>Indication/Field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7"/>
              </w:rPr>
              <w:t>Partner</w:t>
            </w:r>
          </w:p>
        </w:tc>
        <w:tc>
          <w:tcPr>
            <w:tcW w:w="280" w:type="dxa"/>
            <w:vAlign w:val="bottom"/>
          </w:tcPr>
          <w:p>
            <w:pPr>
              <w:spacing w:after="0"/>
              <w:rPr>
                <w:sz w:val="14"/>
                <w:szCs w:val="14"/>
                <w:color w:val="auto"/>
              </w:rPr>
            </w:pPr>
          </w:p>
        </w:tc>
        <w:tc>
          <w:tcPr>
            <w:tcW w:w="1240" w:type="dxa"/>
            <w:vAlign w:val="bottom"/>
          </w:tcPr>
          <w:p>
            <w:pPr>
              <w:ind w:left="420"/>
              <w:spacing w:after="0"/>
              <w:rPr>
                <w:sz w:val="20"/>
                <w:szCs w:val="20"/>
                <w:color w:val="auto"/>
              </w:rPr>
            </w:pPr>
            <w:r>
              <w:rPr>
                <w:rFonts w:ascii="Arial" w:cs="Arial" w:eastAsia="Arial" w:hAnsi="Arial"/>
                <w:sz w:val="14"/>
                <w:szCs w:val="14"/>
                <w:b w:val="1"/>
                <w:bCs w:val="1"/>
                <w:color w:val="auto"/>
              </w:rPr>
              <w:t>Status</w:t>
            </w:r>
          </w:p>
        </w:tc>
      </w:tr>
      <w:tr>
        <w:trPr>
          <w:trHeight w:val="210"/>
        </w:trPr>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Glembatumumab vedotin</w:t>
            </w:r>
          </w:p>
        </w:tc>
        <w:tc>
          <w:tcPr>
            <w:tcW w:w="300" w:type="dxa"/>
            <w:vAlign w:val="bottom"/>
            <w:tcBorders>
              <w:top w:val="single" w:sz="8" w:color="CCEEFF"/>
            </w:tcBorders>
            <w:shd w:val="clear" w:color="auto" w:fill="CCEEFF"/>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Triple negative breast cancer</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2b</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Glembatumumab vedotin</w:t>
            </w:r>
          </w:p>
        </w:tc>
        <w:tc>
          <w:tcPr>
            <w:tcW w:w="5140" w:type="dxa"/>
            <w:vAlign w:val="bottom"/>
            <w:gridSpan w:val="3"/>
          </w:tcPr>
          <w:p>
            <w:pPr>
              <w:ind w:left="300"/>
              <w:spacing w:after="0"/>
              <w:rPr>
                <w:sz w:val="20"/>
                <w:szCs w:val="20"/>
                <w:color w:val="auto"/>
              </w:rPr>
            </w:pPr>
            <w:r>
              <w:rPr>
                <w:rFonts w:ascii="Arial" w:cs="Arial" w:eastAsia="Arial" w:hAnsi="Arial"/>
                <w:sz w:val="18"/>
                <w:szCs w:val="18"/>
                <w:color w:val="auto"/>
              </w:rPr>
              <w:t>Metastatic melanoma</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280"/>
              <w:spacing w:after="0"/>
              <w:rPr>
                <w:sz w:val="20"/>
                <w:szCs w:val="20"/>
                <w:color w:val="auto"/>
              </w:rPr>
            </w:pPr>
            <w:r>
              <w:rPr>
                <w:rFonts w:ascii="Arial" w:cs="Arial" w:eastAsia="Arial" w:hAnsi="Arial"/>
                <w:sz w:val="18"/>
                <w:szCs w:val="18"/>
                <w:color w:val="auto"/>
              </w:rPr>
              <w:t>Phase 2</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Varlilumab</w:t>
            </w:r>
          </w:p>
        </w:tc>
        <w:tc>
          <w:tcPr>
            <w:tcW w:w="51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Multiple solid tumors (with nivolumab)</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Phase 2</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Varlilumab</w:t>
            </w:r>
          </w:p>
        </w:tc>
        <w:tc>
          <w:tcPr>
            <w:tcW w:w="5140" w:type="dxa"/>
            <w:vAlign w:val="bottom"/>
            <w:gridSpan w:val="3"/>
          </w:tcPr>
          <w:p>
            <w:pPr>
              <w:ind w:left="300"/>
              <w:spacing w:after="0"/>
              <w:rPr>
                <w:sz w:val="20"/>
                <w:szCs w:val="20"/>
                <w:color w:val="auto"/>
              </w:rPr>
            </w:pPr>
            <w:r>
              <w:rPr>
                <w:rFonts w:ascii="Arial" w:cs="Arial" w:eastAsia="Arial" w:hAnsi="Arial"/>
                <w:sz w:val="18"/>
                <w:szCs w:val="18"/>
                <w:color w:val="auto"/>
              </w:rPr>
              <w:t>Metastatic melanoma (with ipilimumab)</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280"/>
              <w:spacing w:after="0"/>
              <w:rPr>
                <w:sz w:val="20"/>
                <w:szCs w:val="20"/>
                <w:color w:val="auto"/>
              </w:rPr>
            </w:pPr>
            <w:r>
              <w:rPr>
                <w:rFonts w:ascii="Arial" w:cs="Arial" w:eastAsia="Arial" w:hAnsi="Arial"/>
                <w:sz w:val="18"/>
                <w:szCs w:val="18"/>
                <w:color w:val="auto"/>
              </w:rPr>
              <w:t>Phase 1</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Varlilumab</w:t>
            </w:r>
          </w:p>
        </w:tc>
        <w:tc>
          <w:tcPr>
            <w:tcW w:w="51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Renal cell carcinoma (with sunitinib)</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Phase 1</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Varlilumab</w:t>
            </w:r>
          </w:p>
        </w:tc>
        <w:tc>
          <w:tcPr>
            <w:tcW w:w="5140" w:type="dxa"/>
            <w:vAlign w:val="bottom"/>
            <w:gridSpan w:val="3"/>
          </w:tcPr>
          <w:p>
            <w:pPr>
              <w:ind w:left="300"/>
              <w:spacing w:after="0"/>
              <w:rPr>
                <w:sz w:val="20"/>
                <w:szCs w:val="20"/>
                <w:color w:val="auto"/>
              </w:rPr>
            </w:pPr>
            <w:r>
              <w:rPr>
                <w:rFonts w:ascii="Arial" w:cs="Arial" w:eastAsia="Arial" w:hAnsi="Arial"/>
                <w:sz w:val="18"/>
                <w:szCs w:val="18"/>
                <w:color w:val="auto"/>
              </w:rPr>
              <w:t>Multiple solid tumors (with atezolizumab)</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280"/>
              <w:spacing w:after="0"/>
              <w:rPr>
                <w:sz w:val="20"/>
                <w:szCs w:val="20"/>
                <w:color w:val="auto"/>
              </w:rPr>
            </w:pPr>
            <w:r>
              <w:rPr>
                <w:rFonts w:ascii="Arial" w:cs="Arial" w:eastAsia="Arial" w:hAnsi="Arial"/>
                <w:sz w:val="18"/>
                <w:szCs w:val="18"/>
                <w:color w:val="auto"/>
              </w:rPr>
              <w:t>Phase 1</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CDX-1401</w:t>
            </w:r>
          </w:p>
        </w:tc>
        <w:tc>
          <w:tcPr>
            <w:tcW w:w="51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Multiple solid tumors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Phase 2</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CDX-301</w:t>
            </w:r>
          </w:p>
        </w:tc>
        <w:tc>
          <w:tcPr>
            <w:tcW w:w="5140" w:type="dxa"/>
            <w:vAlign w:val="bottom"/>
            <w:gridSpan w:val="3"/>
          </w:tcPr>
          <w:p>
            <w:pPr>
              <w:ind w:left="300"/>
              <w:spacing w:after="0"/>
              <w:rPr>
                <w:sz w:val="20"/>
                <w:szCs w:val="20"/>
                <w:color w:val="auto"/>
              </w:rPr>
            </w:pPr>
            <w:r>
              <w:rPr>
                <w:rFonts w:ascii="Arial" w:cs="Arial" w:eastAsia="Arial" w:hAnsi="Arial"/>
                <w:sz w:val="18"/>
                <w:szCs w:val="18"/>
                <w:color w:val="auto"/>
              </w:rPr>
              <w:t>Multiple indications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280"/>
              <w:spacing w:after="0"/>
              <w:rPr>
                <w:sz w:val="20"/>
                <w:szCs w:val="20"/>
                <w:color w:val="auto"/>
              </w:rPr>
            </w:pPr>
            <w:r>
              <w:rPr>
                <w:rFonts w:ascii="Arial" w:cs="Arial" w:eastAsia="Arial" w:hAnsi="Arial"/>
                <w:sz w:val="18"/>
                <w:szCs w:val="18"/>
                <w:color w:val="auto"/>
              </w:rPr>
              <w:t>Phase 1</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CDX-014</w:t>
            </w:r>
          </w:p>
        </w:tc>
        <w:tc>
          <w:tcPr>
            <w:tcW w:w="51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Renal cell carcinoma</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Phase 1</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expenditures that will be necessary to execute our business plan are subject to numerous uncertainties. Completion of clinical trials may take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several years or more, and the length of time generally varies substantially according to the type, complexity, novelty and intended use of a product candidate.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 is not unusual for the clinical development of these types of product candidates to each take five years or more and for total development costs to exceed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for each product candidate. We estimate that clinical trials of the type we generally conduct are typically completed over the following timelines: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p>
        </w:tc>
        <w:tc>
          <w:tcPr>
            <w:tcW w:w="5600" w:type="dxa"/>
            <w:vAlign w:val="bottom"/>
          </w:tcPr>
          <w:p>
            <w:pPr>
              <w:jc w:val="right"/>
              <w:ind w:right="297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3260" w:type="dxa"/>
            <w:vAlign w:val="bottom"/>
            <w:tcBorders>
              <w:bottom w:val="single" w:sz="8" w:color="808080"/>
            </w:tcBorders>
          </w:tcPr>
          <w:p>
            <w:pPr>
              <w:spacing w:after="0"/>
              <w:rPr>
                <w:sz w:val="11"/>
                <w:szCs w:val="11"/>
                <w:color w:val="auto"/>
              </w:rPr>
            </w:pPr>
          </w:p>
        </w:tc>
        <w:tc>
          <w:tcPr>
            <w:tcW w:w="56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90"/>
        </w:trPr>
        <w:tc>
          <w:tcPr>
            <w:tcW w:w="32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49"/>
        </w:trPr>
        <w:tc>
          <w:tcPr>
            <w:tcW w:w="3260" w:type="dxa"/>
            <w:vAlign w:val="bottom"/>
            <w:vMerge w:val="restart"/>
          </w:tcPr>
          <w:p>
            <w:pPr>
              <w:spacing w:after="0"/>
              <w:rPr>
                <w:sz w:val="20"/>
                <w:szCs w:val="20"/>
                <w:color w:val="auto"/>
              </w:rPr>
            </w:pPr>
            <w:r>
              <w:rPr>
                <w:rFonts w:ascii="Arial" w:cs="Arial" w:eastAsia="Arial" w:hAnsi="Arial"/>
                <w:sz w:val="14"/>
                <w:szCs w:val="14"/>
                <w:b w:val="1"/>
                <w:bCs w:val="1"/>
                <w:color w:val="auto"/>
              </w:rPr>
              <w:t>Clinical Phase</w:t>
            </w:r>
          </w:p>
        </w:tc>
        <w:tc>
          <w:tcPr>
            <w:tcW w:w="5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Completion</w:t>
            </w:r>
          </w:p>
        </w:tc>
        <w:tc>
          <w:tcPr>
            <w:tcW w:w="0" w:type="dxa"/>
            <w:vAlign w:val="bottom"/>
          </w:tcPr>
          <w:p>
            <w:pPr>
              <w:spacing w:after="0"/>
              <w:rPr>
                <w:sz w:val="1"/>
                <w:szCs w:val="1"/>
                <w:color w:val="auto"/>
              </w:rPr>
            </w:pPr>
          </w:p>
        </w:tc>
      </w:tr>
      <w:tr>
        <w:trPr>
          <w:trHeight w:val="171"/>
        </w:trPr>
        <w:tc>
          <w:tcPr>
            <w:tcW w:w="3260" w:type="dxa"/>
            <w:vAlign w:val="bottom"/>
            <w:vMerge w:val="continue"/>
          </w:tcPr>
          <w:p>
            <w:pPr>
              <w:spacing w:after="0"/>
              <w:rPr>
                <w:sz w:val="14"/>
                <w:szCs w:val="14"/>
                <w:color w:val="auto"/>
              </w:rPr>
            </w:pPr>
          </w:p>
        </w:tc>
        <w:tc>
          <w:tcPr>
            <w:tcW w:w="5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10"/>
        </w:trPr>
        <w:tc>
          <w:tcPr>
            <w:tcW w:w="3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5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1 - 2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Phase 2</w:t>
            </w:r>
          </w:p>
        </w:tc>
        <w:tc>
          <w:tcPr>
            <w:tcW w:w="5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6"/>
              </w:rPr>
              <w:t>1 - 5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Phase 3</w:t>
            </w:r>
          </w:p>
        </w:tc>
        <w:tc>
          <w:tcPr>
            <w:tcW w:w="5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1 - 5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-1090295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-1090295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test potential product candidates in numerous preclinical studies for safety, toxicology and immunogenicity. We may then conduct multiple clinical trials for each product candidate. As we obtain results from trials, we may elect to discontinue or delay clinical trials for certain product candidates in order to focus our resources on more promising product candidates.</w:t>
      </w:r>
    </w:p>
    <w:p>
      <w:pPr>
        <w:sectPr>
          <w:pgSz w:w="11900" w:h="16838" w:orient="portrait"/>
          <w:cols w:equalWidth="0" w:num="1">
            <w:col w:w="11460"/>
          </w:cols>
          <w:pgMar w:left="240" w:top="125" w:right="199" w:bottom="0" w:gutter="0" w:footer="0" w:header="0"/>
        </w:sectPr>
      </w:pPr>
    </w:p>
    <w:bookmarkStart w:id="10" w:name="page11"/>
    <w:bookmarkEnd w:id="10"/>
    <w:p>
      <w:pPr>
        <w:ind w:right="200" w:firstLine="648"/>
        <w:spacing w:after="0" w:line="264" w:lineRule="auto"/>
        <w:rPr>
          <w:sz w:val="20"/>
          <w:szCs w:val="20"/>
          <w:color w:val="auto"/>
        </w:rPr>
      </w:pPr>
      <w:r>
        <w:rPr>
          <w:rFonts w:ascii="Arial" w:cs="Arial" w:eastAsia="Arial" w:hAnsi="Arial"/>
          <w:sz w:val="18"/>
          <w:szCs w:val="18"/>
          <w:color w:val="auto"/>
        </w:rPr>
        <w:t>An element of our business strategy is to pursue the research and development of a broad portfolio of product candidates. This is intended to allow us to diversify the risks associated with our research and development expenditures. To the extent we are unable to maintain a broad range of product candidates, our dependence on the success of one or a few product candidates increases.</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Regulatory approval is required before we can market our product candidates as therapeutic products. In order to proceed to subsequent clinical trial stages and to ultimately achieve regulatory approval, the regulatory agency must conclude that our clinical data is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product candidates. In the event that third parties take over the clinical trial process for one of our product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3"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During the past five years through December 31, 2015, we incurred an aggregate of $351.8 million in research and development expenses. The following table indicates the amount incurred for each of our significant research programs and for other identified research and development activities during the nine months ended September 30, 2016 and 2015. The amounts disclosed in the following table reflect direct research and development costs, license fees associated with the underlying technology and an allocation of indirect research and development costs to each program.</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120" w:type="dxa"/>
            <w:vAlign w:val="bottom"/>
            <w:gridSpan w:val="7"/>
          </w:tcPr>
          <w:p>
            <w:pPr>
              <w:ind w:left="44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5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5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20" w:type="dxa"/>
            <w:vAlign w:val="bottom"/>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Glembatumumab vedotin</w:t>
            </w:r>
          </w:p>
        </w:tc>
        <w:tc>
          <w:tcPr>
            <w:tcW w:w="4000" w:type="dxa"/>
            <w:vAlign w:val="bottom"/>
            <w:gridSpan w:val="2"/>
            <w:shd w:val="clear" w:color="auto" w:fill="CCEEFF"/>
          </w:tcPr>
          <w:p>
            <w:pPr>
              <w:jc w:val="right"/>
              <w:ind w:right="68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20,577</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13,907</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ind w:left="200"/>
              <w:spacing w:after="0"/>
              <w:rPr>
                <w:sz w:val="20"/>
                <w:szCs w:val="20"/>
                <w:color w:val="auto"/>
              </w:rPr>
            </w:pPr>
            <w:r>
              <w:rPr>
                <w:rFonts w:ascii="Arial" w:cs="Arial" w:eastAsia="Arial" w:hAnsi="Arial"/>
                <w:sz w:val="18"/>
                <w:szCs w:val="18"/>
                <w:color w:val="auto"/>
              </w:rPr>
              <w:t>Varlilumab</w:t>
            </w: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22,777</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12,480</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CDX-1401</w:t>
            </w:r>
          </w:p>
        </w:tc>
        <w:tc>
          <w:tcPr>
            <w:tcW w:w="3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3,804</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2,820</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ind w:left="200"/>
              <w:spacing w:after="0"/>
              <w:rPr>
                <w:sz w:val="20"/>
                <w:szCs w:val="20"/>
                <w:color w:val="auto"/>
              </w:rPr>
            </w:pPr>
            <w:r>
              <w:rPr>
                <w:rFonts w:ascii="Arial" w:cs="Arial" w:eastAsia="Arial" w:hAnsi="Arial"/>
                <w:sz w:val="18"/>
                <w:szCs w:val="18"/>
                <w:color w:val="auto"/>
              </w:rPr>
              <w:t>CDX-301</w:t>
            </w: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3,402</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1,658</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CDX-014</w:t>
            </w:r>
          </w:p>
        </w:tc>
        <w:tc>
          <w:tcPr>
            <w:tcW w:w="3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3,059</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4,782</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ind w:left="200"/>
              <w:spacing w:after="0"/>
              <w:rPr>
                <w:sz w:val="20"/>
                <w:szCs w:val="20"/>
                <w:color w:val="auto"/>
              </w:rPr>
            </w:pPr>
            <w:r>
              <w:rPr>
                <w:rFonts w:ascii="Arial" w:cs="Arial" w:eastAsia="Arial" w:hAnsi="Arial"/>
                <w:sz w:val="18"/>
                <w:szCs w:val="18"/>
                <w:color w:val="auto"/>
              </w:rPr>
              <w:t>Rintega</w:t>
            </w: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14,624</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34,139</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Programs</w:t>
            </w:r>
          </w:p>
        </w:tc>
        <w:tc>
          <w:tcPr>
            <w:tcW w:w="3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9,925</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6,485</w:t>
            </w:r>
          </w:p>
        </w:tc>
        <w:tc>
          <w:tcPr>
            <w:tcW w:w="80" w:type="dxa"/>
            <w:vAlign w:val="bottom"/>
            <w:shd w:val="clear" w:color="auto" w:fill="CCEEFF"/>
          </w:tcPr>
          <w:p>
            <w:pPr>
              <w:spacing w:after="0"/>
              <w:rPr>
                <w:sz w:val="18"/>
                <w:szCs w:val="18"/>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Total R&amp;D Expense</w:t>
            </w:r>
          </w:p>
        </w:tc>
        <w:tc>
          <w:tcPr>
            <w:tcW w:w="3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78,168</w:t>
            </w:r>
          </w:p>
        </w:tc>
        <w:tc>
          <w:tcPr>
            <w:tcW w:w="2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76,271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Glembatumumab Vedotin</w:t>
      </w:r>
    </w:p>
    <w:p>
      <w:pPr>
        <w:spacing w:after="0" w:line="225" w:lineRule="exact"/>
        <w:rPr>
          <w:sz w:val="20"/>
          <w:szCs w:val="20"/>
          <w:color w:val="auto"/>
        </w:rPr>
      </w:pPr>
    </w:p>
    <w:p>
      <w:pPr>
        <w:ind w:right="40" w:firstLine="648"/>
        <w:spacing w:after="0" w:line="280" w:lineRule="auto"/>
        <w:rPr>
          <w:sz w:val="20"/>
          <w:szCs w:val="20"/>
          <w:color w:val="auto"/>
        </w:rPr>
      </w:pPr>
      <w:r>
        <w:rPr>
          <w:rFonts w:ascii="Arial" w:cs="Arial" w:eastAsia="Arial" w:hAnsi="Arial"/>
          <w:sz w:val="16"/>
          <w:szCs w:val="16"/>
          <w:color w:val="auto"/>
        </w:rPr>
        <w:t>Glembatumumab vedotin is an antibody-drug conjugate, or ADC, that consists of a fully human monoclonal antibody, CR011, linked to a potent cell-killing drug, monomethyl-auristatin E, or MMAE. The CR011 antibody specifically targets glycoprotein NMB, referred to as gpNMB, that is over-expressed in a variety of cancers including breast cancer, melanoma, non-small cell lung cancer, uveal melanoma and osteosarcoma, among others. The ADC technology, comprised of MMAE and a stable linker system for attaching it to CR011, was licensed from Seattle Genetics, Inc. and is the same as that used in the marketed product Adcetris</w:t>
      </w:r>
      <w:r>
        <w:rPr>
          <w:rFonts w:ascii="Arial" w:cs="Arial" w:eastAsia="Arial" w:hAnsi="Arial"/>
          <w:sz w:val="20"/>
          <w:szCs w:val="20"/>
          <w:color w:val="auto"/>
          <w:vertAlign w:val="superscript"/>
        </w:rPr>
        <w:t>®</w:t>
      </w:r>
      <w:r>
        <w:rPr>
          <w:rFonts w:ascii="Arial" w:cs="Arial" w:eastAsia="Arial" w:hAnsi="Arial"/>
          <w:sz w:val="16"/>
          <w:szCs w:val="16"/>
          <w:color w:val="auto"/>
        </w:rPr>
        <w:t>. The ADC is designed to be stable in the bloodstream. Following intravenous administration, glembatumumab vedotin targets and binds to gpNMB, and upon internalization into the targeted cell, glembatumumab vedotin is designed to release MMAE from CR011 to produce a cell-killing effect. The FDA has granted Fast Track designation to glembatumumab vedotin for the treatment of advanced, refractory/resistant gpNMB-expressing breast cancer. A companion diagnostic is in development for certain indications, and we expect that, if necessary, such a companion diagnostic must be approved by the FDA or certain other foreign regulatory agencies before glembatumumab vedotin may be commercialized in those indications.</w:t>
      </w:r>
    </w:p>
    <w:p>
      <w:pPr>
        <w:spacing w:after="0" w:line="17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b w:val="1"/>
          <w:bCs w:val="1"/>
          <w:color w:val="auto"/>
        </w:rPr>
        <w:t xml:space="preserve">Treatment of Metastatic Breast Cancer: </w:t>
      </w:r>
      <w:r>
        <w:rPr>
          <w:rFonts w:ascii="Arial" w:cs="Arial" w:eastAsia="Arial" w:hAnsi="Arial"/>
          <w:sz w:val="16"/>
          <w:szCs w:val="16"/>
          <w:color w:val="auto"/>
        </w:rPr>
        <w:t>The Phase 1/2 study of glembatumumab vedotin administered intravenously once every three weeks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evaluated patients with locally advanced or metastatic breast cancer who had received prior therapy (median of seven prior regimens). Results were published in the </w:t>
      </w:r>
      <w:r>
        <w:rPr>
          <w:rFonts w:ascii="Arial" w:cs="Arial" w:eastAsia="Arial" w:hAnsi="Arial"/>
          <w:sz w:val="16"/>
          <w:szCs w:val="16"/>
          <w:i w:val="1"/>
          <w:iCs w:val="1"/>
          <w:color w:val="auto"/>
        </w:rPr>
        <w:t>Journal of Clinical Oncology</w:t>
      </w:r>
      <w:r>
        <w:rPr>
          <w:rFonts w:ascii="Arial" w:cs="Arial" w:eastAsia="Arial" w:hAnsi="Arial"/>
          <w:sz w:val="16"/>
          <w:szCs w:val="16"/>
          <w:color w:val="auto"/>
        </w:rPr>
        <w:t xml:space="preserve"> in September 2014. The study began with a bridging phase to confirm the maximum tolerated dose, or MTD, and then expanded into a Phase 2 open-label, multi-center study. The study confirmed the safety of glembatumumab vedotin at the pre-defined maximum dose level</w:t>
      </w:r>
    </w:p>
    <w:p>
      <w:pPr>
        <w:spacing w:after="0" w:line="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(1.88 mg/kg) in 6 patients. An additional 28 patients were enrolled in an expanded Phase 2 cohort (for a total of 34 treated patients at 1.88 mg/kg, the Phase 2 dose) to evaluate the progression-free survival (PFS) rate at 12 weeks. The 1.88 mg/kg dose was well tolerated in this patient population with the most common adverse events of rash, neuropathy and fatigue. The primary activity endpoint, which called for at least 5 of 25 (20%) patients in the Phase 2 study portion to be progression-free at 12 weeks, was met as 9 of 27 (33%) evaluable patients were progression-free at 12 weeks. For all patients treated at the maximum dose level, median PFS was 9.1 weeks.</w:t>
      </w:r>
    </w:p>
    <w:p>
      <w:pPr>
        <w:spacing w:after="0" w:line="19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 subset of 10 patients had “triple negative disease,” a more aggressive breast cancer subtype that carries a high risk of relapse and reduced survival as well as limited therapeutic options due to lack of over-expression of HER2/neu, estrogen and progesterone receptors. In these patients, 12-week PFS rate was 60% (6/10), and median PFS was 17.9 weeks. Tumor samples from a subset of patients across all dose groups were analyzed for gpNMB expression. The tumor samples from most patients showed evidence of stromal and/or tumor cell expression of gpNMB.</w:t>
      </w:r>
    </w:p>
    <w:p>
      <w:pPr>
        <w:spacing w:after="0" w:line="171"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 xml:space="preserve">The EMERGE study was a randomized, multi-center Phase 2b study of glembatumumab vedotin in 124 patients with heavily pre-treated, advanced, gpNMB-positive breast cancer. Results from EMERGE were published in the </w:t>
      </w:r>
      <w:r>
        <w:rPr>
          <w:rFonts w:ascii="Arial" w:cs="Arial" w:eastAsia="Arial" w:hAnsi="Arial"/>
          <w:sz w:val="16"/>
          <w:szCs w:val="16"/>
          <w:i w:val="1"/>
          <w:iCs w:val="1"/>
          <w:color w:val="auto"/>
        </w:rPr>
        <w:t>Journal of Clinical Oncology</w:t>
      </w:r>
      <w:r>
        <w:rPr>
          <w:rFonts w:ascii="Arial" w:cs="Arial" w:eastAsia="Arial" w:hAnsi="Arial"/>
          <w:sz w:val="16"/>
          <w:szCs w:val="16"/>
          <w:color w:val="auto"/>
        </w:rPr>
        <w:t xml:space="preserve"> in April 2015. Patients were randomized (2:1) to</w:t>
      </w:r>
    </w:p>
    <w:p>
      <w:pPr>
        <w:sectPr>
          <w:pgSz w:w="11900" w:h="16838" w:orient="portrait"/>
          <w:cols w:equalWidth="0" w:num="1">
            <w:col w:w="11420"/>
          </w:cols>
          <w:pgMar w:left="240" w:top="125" w:right="239" w:bottom="0" w:gutter="0" w:footer="0" w:header="0"/>
        </w:sectPr>
      </w:pPr>
    </w:p>
    <w:bookmarkStart w:id="11" w:name="page12"/>
    <w:bookmarkEnd w:id="11"/>
    <w:p>
      <w:pPr>
        <w:ind w:right="60"/>
        <w:spacing w:after="0" w:line="273" w:lineRule="auto"/>
        <w:rPr>
          <w:sz w:val="20"/>
          <w:szCs w:val="20"/>
          <w:color w:val="auto"/>
        </w:rPr>
      </w:pPr>
      <w:r>
        <w:rPr>
          <w:rFonts w:ascii="Arial" w:cs="Arial" w:eastAsia="Arial" w:hAnsi="Arial"/>
          <w:sz w:val="17"/>
          <w:szCs w:val="17"/>
          <w:color w:val="auto"/>
        </w:rPr>
        <w:t>receive either glembatumumab vedotin or single-agent Investigator’s Choice, or IC, chemotherapy. Patients randomized to receive IC were allowed to cross over to receive glembatumumab vedotin following disease progression. Activity endpoints included response rate, PFS and overall survival (OS). The final results, as shown below, suggested that glembatumumab vedotin induces significant response rates compared to currently available therapies in patient subsets with advanced, refractory breast cancers with high gpNMB expression (expression in at least 25% of tumor cells) and in patients with triple negative breast cancer. The OS and PFS of patients treated with glembatumumab vedotin was also observed to be greatest in patients with triple negative breast cancer who also have high gpNMB expression and all patients with high gpNMB expression.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EMERGE: Overall Response Rate and Disease Control Data (Intent-to-Treat Population)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300" w:type="dxa"/>
            <w:vAlign w:val="bottom"/>
            <w:gridSpan w:val="4"/>
            <w:vMerge w:val="restart"/>
          </w:tcPr>
          <w:p>
            <w:pPr>
              <w:ind w:left="740"/>
              <w:spacing w:after="0"/>
              <w:rPr>
                <w:sz w:val="20"/>
                <w:szCs w:val="20"/>
                <w:color w:val="auto"/>
              </w:rPr>
            </w:pPr>
            <w:r>
              <w:rPr>
                <w:rFonts w:ascii="Arial" w:cs="Arial" w:eastAsia="Arial" w:hAnsi="Arial"/>
                <w:sz w:val="14"/>
                <w:szCs w:val="14"/>
                <w:b w:val="1"/>
                <w:bCs w:val="1"/>
                <w:color w:val="auto"/>
              </w:rPr>
              <w:t>High gpNMB Expression</w:t>
            </w:r>
          </w:p>
        </w:tc>
        <w:tc>
          <w:tcPr>
            <w:tcW w:w="31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Triple Negative and</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3300" w:type="dxa"/>
            <w:vAlign w:val="bottom"/>
            <w:gridSpan w:val="4"/>
            <w:vMerge w:val="continue"/>
          </w:tcPr>
          <w:p>
            <w:pPr>
              <w:spacing w:after="0"/>
              <w:rPr>
                <w:sz w:val="14"/>
                <w:szCs w:val="14"/>
                <w:color w:val="auto"/>
              </w:rPr>
            </w:pPr>
          </w:p>
        </w:tc>
        <w:tc>
          <w:tcPr>
            <w:tcW w:w="31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gpNMB Over-Expression</w:t>
            </w: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166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Glembatumumab</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Investigator</w:t>
            </w:r>
          </w:p>
        </w:tc>
        <w:tc>
          <w:tcPr>
            <w:tcW w:w="280" w:type="dxa"/>
            <w:vAlign w:val="bottom"/>
          </w:tcPr>
          <w:p>
            <w:pPr>
              <w:spacing w:after="0"/>
              <w:rPr>
                <w:sz w:val="10"/>
                <w:szCs w:val="10"/>
                <w:color w:val="auto"/>
              </w:rPr>
            </w:pPr>
          </w:p>
        </w:tc>
        <w:tc>
          <w:tcPr>
            <w:tcW w:w="164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Glembatumumab</w:t>
            </w: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Investigator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Vedotin</w:t>
            </w: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Choice</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Vedotin</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Choice</w:t>
            </w:r>
          </w:p>
        </w:tc>
        <w:tc>
          <w:tcPr>
            <w:tcW w:w="0" w:type="dxa"/>
            <w:vAlign w:val="bottom"/>
          </w:tcPr>
          <w:p>
            <w:pPr>
              <w:spacing w:after="0"/>
              <w:rPr>
                <w:sz w:val="1"/>
                <w:szCs w:val="1"/>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(n=23)</w:t>
            </w:r>
          </w:p>
        </w:tc>
        <w:tc>
          <w:tcPr>
            <w:tcW w:w="30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(n=11)</w:t>
            </w:r>
          </w:p>
        </w:tc>
        <w:tc>
          <w:tcPr>
            <w:tcW w:w="28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(n=10)</w:t>
            </w:r>
          </w:p>
        </w:tc>
        <w:tc>
          <w:tcPr>
            <w:tcW w:w="28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(n=6)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Response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Disease Control Rate</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65%</w:t>
            </w:r>
          </w:p>
        </w:tc>
        <w:tc>
          <w:tcPr>
            <w:tcW w:w="3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27%</w:t>
            </w:r>
          </w:p>
        </w:tc>
        <w:tc>
          <w:tcPr>
            <w:tcW w:w="2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90%</w:t>
            </w:r>
          </w:p>
        </w:tc>
        <w:tc>
          <w:tcPr>
            <w:tcW w:w="28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 = Investigator’s Choice; Tumor response assessed by RECIST 1.1, inclusive of response observed at a single time point.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EMERGE: Progression Free Survival (PFS) and Overall Survival (OS)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00" w:type="dxa"/>
            <w:vAlign w:val="bottom"/>
            <w:gridSpan w:val="4"/>
            <w:vMerge w:val="restart"/>
          </w:tcPr>
          <w:p>
            <w:pPr>
              <w:ind w:left="740"/>
              <w:spacing w:after="0"/>
              <w:rPr>
                <w:sz w:val="20"/>
                <w:szCs w:val="20"/>
                <w:color w:val="auto"/>
              </w:rPr>
            </w:pPr>
            <w:r>
              <w:rPr>
                <w:rFonts w:ascii="Arial" w:cs="Arial" w:eastAsia="Arial" w:hAnsi="Arial"/>
                <w:sz w:val="14"/>
                <w:szCs w:val="14"/>
                <w:b w:val="1"/>
                <w:bCs w:val="1"/>
                <w:color w:val="auto"/>
              </w:rPr>
              <w:t>High gpNMB Expression</w:t>
            </w:r>
          </w:p>
        </w:tc>
        <w:tc>
          <w:tcPr>
            <w:tcW w:w="31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Triple Negative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00" w:type="dxa"/>
            <w:vAlign w:val="bottom"/>
            <w:gridSpan w:val="4"/>
            <w:vMerge w:val="continue"/>
          </w:tcPr>
          <w:p>
            <w:pPr>
              <w:spacing w:after="0"/>
              <w:rPr>
                <w:sz w:val="14"/>
                <w:szCs w:val="14"/>
                <w:color w:val="auto"/>
              </w:rPr>
            </w:pPr>
          </w:p>
        </w:tc>
        <w:tc>
          <w:tcPr>
            <w:tcW w:w="31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gpNMB Over-Expression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6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Glembatumumab</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Investigator</w:t>
            </w:r>
          </w:p>
        </w:tc>
        <w:tc>
          <w:tcPr>
            <w:tcW w:w="280" w:type="dxa"/>
            <w:vAlign w:val="bottom"/>
          </w:tcPr>
          <w:p>
            <w:pPr>
              <w:spacing w:after="0"/>
              <w:rPr>
                <w:sz w:val="10"/>
                <w:szCs w:val="10"/>
                <w:color w:val="auto"/>
              </w:rPr>
            </w:pPr>
          </w:p>
        </w:tc>
        <w:tc>
          <w:tcPr>
            <w:tcW w:w="164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Glembatumumab</w:t>
            </w: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Investigator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Vedotin</w:t>
            </w: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Choice</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Vedotin</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Choice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Median PFS (months)</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2.8</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1.5</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3.5</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3"/>
              </w:rPr>
              <w:t>p=0.18</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p=0.0017</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Median OS (months)</w:t>
            </w:r>
          </w:p>
        </w:tc>
        <w:tc>
          <w:tcPr>
            <w:tcW w:w="166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1"/>
              </w:rPr>
              <w:t>10.0</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5.7</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3"/>
              </w:rPr>
              <w:t>p=0.31</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p=0.003</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December 2013, we initiated METRIC, a randomized, controlled Phase 2b study of glembatumumab vedotin in patients with triple negative breast cancer that over-express gpNMB. Clinical trial sites are open to enrollment across the U.S., Canada, Australia and the European Union. The METRIC protocol was amended in late 2014 based on feedback from clinical investigators conducting the study that the eligibility criteria for study entry were limiting their ability to enroll patients they felt were clinically appropriate. In addition, we had spoken to country-specific members of the European Medicines Agency, or EMA, and believed a significant opportunity existed to expand the study into the EU. The amendment expanded patient entry criteria to position it for full marketing approval with global regulators, including the EMA, and to support improved enrollment in the study. The primary endpoint of the study is PFS as PFS is an established endpoint for full approval registration studies in this patient population in both the U.S. and the EU. The sample size (n=300) and the secondary endpoint of OS remained unchanged. We implemented these changes in parallel to regulatory discussions to maintain momentum at open clinical trial sites. Since implementation, both the FDA and central European regulatory authorities have reviewed the protocol design, and we believe the METRIC study could support marketing approval in both the U.S. and Europe dependent upon data review.</w:t>
      </w:r>
    </w:p>
    <w:p>
      <w:pPr>
        <w:spacing w:after="0" w:line="16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 xml:space="preserve">Treatment of Metastatic Melanoma: </w:t>
      </w:r>
      <w:r>
        <w:rPr>
          <w:rFonts w:ascii="Arial" w:cs="Arial" w:eastAsia="Arial" w:hAnsi="Arial"/>
          <w:sz w:val="17"/>
          <w:szCs w:val="17"/>
          <w:color w:val="auto"/>
        </w:rPr>
        <w:t>The Phase 1/2 open-label, multi-center, dose escalation study evaluated the safety, tolerability and</w:t>
      </w:r>
      <w:r>
        <w:rPr>
          <w:rFonts w:ascii="Arial" w:cs="Arial" w:eastAsia="Arial" w:hAnsi="Arial"/>
          <w:sz w:val="17"/>
          <w:szCs w:val="17"/>
          <w:b w:val="1"/>
          <w:bCs w:val="1"/>
          <w:color w:val="auto"/>
        </w:rPr>
        <w:t xml:space="preserve"> </w:t>
      </w:r>
      <w:r>
        <w:rPr>
          <w:rFonts w:ascii="Arial" w:cs="Arial" w:eastAsia="Arial" w:hAnsi="Arial"/>
          <w:sz w:val="17"/>
          <w:szCs w:val="17"/>
          <w:color w:val="auto"/>
        </w:rPr>
        <w:t>pharmacokinetics of glembatumumab vedotin in 117 patients with unresectable stage III or IV melanoma who had failed no more than one prior line of cytotoxic therapy. The MTD was determined to be 1.88 mg/kg administered intravenously once every three weeks. The study achieved its primary activity objective with an overall response rate (ORR) in the Phase 2 cohort of 15% (5/34). Median PFS was 3.3 months for patients treated with the Phase 2 MTD. Glembatumumab vedotin was generally well tolerated, with the most frequent treatment-related adverse events being rash, fatigue, alopecia, pruritus, diarrhea and nausea. A nonsignificant trend toward prolonged PFS was seen for patients with tumors expressing higher levels of gpNMB. The development of rash, which may be associated with the presence of gpNMB in the skin, also seemed to correlate with greater PFS.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December 2014, we initiated a single arm, single-agent, open label Phase 2 study of glembatumumab vedotin in patients with unresectable stage</w:t>
      </w:r>
    </w:p>
    <w:p>
      <w:pPr>
        <w:spacing w:after="0" w:line="46" w:lineRule="exact"/>
        <w:rPr>
          <w:sz w:val="20"/>
          <w:szCs w:val="20"/>
          <w:color w:val="auto"/>
        </w:rPr>
      </w:pPr>
    </w:p>
    <w:p>
      <w:pPr>
        <w:ind w:right="300" w:firstLine="8"/>
        <w:spacing w:after="0" w:line="292" w:lineRule="auto"/>
        <w:tabs>
          <w:tab w:leader="none" w:pos="225" w:val="left"/>
        </w:tabs>
        <w:numPr>
          <w:ilvl w:val="0"/>
          <w:numId w:val="7"/>
        </w:numPr>
        <w:rPr>
          <w:rFonts w:ascii="Arial" w:cs="Arial" w:eastAsia="Arial" w:hAnsi="Arial"/>
          <w:sz w:val="16"/>
          <w:szCs w:val="16"/>
          <w:color w:val="auto"/>
        </w:rPr>
      </w:pPr>
      <w:r>
        <w:rPr>
          <w:rFonts w:ascii="Arial" w:cs="Arial" w:eastAsia="Arial" w:hAnsi="Arial"/>
          <w:sz w:val="16"/>
          <w:szCs w:val="16"/>
          <w:color w:val="auto"/>
        </w:rPr>
        <w:t>or IV melanoma (n=60) and enrollment has been completed. We recently amended the protocol to add a second cohort of patients to a glembatumumab vedotin and varlilumab combination arm to assess the potential clinical benefit of the combination and to explore varlilumab’s potential biologic and immunologic effect when combined with an ADC. This additional cohort is open to enrollment. The primary endpoint of each cohort is ORR. Secondary endpoints include analyses of PFS, duration of response, OS, retrospective investigation of whether the anticancer activity of glembatumumab vedotin is dependent upon the degree of gpNMB expression in tumor tissue and safety of both the monotherapy and combination regimen.</w:t>
      </w:r>
    </w:p>
    <w:p>
      <w:pPr>
        <w:spacing w:after="0" w:line="163"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presented data from the single-agent cohort at the European Society for Medical Oncology (ESMO) Congress in October 2016. The cohort enrolled 62 evaluable patients with unresectable stage III (n=1; 2%) or stage IV (n=61; 98%) melanoma. All patients had progressed after checkpoint therapy, and almost all patients had received both ipilimumab (n=58; 94%) and PD-1/PDL-1 (n=58; 94%) therapy. Twelve patients presented with BRAF mutation, and eleven had prior treatment with BRAF or BRAF/MEK targeted agents. The primary endpoint of the cohort (6 or more objective responses in the first 52 patients enrolled) was exceeded. 7 of 62 (11%) patients experienced a confirmed response, and an additional 3 patients also experienced single timepoint responses. The median duration of response was 6.0 months. A 52% disease control rate (patients without progression for greater than three months) was demonstrated and median progression-free survival (PFS) for all patients was 4.4 months. In addition, patients who experienced rash in the first cycle of treatment had a 20% confirmed response rate and a more prolonged PFS of 5.5 months [p=0.054; HR=0.52 (0.27, 1.02)]. Based on these results, we are exploring opening a new arm in the study to assess a glembatumumab vedotin and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checkpoint inhibition combination. We also intend to conduct exploratory analyses of pre-entry skin biopsies in future patients to investigate potential predictors of response to glembatumumab vedotin, given the association of rash and outcome.</w:t>
      </w:r>
    </w:p>
    <w:p>
      <w:pPr>
        <w:sectPr>
          <w:pgSz w:w="11900" w:h="16838" w:orient="portrait"/>
          <w:cols w:equalWidth="0" w:num="1">
            <w:col w:w="11420"/>
          </w:cols>
          <w:pgMar w:left="240" w:top="125" w:right="239" w:bottom="0" w:gutter="0" w:footer="0" w:header="0"/>
        </w:sectPr>
      </w:pPr>
    </w:p>
    <w:bookmarkStart w:id="12" w:name="page13"/>
    <w:bookmarkEnd w:id="12"/>
    <w:p>
      <w:pPr>
        <w:spacing w:after="0" w:line="2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 xml:space="preserve">Treatment of Other Indications: </w:t>
      </w:r>
      <w:r>
        <w:rPr>
          <w:rFonts w:ascii="Arial" w:cs="Arial" w:eastAsia="Arial" w:hAnsi="Arial"/>
          <w:sz w:val="17"/>
          <w:szCs w:val="17"/>
          <w:color w:val="auto"/>
        </w:rPr>
        <w:t>We have entered into a collaborative relationship with PrECOG, LLC, which represents a research network</w:t>
      </w:r>
      <w:r>
        <w:rPr>
          <w:rFonts w:ascii="Arial" w:cs="Arial" w:eastAsia="Arial" w:hAnsi="Arial"/>
          <w:sz w:val="17"/>
          <w:szCs w:val="17"/>
          <w:b w:val="1"/>
          <w:bCs w:val="1"/>
          <w:color w:val="auto"/>
        </w:rPr>
        <w:t xml:space="preserve"> </w:t>
      </w:r>
      <w:r>
        <w:rPr>
          <w:rFonts w:ascii="Arial" w:cs="Arial" w:eastAsia="Arial" w:hAnsi="Arial"/>
          <w:sz w:val="17"/>
          <w:szCs w:val="17"/>
          <w:color w:val="auto"/>
        </w:rPr>
        <w:t>established by the Eastern Cooperative Oncology Group (ECOG), under which PrECOG, LLC, is conducting an open-label Phase 1/2 study in patients with unresectable stage IIIB or IV, gpNMB-expressing, advanced or metastatic squamous cell carcinoma (SCC) of the lung, who have progressed on prior platinum-based chemotherapy. This study opened to enrollment in April 2016. The study includes a brief dose-escalation phase followed by a two-stage Phase 2 portion (Simon two-stage design). The Phase 1, dose-escalation portion of the study will assess the safety and tolerability of glembatumumab vedotin at the current dose of 1.9 mg/kg and then 2.2 mg/kg in order to determine whether higher dosing is feasible in this population. The first stage of the Phase 2 portion will enroll approximately 20 patients, and if at least two patients achieve a partial response or complete response, a second stage may enroll an additional 15 patients. The primary objective of the Phase 2 portion of the study is to assess the anti-tumor efficacy of glembatumumab vedotin in squamous cell lung cancer as measured by ORR. Secondary objectives of the study include analyses of safety and tolerability and further assessment of anti-tumor activity across a broad range of endpoints.</w:t>
      </w:r>
    </w:p>
    <w:p>
      <w:pPr>
        <w:spacing w:after="0" w:line="18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also entered into a Cooperative Research and Development Agreement, or CRADA, with the National Cancer Institute, or NCI, under which NCI is sponsoring two studies of glembatumumab vedotin—one in uveal melanoma and one in osteosarcoma. Both studies are currently open to enrollment. The uveal melanoma study is a single arm, open label study in patients with locally recurrent or metastatic uveal melanoma. The primary outcome measure is ORR. Secondary outcome measures include change in gpNMB expression on tumor tissue via immunohistochemistry, safety, OS and PFS. The osteosarcoma study is a single arm, open label, evaluation of adolescent and adult patients with recurrent or refractory osteosarcoma. The co-primary objectives are to determine whether glembatumumab vedotin therapy either increases the disease control rate at 4 months in patients with recurrent measurable osteosarcoma as compared to historical experience and/or whether glembatumumab vedotin therapy produces an objective response rate greater than 20% in patients without previous eribulin (eribulin mesylate) treatment. Secondary outcome measures include safety, pharmacokinetics and the relation of gpNMB expression as measured by immunohistochemistry to clinical response.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Varlilumab</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Varlilumab, a fully human monoclonal agonist antibody, binds and activates CD27, a critical co-stimulatory molecule in the immune activation cascade, primarily by stimulating T cells to attack cancer cells. Restricted expression and regulation of CD27 enables varlilumab specifically to activate T cells, resulting in an enhanced immune response with a favorable safety profile. Varlilumab has also been shown to directly kill or inhibit the growth of CD27 expressing lymphomas and leukemias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We have entered into license agreements with the University of Southampton, UK for intellectual property to use anti-CD27 antibodies and with Medarex (now a subsidiary of the Bristol-Myers Squibb Company, or BMS) for access to the UltiMab technology to develop and commercialize human antibodies to CD27.</w:t>
      </w:r>
    </w:p>
    <w:p>
      <w:pPr>
        <w:spacing w:after="0" w:line="18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b w:val="1"/>
          <w:bCs w:val="1"/>
          <w:color w:val="auto"/>
        </w:rPr>
        <w:t xml:space="preserve">Single-agent Phase 1 Study: </w:t>
      </w:r>
      <w:r>
        <w:rPr>
          <w:rFonts w:ascii="Arial" w:cs="Arial" w:eastAsia="Arial" w:hAnsi="Arial"/>
          <w:sz w:val="17"/>
          <w:szCs w:val="17"/>
          <w:color w:val="auto"/>
        </w:rPr>
        <w:t>Patient treatment is complete in the open label Phase 1 study of varlilumab in patients with selected malignant solid</w:t>
      </w:r>
      <w:r>
        <w:rPr>
          <w:rFonts w:ascii="Arial" w:cs="Arial" w:eastAsia="Arial" w:hAnsi="Arial"/>
          <w:sz w:val="17"/>
          <w:szCs w:val="17"/>
          <w:b w:val="1"/>
          <w:bCs w:val="1"/>
          <w:color w:val="auto"/>
        </w:rPr>
        <w:t xml:space="preserve"> </w:t>
      </w:r>
      <w:r>
        <w:rPr>
          <w:rFonts w:ascii="Arial" w:cs="Arial" w:eastAsia="Arial" w:hAnsi="Arial"/>
          <w:sz w:val="17"/>
          <w:szCs w:val="17"/>
          <w:color w:val="auto"/>
        </w:rPr>
        <w:t>tumors or hematologic cancers at multiple clinical sites in the U.S. Initial dose escalation cohorts were conducted to determine an optimal dose for future study, and no maximum tolerated dose was reached. The lymphoid malignancies dose escalation arm completed enrollment (n=24), and a new cohort was added to include evaluation of T cell malignancies. An expansion cohort was also added at 0.3 mg/kg dosed once every three weeks in patients with Hodgkin lymphoma (n= up to 15). The solid tumor arm, which included patients with various solid tumors, completed dose escalation in 2013. Two expansion cohorts were subsequently added at 3 mg/kg dosed weekly in metastatic melanoma (n=16) and renal cell carcinoma, or RCC, (n=15) to better characterize clinical activity and further define the safety profile in preparation for combination studies.</w:t>
      </w:r>
    </w:p>
    <w:p>
      <w:pPr>
        <w:spacing w:after="0" w:line="176"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We presented updated data from this Phase 1 study in November 2014. Varlilumab was very well tolerated and induced immunologic activity in patients that is consistent with both its mechanism of action and preclinical models. A total of 90 patients have been dosed in the study. 56 patients have been dosed in dose escalation cohorts (various solid and hematologic B-cell tumors), and 34 patients have been dosed in the expansion cohorts (melanoma and RCC) at 3 mg/kg. In both the solid tumor and hematologic dose-escalations, the pre-specified maximum dose level (10 mg/kg) was reached without identification of a maximum tolerated dose. The majority of adverse events, or AEs, related to treatment have been mild to moderate (Grade 1/2) in severity, with only three serious AEs related to treatment reported. No significant immune-mediated adverse events (colitis, hepatitis, etc.) typically associated with checkpoint blockade have been observed. Two patients experienced significant objective responses including a complete response in Hodgkin lymphoma (continues at 33.1+ months) and a partial response in renal cell carcinoma of 27.7+ months. Thirteen patients experienced stable disease with a range of 3-47.3+ months (as of September 2016) to-date. Based on the results observed in hematologic malignancies, an expansion cohort in up to 15 patients with Hodgkin lymphoma, and an abbreviated dose escalation in T cell hematologic malignancies were added and are now closed to enrollment. Any incremental data updates from this study will be included in future scientific presentations/publications.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48"/>
        <w:spacing w:after="0" w:line="261" w:lineRule="auto"/>
        <w:rPr>
          <w:sz w:val="20"/>
          <w:szCs w:val="20"/>
          <w:color w:val="auto"/>
        </w:rPr>
      </w:pPr>
      <w:r>
        <w:rPr>
          <w:rFonts w:ascii="Arial" w:cs="Arial" w:eastAsia="Arial" w:hAnsi="Arial"/>
          <w:sz w:val="17"/>
          <w:szCs w:val="17"/>
          <w:b w:val="1"/>
          <w:bCs w:val="1"/>
          <w:color w:val="auto"/>
        </w:rPr>
        <w:t>Phase 1/2 Varlilumab/Opdivo</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xml:space="preserve"> Combination Study: </w:t>
      </w:r>
      <w:r>
        <w:rPr>
          <w:rFonts w:ascii="Arial" w:cs="Arial" w:eastAsia="Arial" w:hAnsi="Arial"/>
          <w:sz w:val="17"/>
          <w:szCs w:val="17"/>
          <w:color w:val="auto"/>
        </w:rPr>
        <w:t>In May 2014, we entered into a clinical trial collaboration with Bristol-Myers Squibb to</w:t>
      </w:r>
      <w:r>
        <w:rPr>
          <w:rFonts w:ascii="Arial" w:cs="Arial" w:eastAsia="Arial" w:hAnsi="Arial"/>
          <w:sz w:val="17"/>
          <w:szCs w:val="17"/>
          <w:b w:val="1"/>
          <w:bCs w:val="1"/>
          <w:color w:val="auto"/>
        </w:rPr>
        <w:t xml:space="preserve"> </w:t>
      </w:r>
      <w:r>
        <w:rPr>
          <w:rFonts w:ascii="Arial" w:cs="Arial" w:eastAsia="Arial" w:hAnsi="Arial"/>
          <w:sz w:val="17"/>
          <w:szCs w:val="17"/>
          <w:color w:val="auto"/>
        </w:rPr>
        <w:t>evaluate the safety, tolerability and preliminary efficacy of varlilumab and Opdivo, Bristol-Myers Squibb’s PD-1 immune checkpoint inhibitor, in a Phase 1/2 study. Under the terms of this clinical trial collaboration, Bristol-Myers Squibb made a one-time payment to us of $5.0 million, and the companies amended the terms of our existing license agreement with Medarex (a subsidiary of Bristol-Myers Squibb) related to our CD27 program whereby certain future milestone payments were waived and future royalty rates were reduced that may have been due from us to Medarex. In return, Bristol-Myers Squibb was granted a time-limited right of first negotiation if we wish to out-license varlilumab. The companies also agreed to work exclusively with each other to explore anti-PD-1 antagonist antibody and anti-CD27 agonist antibody combination regimens. The clinical trial collaboration provides that the companies will share development costs and that we will be responsible for conducting the Phase 1/2 study.</w:t>
      </w:r>
    </w:p>
    <w:p>
      <w:pPr>
        <w:spacing w:after="0" w:line="186"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The Phase 1/2 study was initiated in January 2015 and is being conducted in adult patients with multiple solid tumors to assess the safety and tolerability of varlilumab at varying doses when administered with Opdivo followed by a Phase 2 expansion to evaluate the activity of the combination in disease specific cohorts. The Phase 1 dose escalation portion of the study, conducted in patients with solid tumors, has completed enrollment (n=36) and primarily enrolled patients with colorectal and ovarian cancer.</w:t>
      </w:r>
    </w:p>
    <w:p>
      <w:pPr>
        <w:spacing w:after="0" w:line="187"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Data were presented from the Phase 1 portion of the varlilumab and nivolumab study in a poster at the American Association for Cancer Research (AACR) Annual Meeting 2016 in April. The primary objective of the Phase 1 portion of the study was to evaluate the safety and tolerability of the combination. The combination showed acceptable tolerability and safety across all dose levels without any evidence of increased autoimmunity or inappropriate immune activation. Marked changes in the tumor microenvironment including increased infiltrating CD8+ T cells and increased PD-L1 expression, which have been shown to correlate with a greater magnitude of treatment effect from checkpoint inhibitors in other clinical studies were observed. Additional favorable immune biomarkers, such as increase in inflammatory chemokines and decrease in T regulatory cells, were also noted. In a subset of patients (n=17) on study who had both pre- and post-tumor biopsies available, preliminary evidence suggest a correlation between biomarker data and stable disease or better in seven of these patients (4 ovarian cancer, 2 colorectal cancer, 1 squamous cell carcinoma of the head and neck). All dose levels</w:t>
      </w:r>
    </w:p>
    <w:p>
      <w:pPr>
        <w:sectPr>
          <w:pgSz w:w="11900" w:h="16865" w:orient="portrait"/>
          <w:cols w:equalWidth="0" w:num="1">
            <w:col w:w="11420"/>
          </w:cols>
          <w:pgMar w:left="240" w:top="121" w:right="239" w:bottom="0" w:gutter="0" w:footer="0" w:header="0"/>
        </w:sectPr>
      </w:pPr>
    </w:p>
    <w:bookmarkStart w:id="13" w:name="page14"/>
    <w:bookmarkEnd w:id="13"/>
    <w:p>
      <w:pPr>
        <w:spacing w:after="0" w:line="1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of the combination therapy showed acceptable tolerability and safety, without identification of a maximum tolerated dose. In the Phase 2 portion of the study, varlilumab will be administered at 3 mg/kg, which is based upon cumulative data across multiple studies.</w:t>
      </w:r>
    </w:p>
    <w:p>
      <w:pPr>
        <w:spacing w:after="0" w:line="170"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Phase 2 portion of the study opened to enrollment in April 2016. A protocol amendment added additional arms evaluating alternate dosing schedules in both renal cell carcinoma and squamous cell head and neck cancer. A cohort in non-small cell lung cancer was removed prior to enrolling any patients to accommodate the addition of these new arms. As amended, the overall study size has increased and includes cohorts in colorectal cancer (n=18), ovarian cancer (n=18), head and neck squamous cell carcinoma (n=48), renal cell carcinoma (n=75) and glioblastoma (n=20). The primary objective of the Phase 2 cohorts will be ORR, except glioblastoma, where the primary objective is the rate of 12-month overall survival. Secondary objectives include pharmacokinetics assessments, determining the immunogenicity of varlilumab when given in combination with Opdivo and further assessing the anti-tumor activity of combination treatment.</w:t>
      </w:r>
    </w:p>
    <w:p>
      <w:pPr>
        <w:spacing w:after="0" w:line="18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Phase 1/2 Varlilumab/Atezolizumab Combination Study: </w:t>
      </w:r>
      <w:r>
        <w:rPr>
          <w:rFonts w:ascii="Arial" w:cs="Arial" w:eastAsia="Arial" w:hAnsi="Arial"/>
          <w:sz w:val="18"/>
          <w:szCs w:val="18"/>
          <w:color w:val="auto"/>
        </w:rPr>
        <w:t>In March 2015, we entered into a clinical trial collaboration with Roche to evaluate the</w:t>
      </w:r>
      <w:r>
        <w:rPr>
          <w:rFonts w:ascii="Arial" w:cs="Arial" w:eastAsia="Arial" w:hAnsi="Arial"/>
          <w:sz w:val="18"/>
          <w:szCs w:val="18"/>
          <w:b w:val="1"/>
          <w:bCs w:val="1"/>
          <w:color w:val="auto"/>
        </w:rPr>
        <w:t xml:space="preserve"> </w:t>
      </w:r>
      <w:r>
        <w:rPr>
          <w:rFonts w:ascii="Arial" w:cs="Arial" w:eastAsia="Arial" w:hAnsi="Arial"/>
          <w:sz w:val="18"/>
          <w:szCs w:val="18"/>
          <w:color w:val="auto"/>
        </w:rPr>
        <w:t>safety, tolerability and preliminary efficacy of varlilumab and atezolizumab (anti-PDL1), Roche’s investigational cancer immunotherapy, in a Phase 1/2 study. The Phase 1 portion of the study is being conducted in multiple tumor types, and the primary outcome is safety and tolerability. The Phase 2 portion of the study will be conducted in RCC, and the primary outcome is ORR. Secondary outcome measures include safety and tolerability, pharmacokinetics, immunogenicity and further assessment of anti-tumor activity across a broad range of endpoints. The Phase 1 portion of the study, which opened to enrollment in December 2015, has completed enrollment. Under the terms of this agreement, Roche is providing study drug, and we are responsible for conducting and funding the study.</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b w:val="1"/>
          <w:bCs w:val="1"/>
          <w:color w:val="auto"/>
        </w:rPr>
        <w:t>Phase 1/2 Varlilumab/Sutent</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xml:space="preserve"> Combination Study: </w:t>
      </w:r>
      <w:r>
        <w:rPr>
          <w:rFonts w:ascii="Arial" w:cs="Arial" w:eastAsia="Arial" w:hAnsi="Arial"/>
          <w:sz w:val="17"/>
          <w:szCs w:val="17"/>
          <w:color w:val="auto"/>
        </w:rPr>
        <w:t>In May 2015, we initiated a Phase 1/2 safety and tolerability study examining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of varlilumab and sunitinib (Sutent) in patients with metastatic clear cell renal cell carcinoma. The Phase 1 portion of the study will assess the safety and tolerability of varlilumab at varying doses when administered with sunitinib to identify a recommended dose for the Phase 2 portion of the study. The primary objective of the Phase 2 portion of the study is to assess the preliminary anti-tumor efficacy of the varlilumab/sunitinib combination measured by the overall response rate. Secondary objectives include safety and tolerability, pharmacokinetics, immunogenicity and further assessment of anti-tumor activity across a broad range of endpoints. We believe that the Phase 1 portion of the study will complete enrollment by year-end.</w:t>
      </w:r>
    </w:p>
    <w:p>
      <w:pPr>
        <w:spacing w:after="0" w:line="185"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b w:val="1"/>
          <w:bCs w:val="1"/>
          <w:color w:val="auto"/>
        </w:rPr>
        <w:t>Phase 1/2 Varlilumab/Yervoy</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 CDX-1401 Combination Study: </w:t>
      </w:r>
      <w:r>
        <w:rPr>
          <w:rFonts w:ascii="Arial" w:cs="Arial" w:eastAsia="Arial" w:hAnsi="Arial"/>
          <w:sz w:val="18"/>
          <w:szCs w:val="18"/>
          <w:color w:val="auto"/>
        </w:rPr>
        <w:t>In April 2015, we initiated a Phase 1/2 safety pilot and expansion study</w:t>
      </w:r>
      <w:r>
        <w:rPr>
          <w:rFonts w:ascii="Arial" w:cs="Arial" w:eastAsia="Arial" w:hAnsi="Arial"/>
          <w:sz w:val="18"/>
          <w:szCs w:val="18"/>
          <w:b w:val="1"/>
          <w:bCs w:val="1"/>
          <w:color w:val="auto"/>
        </w:rPr>
        <w:t xml:space="preserve"> </w:t>
      </w:r>
      <w:r>
        <w:rPr>
          <w:rFonts w:ascii="Arial" w:cs="Arial" w:eastAsia="Arial" w:hAnsi="Arial"/>
          <w:sz w:val="18"/>
          <w:szCs w:val="18"/>
          <w:color w:val="auto"/>
        </w:rPr>
        <w:t>examining the combination of varlilumab and Yervoy in patients with stage III or IV metastatic melanoma. Since initiating the study, the standard of care has evolved and there has been increasing physician relucatance to use Yervoy in this setting. As such, given the broad development strategy in place for varlilumab, we have decided to close this study.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 xml:space="preserve">Treatment of Other Indications: </w:t>
      </w:r>
      <w:r>
        <w:rPr>
          <w:rFonts w:ascii="Arial" w:cs="Arial" w:eastAsia="Arial" w:hAnsi="Arial"/>
          <w:sz w:val="18"/>
          <w:szCs w:val="18"/>
          <w:color w:val="auto"/>
        </w:rPr>
        <w:t>In addition to our sponsored studies and clinical trial collaborations, we anticipate that varlilumab’s potential</w:t>
      </w:r>
      <w:r>
        <w:rPr>
          <w:rFonts w:ascii="Arial" w:cs="Arial" w:eastAsia="Arial" w:hAnsi="Arial"/>
          <w:sz w:val="18"/>
          <w:szCs w:val="18"/>
          <w:b w:val="1"/>
          <w:bCs w:val="1"/>
          <w:color w:val="auto"/>
        </w:rPr>
        <w:t xml:space="preserve"> </w:t>
      </w:r>
      <w:r>
        <w:rPr>
          <w:rFonts w:ascii="Arial" w:cs="Arial" w:eastAsia="Arial" w:hAnsi="Arial"/>
          <w:sz w:val="18"/>
          <w:szCs w:val="18"/>
          <w:color w:val="auto"/>
        </w:rPr>
        <w:t>activity will also be explored in investigator sponsored studies at various academic institutions.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CDX-1401</w:t>
      </w:r>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 xml:space="preserve">CDX-1401, developed from our APC Targeting Technology, is an NY-ESO-1-antibody fusion protein for immunotherapy in multiple solid tumors. CDX-1401, which is administered with an adjuvant, is composed of the cancer-specific antigen NY-ESO-1 fused to a fully human antibody that binds to DEC-205 for efficient delivery to dendritic cells. Delivery of tumor-specific proteins directly to dendritic cells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elicits potent, broad, anti-tumor immune responses across populations with different genetic backgrounds. In humans, NY-ESO-1 has been detected in 20% to 30% of all melanoma, lung, esophageal, liver, gastric, prostate, ovarian and bladder cancers, thus representing a broad opportunity. We are developing CDX-1401 for the treatment of malignant melanoma and a variety of solid tumors which express the proprietary cancer antigen NY-ESO-1, which we licensed from the Ludwig Institute for Cancer Research in 2006. Preclinical studies have shown that CDX-1401 is effective for activation of human T cell responses against NY-ESO-1.</w:t>
      </w:r>
    </w:p>
    <w:p>
      <w:pPr>
        <w:spacing w:after="0" w:line="16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We have completed a Phase 1 study of CDX-1401 which assessed the safety, immunogenicity and clinical activity of escalating doses of CDX-1401 with TLR agonists (resiquimod and/or poly-ICLC) in 45 patients with advanced malignancies refractory to all available therapies. Results were published in </w:t>
      </w:r>
      <w:r>
        <w:rPr>
          <w:rFonts w:ascii="Arial" w:cs="Arial" w:eastAsia="Arial" w:hAnsi="Arial"/>
          <w:sz w:val="17"/>
          <w:szCs w:val="17"/>
          <w:i w:val="1"/>
          <w:iCs w:val="1"/>
          <w:color w:val="auto"/>
        </w:rPr>
        <w:t xml:space="preserve">Science Translational Medicine </w:t>
      </w:r>
      <w:r>
        <w:rPr>
          <w:rFonts w:ascii="Arial" w:cs="Arial" w:eastAsia="Arial" w:hAnsi="Arial"/>
          <w:sz w:val="17"/>
          <w:szCs w:val="17"/>
          <w:color w:val="auto"/>
        </w:rPr>
        <w:t>in April 2014. Sixty percent of patients had confirmed NY-ESO expression in archived tumor sample. Thirteen patients</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maintained stable disease for up to 13.4 months with a median of 6.7 months. Treatment was well tolerated, and there were no dose limiting toxicities. Humoral responses were elicited in both NY-ESO-1 positive and negative patients. NY-ESO-1-specific T cell responses were absent or low at baseline, but increased post-vaccination in 56% of evaluable patients, including both CD4 and/or CD8 T cell responses. Robust immune responses were observed with CDX-1401 with resiquimod and poly-ICLC alone and in combination. Long-term patient follow up suggested that treatment with CDX-1401 may predispose patients to better outcomes on subsequent therapy with checkpoint inhibitors. Of the 45 patients in the Phase 1 study, eight went on to receive subsequent therapy of either Yervoy or an investigational checkpoint inhibitor, and six of these patients had objective tumor regression. Six patients with melanoma received Yervoy within three months of treatment with CDX-1401, and four (67%) had objective tumor responses, including one complete response, which compares favorably to the overall response rate of 11% previously reported in metastatic melanoma patients treated with single-agent Yervoy. In addition, two patients with non-small cell lung cancer received an investigational checkpoint blockade within two months of completing treatment with CDX-1401, and both achieved partial responses. We are currently developing a follow on program that will better assess the impact of CDX-1401 activity on response to subsequent checkpoint inhibitor therapy in these diseases.</w:t>
      </w:r>
    </w:p>
    <w:p>
      <w:pPr>
        <w:spacing w:after="0" w:line="18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addition to our sponsored studies, CDX-1401’s potential activity is also being explored in investigator sponsored and collaborative studies. A Phase 2 study of CDX-1401 in combination with CDX-301 is being conducted in metastatic melanoma by the Cancer Immunotherapy Trials Network under a CRADA with the Cancer Therapy Evaluation Program of the NCI. This study was designed to determine if CDX-1401 works better with or without CDX-301 in melanoma. The primary outcome measure of the study is immune response to NY-ESO-1. Secondary outcome measures include analysis and characterization of peripheral blood mononuclear cells (dendritic cells, T cells, natural killer cells, etc.), additional immune monitoring, safety and clinical outcomes (survival and time to tumor recurrence). Enrollment is complete and initial results were presented in June at the 2016 American Society of Clinical Oncology (ASCO) Annual Meeting. The data confirmed that CDX-1401 is effective at driving NY-ESO-1 immunity and further demonstrated the value of CDX-301 as a combination agent for enhancing tumor specific immune responses. Based on results to date, plans for additional studies are being considered, including a targeted study in NY-ESO-1 positive disease to determine if these enhanced immune responses can translate to improved clinical outcomes.</w:t>
      </w:r>
    </w:p>
    <w:p>
      <w:pPr>
        <w:spacing w:after="0" w:line="167"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6"/>
          <w:szCs w:val="16"/>
          <w:color w:val="auto"/>
        </w:rPr>
        <w:t>Additionally, a Phase 1/2b multi-arm study of the IDO1 inhibitor epacadostat (INCB024360) in combination with CDX-1401 and Hiltonol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being conducted in patients in remission with ovarian, fallopian tube or primary peritoneal cancer by the Roswell Park Cancer Institute. Celldex is providing CDX-1401 and Hiltonol in support of this study. Patients’ tumors must have expressed NY-ESO-1 or the LAGE-1 antigen to be eligible for the study. Primary</w:t>
      </w:r>
    </w:p>
    <w:p>
      <w:pPr>
        <w:sectPr>
          <w:pgSz w:w="11900" w:h="16857" w:orient="portrait"/>
          <w:cols w:equalWidth="0" w:num="1">
            <w:col w:w="11400"/>
          </w:cols>
          <w:pgMar w:left="240" w:top="125" w:right="259" w:bottom="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outcome measures include identifying a maximum tolerated dose determined by the incidence of dose limiting toxicities and progression free survival.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Secondary outcome measures include additional safety analyses and immune monitoring.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CDX-301, a recombinant FMS-like tyrosine kinase 3 ligand, or Flt3L, is a potent hematopoietic cytokine that uniquely expands dendritic cells and hematopoietic stem cells in combination with other agents to potentiate the anti-tumor response. Depending on the setting, cells expanded by CDX-301 promote either enhanced or permissive immunity. CDX-301 is in clinical development for multiple cancers, in combination with vaccines, adjuvants and other treatments that release tumor antigens. We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licensed CDX-301 from Amgen Inc. in March 2009 and believe CDX-301 may hold significant opportunity for synergistic development in combination with other proprietary molecules in our portfolio.</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6"/>
          <w:szCs w:val="16"/>
          <w:color w:val="auto"/>
        </w:rPr>
        <w:t>In February 2013, we announced final results from our dose-escalating Phase 1 study of CDX-301 in 30 healthy subjects in collaboration with Rockefeller University. The Phase 1 study evaluated seven different dosing regimens of CDX-301 to determine the appropriate dose for further development based on safety, tolerability and biological activity. The data from the study were consistent with previous clinical experience and demonstrated that CDX-301 was well tolerated and can effectively mobilize hematopoietic stem cell (HSC) populations in healthy volunteers. In December 2013, we announced data from a preclinical combination study of CDX-301 and Mozobil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(plerixafor injection, formerly AMD3100) demonstrating that the combination of these agents significantly increases hematopoietic stem cell mobilization in mice. The data demonstrate a novel potent cell mobilization regimen combining CDX-301 and Mozobil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which may have significant potential for use in autologous and allogeneic hematopoietic stem cell transplantation. Based on the safety profile and the clinical and preclinical data to date, we initiated a pilot clinical study of CDX-301 for the mobilization and transplantation of allogeneic hematopoietic stem cells in patients with hematological malignancies undergoing hematopoietic stem cell transplantation. Related donors of patients with hematological malignancies requiring hematopoietic stem cell transplant are administered CDX-301 for 5 or 7 days alone or in combination with Mozobil to mobilize CD34+ stem cells. The primary efficacy endpoint of the study is determine if treatment of the donor results in the collection of </w:t>
      </w:r>
      <w:r>
        <w:rPr>
          <w:rFonts w:ascii="Arial" w:cs="Arial" w:eastAsia="Arial" w:hAnsi="Arial"/>
          <w:sz w:val="16"/>
          <w:szCs w:val="16"/>
          <w:u w:val="single" w:color="auto"/>
          <w:color w:val="auto"/>
        </w:rPr>
        <w:t>&gt;</w:t>
      </w:r>
      <w:r>
        <w:rPr>
          <w:rFonts w:ascii="Arial" w:cs="Arial" w:eastAsia="Arial" w:hAnsi="Arial"/>
          <w:sz w:val="16"/>
          <w:szCs w:val="16"/>
          <w:color w:val="auto"/>
        </w:rPr>
        <w:t xml:space="preserve"> 2 million CD34+ HSCs/kg recipient body weight in </w:t>
      </w:r>
      <w:r>
        <w:rPr>
          <w:rFonts w:ascii="Arial" w:cs="Arial" w:eastAsia="Arial" w:hAnsi="Arial"/>
          <w:sz w:val="16"/>
          <w:szCs w:val="16"/>
          <w:u w:val="single" w:color="auto"/>
          <w:color w:val="auto"/>
        </w:rPr>
        <w:t>&lt;</w:t>
      </w:r>
      <w:r>
        <w:rPr>
          <w:rFonts w:ascii="Arial" w:cs="Arial" w:eastAsia="Arial" w:hAnsi="Arial"/>
          <w:sz w:val="16"/>
          <w:szCs w:val="16"/>
          <w:color w:val="auto"/>
        </w:rPr>
        <w:t xml:space="preserve"> 2 leukopoiesis collections. Other key endpoints are the safety of the treatment regimen in the donor and clinical outcomes in the recipient, including stem cell engraftment, graft-versus-host disease, immune reconstitution and relapse. Preliminary results from this Phase 2 study were presented at the annual meeting of the American Society for Blood and Marrow Transplantation in February 2016. These preliminary data from three donor/patient pairs showed that CDX-301 given as a single agent was well tolerated and effective at mobilizing hematopoietic stem cells in healthy donors. The stem cell graft contained notable increases in naïve lymphocytes and plasmacytoid dendritic cells consistent with preclinical data suggesting a possible better outcome. Recipients experienced successful engraftment in an expected time frame. Given that hematopoietic stem cell transplantation is outside of our core focus, in an effort to prioritize human and capital resources, we announced in May of 2016 that we have decided not to advance CDX-301 in this particular indication at this time.</w:t>
      </w:r>
    </w:p>
    <w:p>
      <w:pPr>
        <w:spacing w:after="0" w:line="39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June, at the 2016 ASCO Annual Meeting, initial results from a Phase 2 study of CDX-1401 in combination with CDX-301 in metastatic melanoma were presented that further demonstrated the value of CDX-301 as a combination agent for enhancing tumor specific immune responses. Based on these results, plans for additional studies are being considered. The Phase 2 study was conducted by the Cancer Immunotherapy Trials Network under a CRADA with the Cancer Therapy Evaluation Program of the NCI.</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to our sponsored studies and clinical trial collaborations, CDX-301’s potential activity is also being explored in investigator sponsored studies at various academic institutions. This includes a Phase 1/2 study of CDX-301 and Hiltonol in combination with low-dose radiotherapy in patients with low-grade B-cell lymphomas conducted by the Icahn School of Medicine at Mount Sinai. The primary outcome of the study is objective response rate. Secondary outcome measures include safety and tumor specific immune response.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CDX-014</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CDX-014 is a fully-human monoclonal ADC that targets T cell immunoglobulin and mucin domain 1, or TIM-1. TIM-1 expression is upregulated in several cancers, most notably renal cell and ovarian carcinomas, and is associated with a more malignant phenotype of renal cell carcinoma (RCC) and tumor progression. TIM-1 has very restricted expression in healthy tissues, making it a promising target for antibody mediated therapy. The TIM-1 antibody is linked to MMAE using Seattle Genetics’ proprietary technology. The ADC is designed to be stable in the bloodstream but to release MMAE upon internalization into TIM-1-expressing tumor cells, resulting in a targeted cell-killing effect. CDX-014 has shown potent activity in preclinical models of ovarian and renal cancer. In July 2016, we announced that enrollment had opened in a Phase 1/2 study of CDX-014 to patients with both clear cell and papillary RCC. The Phase 1 dose-escalation portion of the study will evaluate cohorts of patients receiving increasing doses of CDX-014 to determine the maximum tolerated dose and a recommended dose for Phase 2 study. The Phase 2 portion of the study will enroll approximately 25 patients to assess the anti-tumor activity of CDX-014 at the recommended dose in advanced renal cell carcinoma as measured by objective response rate. Secondary objectives include safety and tolerability, pharmacokinetics, immunogenicity and additional measures of anti-tumor activity.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Rintega</w:t>
      </w:r>
    </w:p>
    <w:p>
      <w:pPr>
        <w:spacing w:after="0" w:line="225"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On March 7, 2016, we announced that our Phase 3 study of Rintega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patients with newly diagnosed EGFRvIII-positive glioblastoma was being discontinued. This decision was made based on the outcome of a preplanned interim analysis conducted by an independent Data Safety and Monitoring Board (DSMB). The DSMB determined that continuation of the study would not result in reaching statistical significance for the primary endpoint of the study, overall survival in patients with minimal residual disease, as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both the Rintega arm and the control arm were performing on par with each other. In the ACT IV study, Rintega performed consistently with prior Phase 2 studies but the control arm significantly outperformed expectations (Hazard ratio = 0.99; median OS: Rintega 20.4 months vs. control 21.1 months). Based on this recommendation, we discontinued the study. Study closure activities are substantially complete, and we continue to anticipate that we will not incur substantial additional costs related to Rintega at this time. We have conducted a thorough review of the data, and plan to present the ACT IV results at the</w:t>
      </w:r>
    </w:p>
    <w:p>
      <w:pPr>
        <w:sectPr>
          <w:pgSz w:w="11900" w:h="16838" w:orient="portrait"/>
          <w:cols w:equalWidth="0" w:num="1">
            <w:col w:w="11420"/>
          </w:cols>
          <w:pgMar w:left="240" w:top="125" w:right="239" w:bottom="0" w:gutter="0" w:footer="0" w:header="0"/>
        </w:sectPr>
      </w:pPr>
    </w:p>
    <w:bookmarkStart w:id="15" w:name="page16"/>
    <w:bookmarkEnd w:id="15"/>
    <w:p>
      <w:pPr>
        <w:spacing w:after="0" w:line="1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Society for Neuro-Oncology Annual Meeting in November of 2016. All patients on the Rintega arm of the ACT IV study, prior Phase 2 studies and existing compassionate use recipients have been offered ongoing access to Rintega on a compassionate use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acquisition of Kolltan Pharmaceuticals</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On November 1, 2016, we announced that we had entered into a definitive agreement to acquire Kolltan Pharmaceuticals, Inc., a privately held clinical-stage company focused on the discovery and development of novel, antibody-based drugs targeting receptor tyrosine kinases (RTKs). Kolltan has reported clinical and preclinical data that its drug candidates can help overcome tumor resistance mechanisms associated with current tyrosine kinase inhibitors and seen in patients who have failed other cancer therapies. We believe Kolltan’s clinical candidates and preclinical platform are highly compatible with our scientific approach and can be developed independently and in combination with our existing product candidates. The transaction, which is subject to the receipt of Kolltan stockholder approval and other customary closing conditions, is expected to be completed by year-end. It is our intention to integrate the Kolltan programs and small number of Kolltan employees without impacting our planned cash burn. To achieve this, we are conducting a review and prioritization of our growing preclinical and clinical pipeline to identify areas of improved efficiency and cost savings and may elect to delay the initiation of previously disclosed studies until this review is complete. Assuming the transaction closes by year-end, we will provide an update on our development strategy in the first quarter of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Our critical accounting policies are more fully described in Note 2 to our financial statements included in our Annual Report on Form 10-K/A for the year ended December 31, 2015 and there have been no material changes to such critical accounting policies. We believe our most critical accounting policies include accounting for revenue recognition, impairment of long-lived assets, research and development expenses and stock-based compensation expense.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2016 compared with Three Months Ended September 30, 2015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8"/>
              </w:rPr>
              <w:t>Increase/</w:t>
            </w: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Increase/</w:t>
            </w:r>
          </w:p>
        </w:tc>
      </w:tr>
      <w:tr>
        <w:trPr>
          <w:trHeight w:val="171"/>
        </w:trPr>
        <w:tc>
          <w:tcPr>
            <w:tcW w:w="4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(Decrease)</w:t>
            </w: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(Decrease)</w:t>
            </w:r>
          </w:p>
        </w:tc>
      </w:tr>
      <w:tr>
        <w:trPr>
          <w:trHeight w:val="142"/>
        </w:trPr>
        <w:tc>
          <w:tcPr>
            <w:tcW w:w="4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94"/>
              <w:spacing w:after="0" w:line="142" w:lineRule="exact"/>
              <w:rPr>
                <w:sz w:val="20"/>
                <w:szCs w:val="20"/>
                <w:color w:val="auto"/>
              </w:rPr>
            </w:pPr>
            <w:r>
              <w:rPr>
                <w:rFonts w:ascii="Arial" w:cs="Arial" w:eastAsia="Arial" w:hAnsi="Arial"/>
                <w:sz w:val="14"/>
                <w:szCs w:val="14"/>
                <w:b w:val="1"/>
                <w:bCs w:val="1"/>
                <w:color w:val="auto"/>
                <w:w w:val="76"/>
              </w:rPr>
              <w:t>$</w:t>
            </w: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4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00" w:type="dxa"/>
            <w:vAlign w:val="bottom"/>
            <w:gridSpan w:val="7"/>
          </w:tcPr>
          <w:p>
            <w:pPr>
              <w:jc w:val="right"/>
              <w:ind w:right="1140"/>
              <w:spacing w:after="0" w:line="142" w:lineRule="exact"/>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740" w:type="dxa"/>
            <w:vAlign w:val="bottom"/>
          </w:tcPr>
          <w:p>
            <w:pPr>
              <w:ind w:left="200"/>
              <w:spacing w:after="0"/>
              <w:rPr>
                <w:sz w:val="20"/>
                <w:szCs w:val="20"/>
                <w:color w:val="auto"/>
              </w:rPr>
            </w:pPr>
            <w:r>
              <w:rPr>
                <w:rFonts w:ascii="Arial" w:cs="Arial" w:eastAsia="Arial" w:hAnsi="Arial"/>
                <w:sz w:val="18"/>
                <w:szCs w:val="18"/>
                <w:color w:val="auto"/>
              </w:rPr>
              <w:t>Product Development and Licensing Agreements</w:t>
            </w:r>
          </w:p>
        </w:tc>
        <w:tc>
          <w:tcPr>
            <w:tcW w:w="12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493</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377</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r>
      <w:tr>
        <w:trPr>
          <w:trHeight w:val="216"/>
        </w:trPr>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Contracts and Grants</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w:t>
            </w:r>
          </w:p>
        </w:tc>
      </w:tr>
      <w:tr>
        <w:trPr>
          <w:trHeight w:val="250"/>
        </w:trPr>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10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2,220</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40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116%</w:t>
            </w:r>
          </w:p>
        </w:tc>
      </w:tr>
      <w:tr>
        <w:trPr>
          <w:trHeight w:val="170"/>
        </w:trPr>
        <w:tc>
          <w:tcPr>
            <w:tcW w:w="47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Expense:</w:t>
            </w: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r>
      <w:tr>
        <w:trPr>
          <w:trHeight w:val="216"/>
        </w:trPr>
        <w:tc>
          <w:tcPr>
            <w:tcW w:w="47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25,009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24,656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353</w:t>
            </w:r>
          </w:p>
        </w:tc>
        <w:tc>
          <w:tcPr>
            <w:tcW w:w="28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r>
      <w:tr>
        <w:trPr>
          <w:trHeight w:val="216"/>
        </w:trPr>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8,487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(1,537)</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r>
      <w:tr>
        <w:trPr>
          <w:trHeight w:val="216"/>
        </w:trPr>
        <w:tc>
          <w:tcPr>
            <w:tcW w:w="4740" w:type="dxa"/>
            <w:vAlign w:val="bottom"/>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10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33,397</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140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r>
      <w:tr>
        <w:trPr>
          <w:trHeight w:val="210"/>
        </w:trPr>
        <w:tc>
          <w:tcPr>
            <w:tcW w:w="4740" w:type="dxa"/>
            <w:vAlign w:val="bottom"/>
          </w:tcPr>
          <w:p>
            <w:pPr>
              <w:spacing w:after="0"/>
              <w:rPr>
                <w:sz w:val="20"/>
                <w:szCs w:val="20"/>
                <w:color w:val="auto"/>
              </w:rPr>
            </w:pPr>
            <w:r>
              <w:rPr>
                <w:rFonts w:ascii="Arial" w:cs="Arial" w:eastAsia="Arial" w:hAnsi="Arial"/>
                <w:sz w:val="18"/>
                <w:szCs w:val="18"/>
                <w:color w:val="auto"/>
              </w:rPr>
              <w:t>Operating Loss</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(29,993)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(32,371)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(2,378)</w:t>
            </w:r>
          </w:p>
        </w:tc>
        <w:tc>
          <w:tcPr>
            <w:tcW w:w="300" w:type="dxa"/>
            <w:vAlign w:val="bottom"/>
            <w:gridSpan w:val="2"/>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(29,598</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(31,980</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(2,382</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r>
      <w:tr>
        <w:trPr>
          <w:trHeight w:val="20"/>
        </w:trPr>
        <w:tc>
          <w:tcPr>
            <w:tcW w:w="4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$2.4 million decrease in net loss for the three months ended September 30, 2016 compared to the three months ended September 30, 2015 was primarily the result of an increase in contracts and grants revenue and a decrease in general and administrative expenses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$0.1 million increase in product development and licensing agreements revenue for the three months ended September 30, 2016 compared to the three months ended September 30, 2015 was primarily related to our BMS agreement. In May 2014, we entered into a clinical trial collaboration with BMS whereby BMS made a one-time payment to us of $5.0 million which we are recognizing as revenue along with BMS’s 50% share of the clinical trial cost over our estimated performance period of five years. The $1.1 million increase in contracts and grants revenue for the three months ended September 30, 2016 compared to the three months ended September 30, 2015 was primarily related to our Rockefeller University agreement pursuant to which we perform research and development services for Rockefeller and an increase in grant revenue.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Research and development expenses consist primarily of (i) personnel expenses, (ii) laboratory supply expenses relating to the development of our technology, (iii) facility expenses, (iv) license fees and (v) product development expenses associated with our product candidates as follows:</w:t>
      </w:r>
    </w:p>
    <w:p>
      <w:pPr>
        <w:spacing w:after="0" w:line="10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14"/>
                <w:szCs w:val="14"/>
                <w:color w:val="auto"/>
              </w:rPr>
            </w:pPr>
          </w:p>
        </w:tc>
        <w:tc>
          <w:tcPr>
            <w:tcW w:w="1260" w:type="dxa"/>
            <w:vAlign w:val="bottom"/>
          </w:tcPr>
          <w:p>
            <w:pPr>
              <w:jc w:val="center"/>
              <w:ind w:right="397"/>
              <w:spacing w:after="0"/>
              <w:rPr>
                <w:sz w:val="20"/>
                <w:szCs w:val="20"/>
                <w:color w:val="auto"/>
              </w:rPr>
            </w:pPr>
            <w:r>
              <w:rPr>
                <w:rFonts w:ascii="Arial" w:cs="Arial" w:eastAsia="Arial" w:hAnsi="Arial"/>
                <w:sz w:val="14"/>
                <w:szCs w:val="14"/>
                <w:b w:val="1"/>
                <w:bCs w:val="1"/>
                <w:color w:val="auto"/>
                <w:w w:val="88"/>
              </w:rPr>
              <w:t>Increase/</w:t>
            </w: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3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left="437"/>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center"/>
              <w:ind w:right="397"/>
              <w:spacing w:after="0"/>
              <w:rPr>
                <w:sz w:val="20"/>
                <w:szCs w:val="20"/>
                <w:color w:val="auto"/>
              </w:rPr>
            </w:pPr>
            <w:r>
              <w:rPr>
                <w:rFonts w:ascii="Arial" w:cs="Arial" w:eastAsia="Arial" w:hAnsi="Arial"/>
                <w:sz w:val="14"/>
                <w:szCs w:val="14"/>
                <w:b w:val="1"/>
                <w:bCs w:val="1"/>
                <w:color w:val="auto"/>
                <w:w w:val="92"/>
              </w:rPr>
              <w:t>(Decrease)</w:t>
            </w: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3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7"/>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397"/>
              <w:spacing w:after="0" w:line="142" w:lineRule="exact"/>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3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80" w:type="dxa"/>
            <w:vAlign w:val="bottom"/>
            <w:gridSpan w:val="4"/>
          </w:tcPr>
          <w:p>
            <w:pPr>
              <w:jc w:val="right"/>
              <w:ind w:right="1037"/>
              <w:spacing w:after="0" w:line="142" w:lineRule="exact"/>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8,940</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7,872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1,068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Laboratory Supplies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1,114</w:t>
            </w:r>
          </w:p>
        </w:tc>
        <w:tc>
          <w:tcPr>
            <w:tcW w:w="5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1,160</w:t>
            </w:r>
          </w:p>
        </w:tc>
        <w:tc>
          <w:tcPr>
            <w:tcW w:w="320" w:type="dxa"/>
            <w:vAlign w:val="bottom"/>
          </w:tcPr>
          <w:p>
            <w:pPr>
              <w:spacing w:after="0"/>
              <w:rPr>
                <w:sz w:val="18"/>
                <w:szCs w:val="18"/>
                <w:color w:val="auto"/>
              </w:rPr>
            </w:pPr>
          </w:p>
        </w:tc>
        <w:tc>
          <w:tcPr>
            <w:tcW w:w="1260" w:type="dxa"/>
            <w:vAlign w:val="bottom"/>
          </w:tcPr>
          <w:p>
            <w:pPr>
              <w:jc w:val="right"/>
              <w:ind w:right="157"/>
              <w:spacing w:after="0"/>
              <w:rPr>
                <w:sz w:val="20"/>
                <w:szCs w:val="20"/>
                <w:color w:val="auto"/>
              </w:rPr>
            </w:pPr>
            <w:r>
              <w:rPr>
                <w:rFonts w:ascii="Arial" w:cs="Arial" w:eastAsia="Arial" w:hAnsi="Arial"/>
                <w:sz w:val="18"/>
                <w:szCs w:val="18"/>
                <w:color w:val="auto"/>
              </w:rPr>
              <w:t>(46)</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1,537</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1,487</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50</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License Fees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942</w:t>
            </w:r>
          </w:p>
        </w:tc>
        <w:tc>
          <w:tcPr>
            <w:tcW w:w="5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624</w:t>
            </w:r>
          </w:p>
        </w:tc>
        <w:tc>
          <w:tcPr>
            <w:tcW w:w="320" w:type="dxa"/>
            <w:vAlign w:val="bottom"/>
          </w:tcPr>
          <w:p>
            <w:pPr>
              <w:spacing w:after="0"/>
              <w:rPr>
                <w:sz w:val="18"/>
                <w:szCs w:val="18"/>
                <w:color w:val="auto"/>
              </w:rPr>
            </w:pPr>
          </w:p>
        </w:tc>
        <w:tc>
          <w:tcPr>
            <w:tcW w:w="1260" w:type="dxa"/>
            <w:vAlign w:val="bottom"/>
          </w:tcPr>
          <w:p>
            <w:pPr>
              <w:jc w:val="right"/>
              <w:ind w:right="217"/>
              <w:spacing w:after="0"/>
              <w:rPr>
                <w:sz w:val="20"/>
                <w:szCs w:val="20"/>
                <w:color w:val="auto"/>
              </w:rPr>
            </w:pPr>
            <w:r>
              <w:rPr>
                <w:rFonts w:ascii="Arial" w:cs="Arial" w:eastAsia="Arial" w:hAnsi="Arial"/>
                <w:sz w:val="18"/>
                <w:szCs w:val="18"/>
                <w:color w:val="auto"/>
              </w:rPr>
              <w:t>318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10,697</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11,930</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(1,233)</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r>
    </w:tbl>
    <w:p>
      <w:pPr>
        <w:spacing w:after="0" w:line="202"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Personnel expenses primarily include salary, benefits, stock-based compensation and payroll taxes. The $1.1 million increase in personnel expenses for the three months ended September 30, 2016 compared to the three months ended September 30, 2015 was primarily due to increased headcount and</w:t>
      </w:r>
    </w:p>
    <w:p>
      <w:pPr>
        <w:sectPr>
          <w:pgSz w:w="11900" w:h="16975" w:orient="portrait"/>
          <w:cols w:equalWidth="0" w:num="1">
            <w:col w:w="11420"/>
          </w:cols>
          <w:pgMar w:left="240" w:top="125" w:right="239" w:bottom="0" w:gutter="0" w:footer="0" w:header="0"/>
        </w:sectPr>
      </w:pPr>
    </w:p>
    <w:bookmarkStart w:id="16" w:name="page17"/>
    <w:bookmarkEnd w:id="16"/>
    <w:p>
      <w:pPr>
        <w:ind w:right="140"/>
        <w:spacing w:after="0" w:line="277" w:lineRule="auto"/>
        <w:rPr>
          <w:sz w:val="20"/>
          <w:szCs w:val="20"/>
          <w:color w:val="auto"/>
        </w:rPr>
      </w:pPr>
      <w:r>
        <w:rPr>
          <w:rFonts w:ascii="Arial" w:cs="Arial" w:eastAsia="Arial" w:hAnsi="Arial"/>
          <w:sz w:val="18"/>
          <w:szCs w:val="18"/>
          <w:color w:val="auto"/>
        </w:rPr>
        <w:t>higher stock-based compensation of $0.3 million. We expect personnel expenses to remain relatively consistent over the next twelve months, although there may be fluctuations on a quarterly basis.</w:t>
      </w:r>
    </w:p>
    <w:p>
      <w:pPr>
        <w:spacing w:after="0" w:line="170"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Laboratory supply expenses include laboratory materials and supplies, services, and other related expenses incurred in the development of our technology. Laboratory supply expenses for the three months ended September 30, 2016 were consistent with the three months ended September 30, 2015. We expect supply expenses to remain relatively consistent over the next twelve months, although there may be fluctuations on a quarterly basis.</w:t>
      </w:r>
    </w:p>
    <w:p>
      <w:pPr>
        <w:spacing w:after="0" w:line="14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The $0.1 million increase in facility expenses for the three months ended September 30, 2016 compared to the three months ended September 30, 2015 was primarily due to an increase in rent expense. We expect facility expenses to increase over the next twelve months due to our recent lease amendments, although there may be fluctuations on a quarterly basis.</w:t>
      </w:r>
    </w:p>
    <w:p>
      <w:pPr>
        <w:spacing w:after="0" w:line="18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License fee expenses include annual license maintenance fees and milestone payments due upon the achievement of certain development, regulatory and/or commercial milestones. The $0.3 million increase in license fee expenses for the three months ended September 30, 2016 compared to the three months ended September 30, 2015 was due to the timing of certain development and/or regulatory milestones achieved by our drug candidates. We expect license fee expense to remain relatively consistent over the next twelve months, although there may be fluctuations on a quarterly basis.</w:t>
      </w:r>
    </w:p>
    <w:p>
      <w:pPr>
        <w:spacing w:after="0" w:line="15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Product development expenses include clinical investigator site fees, external trial monitoring costs, data accumulation costs, contracted research and outside clinical drug product manufacturing. The $1.2 million decrease in product development expenses for the three months ended September 30, 2016 compared to the three months ended September 30, 2015 was primarily due to a $3.9 million decrease in Rintega clinical trial costs, partially offset by increases in glembatumumab vedotin and varlilumab clinical trial costs of $0.7 million and $1.1 million, respectively. An increase in contract manufacturing costs of $1.7 million was partially offset by a decrease in contract diagnostics costs of $0.8 million. We expect product development expenses to remain relatively consistent over the next twelve months, although there may be fluctuations on a quarterly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$1.5 million decrease in general and administrative expenses for the three months ended September 30, 2016 compared to the three months ended September 30, 2015 was primarily due to lower commercial planning costs of $0.4 million and lower stock-based compensation of $0.4 million. We expect general and administrative expense to remain relatively consistent over the next twelve months, although there may be fluctuations on a quarterly basis.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Amortization expenses for the three months ended September 30, 2016 were relatively consistent compared to the three months ended September 30, 2015. We expect amortization expense of acquired intangible assets to increase over the next twelve months if the Kolltan acquisition closes.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Investment and other income, net for the three months ended September 30, 2016 was relatively consistent compared to the three months ended September 30, 2015. We anticipate investment income to decrease over the next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2016 compared with Nine Months Ended September 30, 2015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Increase/</w:t>
            </w:r>
          </w:p>
        </w:tc>
        <w:tc>
          <w:tcPr>
            <w:tcW w:w="1780" w:type="dxa"/>
            <w:vAlign w:val="bottom"/>
            <w:gridSpan w:val="2"/>
          </w:tcPr>
          <w:p>
            <w:pPr>
              <w:jc w:val="center"/>
              <w:ind w:left="14"/>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4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780" w:type="dxa"/>
            <w:vAlign w:val="bottom"/>
            <w:gridSpan w:val="2"/>
          </w:tcPr>
          <w:p>
            <w:pPr>
              <w:jc w:val="center"/>
              <w:ind w:left="14"/>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4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96"/>
              </w:rPr>
              <w:t>2015</w:t>
            </w:r>
          </w:p>
        </w:tc>
        <w:tc>
          <w:tcPr>
            <w:tcW w:w="2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54"/>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center"/>
              <w:ind w:left="15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4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8"/>
                <w:szCs w:val="18"/>
                <w:color w:val="auto"/>
              </w:rPr>
              <w:t>Product Development and Licensing Agreements</w:t>
            </w:r>
          </w:p>
        </w:tc>
        <w:tc>
          <w:tcPr>
            <w:tcW w:w="9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1,551</w:t>
            </w:r>
          </w:p>
        </w:tc>
        <w:tc>
          <w:tcPr>
            <w:tcW w:w="6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1,053</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498</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r>
        <w:trPr>
          <w:trHeight w:val="216"/>
        </w:trPr>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Contracts and Grants</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2,636</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726</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r>
      <w:tr>
        <w:trPr>
          <w:trHeight w:val="250"/>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6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4,913</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3,689</w:t>
            </w:r>
          </w:p>
        </w:tc>
        <w:tc>
          <w:tcPr>
            <w:tcW w:w="28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w:t>
            </w:r>
          </w:p>
        </w:tc>
        <w:tc>
          <w:tcPr>
            <w:tcW w:w="20" w:type="dxa"/>
            <w:vAlign w:val="bottom"/>
            <w:tcBorders>
              <w:bottom w:val="single" w:sz="8" w:color="CCEEFF"/>
            </w:tcBorders>
          </w:tcPr>
          <w:p>
            <w:pPr>
              <w:spacing w:after="0"/>
              <w:rPr>
                <w:sz w:val="21"/>
                <w:szCs w:val="21"/>
                <w:color w:val="auto"/>
              </w:rPr>
            </w:pPr>
          </w:p>
        </w:tc>
        <w:tc>
          <w:tcPr>
            <w:tcW w:w="17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170"/>
        </w:trPr>
        <w:tc>
          <w:tcPr>
            <w:tcW w:w="43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Expense:</w:t>
            </w: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78,168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76,271</w:t>
            </w:r>
          </w:p>
        </w:tc>
        <w:tc>
          <w:tcPr>
            <w:tcW w:w="3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1,897</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24,049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22,761</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1,288</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4360" w:type="dxa"/>
            <w:vAlign w:val="bottom"/>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760</w:t>
            </w:r>
          </w:p>
        </w:tc>
        <w:tc>
          <w:tcPr>
            <w:tcW w:w="3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6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102,977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99,792</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10"/>
        </w:trPr>
        <w:tc>
          <w:tcPr>
            <w:tcW w:w="4360" w:type="dxa"/>
            <w:vAlign w:val="bottom"/>
          </w:tcPr>
          <w:p>
            <w:pPr>
              <w:spacing w:after="0"/>
              <w:rPr>
                <w:sz w:val="20"/>
                <w:szCs w:val="20"/>
                <w:color w:val="auto"/>
              </w:rPr>
            </w:pPr>
            <w:r>
              <w:rPr>
                <w:rFonts w:ascii="Arial" w:cs="Arial" w:eastAsia="Arial" w:hAnsi="Arial"/>
                <w:sz w:val="18"/>
                <w:szCs w:val="18"/>
                <w:color w:val="auto"/>
              </w:rPr>
              <w:t>Operating Loss</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(98,064)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(96,103)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1,961</w:t>
            </w:r>
          </w:p>
        </w:tc>
        <w:tc>
          <w:tcPr>
            <w:tcW w:w="2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1,590</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Net Loss</w:t>
            </w:r>
          </w:p>
        </w:tc>
        <w:tc>
          <w:tcPr>
            <w:tcW w:w="6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(96,223</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(94,513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1,710</w:t>
            </w:r>
          </w:p>
        </w:tc>
        <w:tc>
          <w:tcPr>
            <w:tcW w:w="20" w:type="dxa"/>
            <w:vAlign w:val="bottom"/>
            <w:tcBorders>
              <w:bottom w:val="single" w:sz="8" w:color="auto"/>
            </w:tcBorders>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0"/>
        </w:trPr>
        <w:tc>
          <w:tcPr>
            <w:tcW w:w="4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The $1.7 million increase in net loss for the nine months ended September 30, 2016 compared to the nine months ended September 30, 2015 was primarily the result of an increase in research and development and general and administrative expenses, partially offset by an increase in revenue.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The $0.5 million increase in product development and licensing agreements revenue for the nine months ended September 30, 2016 compared to the nine months ended September 30, 2015 was primarily related to our BMS agreement. The $0.7 million increase in contracts and grants revenue for the nine months ended September 30, 2016 compared to the nine months ended September 30, 2015 was primarily related to an increase in grant revenue.</w:t>
      </w:r>
    </w:p>
    <w:p>
      <w:pPr>
        <w:sectPr>
          <w:pgSz w:w="11900" w:h="16838" w:orient="portrait"/>
          <w:cols w:equalWidth="0" w:num="1">
            <w:col w:w="11420"/>
          </w:cols>
          <w:pgMar w:left="240" w:top="125" w:right="239" w:bottom="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Research and Development Expense</w:t>
      </w:r>
    </w:p>
    <w:p>
      <w:pPr>
        <w:sectPr>
          <w:pgSz w:w="11900" w:h="16838" w:orient="portrait"/>
          <w:cols w:equalWidth="0" w:num="1">
            <w:col w:w="11420"/>
          </w:cols>
          <w:pgMar w:left="240" w:top="125" w:right="239" w:bottom="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jc w:val="center"/>
              <w:ind w:right="597"/>
              <w:spacing w:after="0"/>
              <w:rPr>
                <w:sz w:val="20"/>
                <w:szCs w:val="20"/>
                <w:color w:val="auto"/>
              </w:rPr>
            </w:pPr>
            <w:r>
              <w:rPr>
                <w:rFonts w:ascii="Arial" w:cs="Arial" w:eastAsia="Arial" w:hAnsi="Arial"/>
                <w:sz w:val="14"/>
                <w:szCs w:val="14"/>
                <w:b w:val="1"/>
                <w:bCs w:val="1"/>
                <w:color w:val="auto"/>
                <w:w w:val="92"/>
              </w:rPr>
              <w:t>Increase/</w:t>
            </w: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3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jc w:val="center"/>
              <w:ind w:right="597"/>
              <w:spacing w:after="0"/>
              <w:rPr>
                <w:sz w:val="20"/>
                <w:szCs w:val="20"/>
                <w:color w:val="auto"/>
              </w:rPr>
            </w:pPr>
            <w:r>
              <w:rPr>
                <w:rFonts w:ascii="Arial" w:cs="Arial" w:eastAsia="Arial" w:hAnsi="Arial"/>
                <w:sz w:val="14"/>
                <w:szCs w:val="14"/>
                <w:b w:val="1"/>
                <w:bCs w:val="1"/>
                <w:color w:val="auto"/>
                <w:w w:val="89"/>
              </w:rPr>
              <w:t>(Decrease)</w:t>
            </w: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3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center"/>
              <w:ind w:right="617"/>
              <w:spacing w:after="0" w:line="142" w:lineRule="exact"/>
              <w:rPr>
                <w:sz w:val="20"/>
                <w:szCs w:val="20"/>
                <w:color w:val="auto"/>
              </w:rPr>
            </w:pPr>
            <w:r>
              <w:rPr>
                <w:rFonts w:ascii="Arial" w:cs="Arial" w:eastAsia="Arial" w:hAnsi="Arial"/>
                <w:sz w:val="14"/>
                <w:szCs w:val="14"/>
                <w:b w:val="1"/>
                <w:bCs w:val="1"/>
                <w:color w:val="auto"/>
                <w:w w:val="76"/>
              </w:rPr>
              <w:t>$</w:t>
            </w: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3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46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0"/>
              </w:rPr>
              <w:t>26,551</w:t>
            </w:r>
          </w:p>
        </w:tc>
        <w:tc>
          <w:tcPr>
            <w:tcW w:w="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21,644</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4,907</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Laboratory Supplies</w:t>
            </w: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jc w:val="right"/>
              <w:ind w:right="55"/>
              <w:spacing w:after="0"/>
              <w:rPr>
                <w:sz w:val="20"/>
                <w:szCs w:val="20"/>
                <w:color w:val="auto"/>
              </w:rPr>
            </w:pPr>
            <w:r>
              <w:rPr>
                <w:rFonts w:ascii="Arial" w:cs="Arial" w:eastAsia="Arial" w:hAnsi="Arial"/>
                <w:sz w:val="18"/>
                <w:szCs w:val="18"/>
                <w:color w:val="auto"/>
              </w:rPr>
              <w:t>2,774</w:t>
            </w:r>
          </w:p>
        </w:tc>
        <w:tc>
          <w:tcPr>
            <w:tcW w:w="6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3,589</w:t>
            </w:r>
          </w:p>
        </w:tc>
        <w:tc>
          <w:tcPr>
            <w:tcW w:w="480" w:type="dxa"/>
            <w:vAlign w:val="bottom"/>
          </w:tcPr>
          <w:p>
            <w:pPr>
              <w:spacing w:after="0"/>
              <w:rPr>
                <w:sz w:val="18"/>
                <w:szCs w:val="18"/>
                <w:color w:val="auto"/>
              </w:rPr>
            </w:pPr>
          </w:p>
        </w:tc>
        <w:tc>
          <w:tcPr>
            <w:tcW w:w="1400" w:type="dxa"/>
            <w:vAlign w:val="bottom"/>
          </w:tcPr>
          <w:p>
            <w:pPr>
              <w:jc w:val="right"/>
              <w:ind w:right="217"/>
              <w:spacing w:after="0"/>
              <w:rPr>
                <w:sz w:val="20"/>
                <w:szCs w:val="20"/>
                <w:color w:val="auto"/>
              </w:rPr>
            </w:pPr>
            <w:r>
              <w:rPr>
                <w:rFonts w:ascii="Arial" w:cs="Arial" w:eastAsia="Arial" w:hAnsi="Arial"/>
                <w:sz w:val="18"/>
                <w:szCs w:val="18"/>
                <w:color w:val="auto"/>
              </w:rPr>
              <w:t>(815)</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1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4,421</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4,255</w:t>
            </w: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166</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License Fees</w:t>
            </w: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jc w:val="right"/>
              <w:ind w:right="55"/>
              <w:spacing w:after="0"/>
              <w:rPr>
                <w:sz w:val="20"/>
                <w:szCs w:val="20"/>
                <w:color w:val="auto"/>
              </w:rPr>
            </w:pPr>
            <w:r>
              <w:rPr>
                <w:rFonts w:ascii="Arial" w:cs="Arial" w:eastAsia="Arial" w:hAnsi="Arial"/>
                <w:sz w:val="18"/>
                <w:szCs w:val="18"/>
                <w:color w:val="auto"/>
              </w:rPr>
              <w:t>1,381</w:t>
            </w:r>
          </w:p>
        </w:tc>
        <w:tc>
          <w:tcPr>
            <w:tcW w:w="6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833</w:t>
            </w:r>
          </w:p>
        </w:tc>
        <w:tc>
          <w:tcPr>
            <w:tcW w:w="480" w:type="dxa"/>
            <w:vAlign w:val="bottom"/>
          </w:tcPr>
          <w:p>
            <w:pPr>
              <w:spacing w:after="0"/>
              <w:rPr>
                <w:sz w:val="18"/>
                <w:szCs w:val="18"/>
                <w:color w:val="auto"/>
              </w:rPr>
            </w:pPr>
          </w:p>
        </w:tc>
        <w:tc>
          <w:tcPr>
            <w:tcW w:w="1400" w:type="dxa"/>
            <w:vAlign w:val="bottom"/>
          </w:tcPr>
          <w:p>
            <w:pPr>
              <w:jc w:val="right"/>
              <w:ind w:right="277"/>
              <w:spacing w:after="0"/>
              <w:rPr>
                <w:sz w:val="20"/>
                <w:szCs w:val="20"/>
                <w:color w:val="auto"/>
              </w:rPr>
            </w:pPr>
            <w:r>
              <w:rPr>
                <w:rFonts w:ascii="Arial" w:cs="Arial" w:eastAsia="Arial" w:hAnsi="Arial"/>
                <w:sz w:val="18"/>
                <w:szCs w:val="18"/>
                <w:color w:val="auto"/>
              </w:rPr>
              <w:t>548</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0"/>
              </w:rPr>
              <w:t>36,950</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41,387</w:t>
            </w: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(4,437)</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$4.9 million increase in personnel expenses for the nine months ended September 30, 2016 compared to the nine months ended September 30, 2015 was primarily due to increased headcount and higher stock-based compensation of $1.6 million.</w:t>
      </w:r>
    </w:p>
    <w:p>
      <w:pPr>
        <w:spacing w:after="0" w:line="170"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$0.8 million decrease in laboratory supply expense for the nine months ended September 30, 2016 compared to the nine months ended September 30, 2015 was primarily due to lower manufacturing supply purchases.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$0.2 million increase in facility expenses for the nine months ended September 30, 2016 compared to the nine months ended September 30, 2015 was primarily due to an increase in rent expense.</w:t>
      </w:r>
    </w:p>
    <w:p>
      <w:pPr>
        <w:spacing w:after="0" w:line="170"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The $0.5 million increase in license fee expenses for the nine months ended September 30, 2016 compared to the nine months ended September 30, 2015 was primarily due to the timing of certain development and/or regulatory milestones achieved by our drug candidates.</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$4.4 million decrease in product development expenses for the nine months ended September 30, 2016 compared to the nine months ended September 30, 2015 was primarily due to a $12.4 million decrease in Rintega clinical trial costs, partially offset by increases in glembatumumab vedotin and varlilumab clinical trial costs of $2.5 million and $2.3 million, respectively. An increase in contract manufacturing costs of $4.0 million was partially offset by a decrease in contract diagnostic costs of $0.6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$1.3 million increase in general and administrative expenses for the nine months ended September 30, 2016 compared to the nine months ended September 30, 2015 was primarily due to higher stock-based compensation of $1.4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Amortization expenses for the nine months ended September 30, 2016 was relatively consistent as compared to the nine months ended September 30,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$0.3 million increase in investment and other income, net for the nine months ended September 30, 2016 compared to the nine months ended September 30, 2015 was primarily due to higher investment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58"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consulting, legal and other professional fees. To date,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November 1, 2016, we announced that we had entered into a definitive agreement to acquire Kolltan Pharmaceuticals, Inc., a privately held clinical-stage company focused on the discovery and development of novel, antibody-based drugs targeting receptor tyrosine kinases (RTKs). The transaction, which is subject to the receipt of Kolltan stockholder approval and other customary closing conditions, is expected to be completed by year-end. It is our intention to integrate the Kolltan programs and small number of Kolltan employees without impacting our planned cash burn. To achieve this, we are conducting a review and prioritization of our growing preclinical and clinical pipeline to identify areas of improved efficiency and cost savings and may elect to delay the initiation of previously disclosed studies until this review is complete. Assuming the transaction closes by year-end, we will provide an update on our development strategy in the first quarter of 2017.</w:t>
      </w:r>
    </w:p>
    <w:p>
      <w:pPr>
        <w:spacing w:after="0" w:line="189"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In addition, in the event that certain specified preclinical and clinical development milestones related to Kolltan’s development programs and/or Celldex’s development programs and certain commercial milestones related to Kolltan’s product candidates are achieved, Celldex will be required to pay Kolltan’s stockholders milestone payments of up to $172.5 million, which milestone payments may be made, at Celldex’s sole election, in cash, in shares of Celldex’s common stock or a combination of both, subject to NASDAQ listing requirements and provisions of the merger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0" w:right="239" w:bottom="127" w:gutter="0" w:footer="0" w:header="0"/>
        </w:sectPr>
      </w:pPr>
    </w:p>
    <w:bookmarkStart w:id="18" w:name="page19"/>
    <w:bookmarkEnd w:id="18"/>
    <w:p>
      <w:pPr>
        <w:spacing w:after="0" w:line="28"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At September 30, 2016, our principal sources of liquidity consisted of cash, cash equivalents and marketable securities of $203.2 million. We incurred a loss of $96.2 million for the nine months ended September 30, 2016. Net cash used in operations for the nine months ended September 30, 2016 was $92.7 million. We believe that the cash, cash equivalents and marketable securities at September 30, 2016 combined with the anticipated proceeds from future sales of our common stock under the Cantor agreement, are sufficient to meet estimated working capital requirements and fund planned operations through 2018, however, this could be impacted if we elected to pay Kolltan contingent milestones in cash.</w:t>
      </w:r>
    </w:p>
    <w:p>
      <w:pPr>
        <w:spacing w:after="0" w:line="17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During the next twelve months, we may take further steps to raise additional capital to meet our long-term liquidity needs. Our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we may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If the Company is unable to obtain adequate financing, the Company may be required to reduce or delay spending on its research and/or development programs.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Net cash used in operating activities was $92.7 million for the nine months ended September 30, 2016 compared to $85.1 million for the nine months ended September 30, 2015. The increase in net cash used in operating activities was primarily due to an increase in net loss of $1.7 million and changes in working capital. We expect that cash used in operating activities will decrease over the next twelve months primarily related to the discontinuation of the Rintega program, although there may be fluctuations on a quarterly basis.</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Net cash used in operating activities was $85.1 million for the nine months ended September 30, 2015 compared to $79.3 million for the nine months ended September 30, 2014. The increase in net cash used in operating activities was primarily due to an increase in net loss of $8.3 million and changes in working capital.</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and clinical trials, as our drug candidates are developed. We plan to spend significant amounts to progress our current drug candidates through the clinical trial and commercialization process as well as to develop additional drug candidates. As our drug candidates progress through the clinical trial process, we may be obligated to make significant milestone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Net cash provided by investing activities was $41.1 million for the nine months ended September 30, 2016 compared to net cash used in investing activities $68.9 million for the nine months ended September 30, 2015. The increase in net cash provided by investing activities was primarily due to net sales and maturities of marketable securities for the nine months ended September 30, 2016 of $45.0 million as compared to net purchases of marketable securities $64.5 million for the nine months ended September 30, 2015.</w:t>
      </w:r>
    </w:p>
    <w:p>
      <w:pPr>
        <w:spacing w:after="0" w:line="187"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Net cash used in investing activities was $68.9 million for the nine months ended September 30, 2015 compared to $58.7 million for the nine months ended September 30, 2014. The increase in net cash used in investing activities was primarily due to net purchases of marketable securities for the nine months ended September 30, 2015 of $64.5 million as compared to $56.9 million for the nine months ended September 30,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Net cash provided by financing activities was $11.2 million for the nine months ended September 30, 2016 compared to $192.8 million for the nine months ended September 30, 2015. Net proceeds from stock issuances pursuant to employee benefit plans were $0.5 million during the nine months ended September 30, 2016 compared to $4.0 million for the nine months ended September 30, 2015.</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May 2016, we entered into an agreement with Cantor Fitzgerald &amp; Co. to allow us to issue and sell shares of our common stock having an aggregate offering price of up to $60.0 million from time to time through Cantor, acting as agent. During the nine months ended September 30, 2016, we issued 2,395,949 shares under the agreement and raised $10.7 million in net proceeds. At September 30, 2016, we had $48.8 million remaining in aggregate offering price available under the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Net cash provided by financing activities was $192.8 million for the nine months ended September 30, 2015 compared to $1.2 million for the nine months ended September 30, 2014. Net proceeds from stock issuances, including stock issued pursuant to employee benefit plans, were $192.8 million during the nine months ended September 30, 2015 compared to $1.2 million for the nine months ended September 30, 2014.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disclosures relating to our contractual obligations reported in our Annual Report on Form 10-K/A for the year ended December 31, 2015 which was filed with the SEC on February 25, 2016 have not materially changed since we filed that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Agreement with Kolltan</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On November 1, 2016, we entered into an Agreement and Plan of merger pursuant to which we will acquire Kolltan Pharmaceuticals, Inc., a Delaware corporation. Kolltan is a privately-held, clinical-stage biopharmaceutical company focused on the discovery and development of novel antibody-based drugs targeting receptor tyrosine kinases, or RTKs, for the treatment of cancer and other diseases with significant unmet need. In connection with the closing of the transactions contemplated by the merger agreement, we will be required to issue to the holders of Kolltan’s capital stock and a lender to Kolltan an aggregate of 19,218,942 shares of Celldex’s common stock, with a value of $62.5 million based on the average closing price of Celldex’s stock for the five trading day period ending on October 28, 2016. The merger agreement further provides that the number of shares that can be issued at the closing would be</w:t>
      </w:r>
    </w:p>
    <w:p>
      <w:pPr>
        <w:sectPr>
          <w:pgSz w:w="11900" w:h="16867" w:orient="portrait"/>
          <w:cols w:equalWidth="0" w:num="1">
            <w:col w:w="11420"/>
          </w:cols>
          <w:pgMar w:left="240" w:top="341" w:right="239" w:bottom="0" w:gutter="0" w:footer="0" w:header="0"/>
        </w:sectPr>
      </w:pPr>
    </w:p>
    <w:bookmarkStart w:id="19" w:name="page20"/>
    <w:bookmarkEnd w:id="19"/>
    <w:p>
      <w:pPr>
        <w:spacing w:after="0" w:line="268" w:lineRule="auto"/>
        <w:rPr>
          <w:sz w:val="20"/>
          <w:szCs w:val="20"/>
          <w:color w:val="auto"/>
        </w:rPr>
      </w:pPr>
      <w:r>
        <w:rPr>
          <w:rFonts w:ascii="Arial" w:cs="Arial" w:eastAsia="Arial" w:hAnsi="Arial"/>
          <w:sz w:val="17"/>
          <w:szCs w:val="17"/>
          <w:color w:val="auto"/>
        </w:rPr>
        <w:t>increased or decreased by no more than 5% in either direction based on the comparable average closing prices over the five trading days ending three calendar days prior to the closing date. In addition, at closing, certain officers of Kolltan will receive an aggregate of approximately 461,000 shares of Celldex’s common stock in lieu of cash severance obligations owed to them by Kolltan. In addition, in the event that certain specified preclinical and clinical development milestones related to Kolltan’s development programs and/or Celldex’s development programs and certain commercial milestones related to Kolltan’s product candidates are achieved, Celldex will be required to pay Kolltan stockholders milestone payments of up to $172.5 million, which milestone payments may be made, at Celldex’s sole election, in cash, in shares of Celldex’s common stock or a combination of both, subject to NASDAQ listing requirements which require us to obtain stockholder approval of stock issuances which would exceed 19.9% of our common stock outstanding prior to the merger and provisions of the merger agreement. Shares of Celldex common stock issued in connection with a milestone payment, if any, will be valued based on the average closing price per share of Celldex common stock for the five trading day period ending three calendar days prior to the achievement of such milestone. The merger agreement also provides that in no event will the shares issuable by us at closing exceed 19.9% of the outstanding shares of our common stock as of the date of the merger agreement. If the shares that we would otherwise be required to issue at the closing exceeds 19.9% of the outstanding shares of our common stock (measured as of the date of the merger agreement), the excess shares will not be issued at the closing and, instead, the value of those shares will be added to the first contingent milestone.</w:t>
      </w:r>
    </w:p>
    <w:p>
      <w:pPr>
        <w:spacing w:after="0" w:line="18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closing is subject to customary closing conditions, including that 60% of Kolltan’s stockholders have approved the merger agreement. The merger is expected to close prior to the end of 2016.</w:t>
      </w:r>
    </w:p>
    <w:p>
      <w:pPr>
        <w:spacing w:after="0" w:line="16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92"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We do not utilize derivative financial instruments. The carrying amounts reflected in the balance sheet of cash and cash equivalents, accounts receivables and accounts payable approximates fair value at September 30, 2016 due to the short-term maturities of these instruments.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of September 30, 2016,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September 30, 2016.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September 30, 2016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10-K/A for the year ended December 31, 2015, which could materially affect our business, financial condition or future results. The risks described in our Annual Report on Form 10-K/A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8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Except as set forth below, there were no material changes to the risk factors previously disclosed in our Annual Report on Form 10-K/A filed with the Securities and Exchange Commission on February 25,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Merger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will experience significant dilution in connection with the merger.</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Following the merger, Celldex stockholders will own in the aggregate a significantly smaller percentage of the combined company than they currently own. Immediately after the effective time of the merger, Celldex’s current stockholders will own approximately 84% of the combined company. In addition, pursuant to the terms of the merger agreement, Celldex may issue additional shares of its common stock having a value of up to $172.5 million if the specified preclinical and clinical development milestones for the Celldex programs and the Kolltan programs and the commercial milestones for the Kolltan</w:t>
      </w:r>
    </w:p>
    <w:p>
      <w:pPr>
        <w:sectPr>
          <w:pgSz w:w="11900" w:h="16838" w:orient="portrait"/>
          <w:cols w:equalWidth="0" w:num="1">
            <w:col w:w="11420"/>
          </w:cols>
          <w:pgMar w:left="240" w:top="125" w:right="239" w:bottom="0" w:gutter="0" w:footer="0" w:header="0"/>
        </w:sectPr>
      </w:pPr>
    </w:p>
    <w:bookmarkStart w:id="20" w:name="page21"/>
    <w:bookmarkEnd w:id="20"/>
    <w:p>
      <w:pPr>
        <w:spacing w:after="0" w:line="1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programs are achieved, which would result in further dilution to the Celldex stockholders. Consequently, Celldex stockholders, as a general matter, may have less influence over the management and policies of the combined company than they currently exercise over the management and policies of Celldex.</w:t>
      </w:r>
    </w:p>
    <w:p>
      <w:pPr>
        <w:spacing w:after="0" w:line="124"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If the combined company is unable to realize the full strategic and financial benefits anticipated from the merger, our stockholders will have experienced substantial dilution of their ownership interests without receiving any commensurate benefit, or only receiving part of the commensurate benefit to the extent the combined company is able to realize only part of the strategic and financial benefits currently anticipated from the merger.</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lack of a public market for Kolltan’s stock makes it difficult to determine the fair market value of Kolltan, and the merger consideration to be issued to Kolltan stockholders may exceed the actual value of Kolltan.</w:t>
      </w:r>
    </w:p>
    <w:p>
      <w:pPr>
        <w:spacing w:after="0" w:line="170"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The outstanding capital stock of Kolltan is privately held and is not traded on any public market, which makes it difficult to determine the fair market value of Kolltan. There can be no assurances that the merger consideration to be issued to Kolltan stockholders and its lender will not exceed the actual value of Kolltan.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conditions under the merger agreement to consummation of the merger may not be satisfied at all or in the anticipated timeframe.</w:t>
      </w:r>
    </w:p>
    <w:p>
      <w:pPr>
        <w:spacing w:after="0" w:line="237"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The consummation of the merger is subject to certain customary closing conditions, including the approval of the merger by at least 60% of Kolltan’s stockholders, the accuracy of the representations and warranties contained in the merger agreement, subject to certain materiality qualifications, compliance by the parties with their respective covenants under the merger agreement and no law or order preventing the merger. These conditions are described in more detail in the merger agreement, which is filed as Exhibit 2.1 to our Current Report on Form 8-K filed on November 1, 2016 and incorporated herein by reference.</w:t>
      </w:r>
    </w:p>
    <w:p>
      <w:pPr>
        <w:spacing w:after="0" w:line="188" w:lineRule="exact"/>
        <w:rPr>
          <w:sz w:val="20"/>
          <w:szCs w:val="20"/>
          <w:color w:val="auto"/>
        </w:rPr>
      </w:pPr>
    </w:p>
    <w:p>
      <w:pPr>
        <w:jc w:val="both"/>
        <w:ind w:right="220" w:firstLine="441"/>
        <w:spacing w:after="0" w:line="264" w:lineRule="auto"/>
        <w:rPr>
          <w:sz w:val="20"/>
          <w:szCs w:val="20"/>
          <w:color w:val="auto"/>
        </w:rPr>
      </w:pPr>
      <w:r>
        <w:rPr>
          <w:rFonts w:ascii="Arial" w:cs="Arial" w:eastAsia="Arial" w:hAnsi="Arial"/>
          <w:sz w:val="18"/>
          <w:szCs w:val="18"/>
          <w:color w:val="auto"/>
        </w:rPr>
        <w:t>We intend to pursue all required approvals in accordance with the merger agreement. However, no assurance can be given that the required approvals will be obtained and, even if all such approvals are obtained, no assurance can be given as to the terms, conditions and timing of the approvals or that they will satisfy the terms of the merger agreement.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Each of Celldex and Kolltan will be subject to business uncertainties and contractual restrictions while the Kolltan merger is pending.</w:t>
      </w:r>
    </w:p>
    <w:p>
      <w:pPr>
        <w:spacing w:after="0" w:line="23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Uncertainty about the effect of the merger on employees and strategic partners may have an adverse effect on Kolltan and consequently on Celldex. These uncertainties may impair Kolltan’s ability to attract, retain and motivate key personnel until the merger is consummated, and could cause strategic partners and others that deal with Kolltan to seek to change existing business relationships with Kolltan. Retention of certain employees may be challenging during the pendency of the merger, as certain employees may experience uncertainty about their future roles with Celldex. If key employees depart because of issues relating to the uncertainty and difficulty of integration or a desire not to remain with Celldex, Celldex’s business following the merger could be harmed.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following the merger may decline as a result of the transaction.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market price of our common stock may decline as a result of the merger for a number of reasons, including if:</w:t>
      </w:r>
    </w:p>
    <w:p>
      <w:pPr>
        <w:spacing w:after="0" w:line="225" w:lineRule="exact"/>
        <w:rPr>
          <w:sz w:val="20"/>
          <w:szCs w:val="20"/>
          <w:color w:val="auto"/>
        </w:rPr>
      </w:pPr>
    </w:p>
    <w:p>
      <w:pPr>
        <w:ind w:left="740" w:hanging="291"/>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investors react negatively to the prospects of the combined company’s business and prospects;</w:t>
      </w:r>
    </w:p>
    <w:p>
      <w:pPr>
        <w:spacing w:after="0" w:line="225" w:lineRule="exact"/>
        <w:rPr>
          <w:rFonts w:ascii="Arial" w:cs="Arial" w:eastAsia="Arial" w:hAnsi="Arial"/>
          <w:sz w:val="18"/>
          <w:szCs w:val="18"/>
          <w:color w:val="auto"/>
        </w:rPr>
      </w:pPr>
    </w:p>
    <w:p>
      <w:pPr>
        <w:ind w:left="740" w:hanging="291"/>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investors react negatively to the potential dilution from any milestone payments; or</w:t>
      </w:r>
    </w:p>
    <w:p>
      <w:pPr>
        <w:spacing w:after="0" w:line="225" w:lineRule="exact"/>
        <w:rPr>
          <w:rFonts w:ascii="Arial" w:cs="Arial" w:eastAsia="Arial" w:hAnsi="Arial"/>
          <w:sz w:val="18"/>
          <w:szCs w:val="18"/>
          <w:color w:val="auto"/>
        </w:rPr>
      </w:pPr>
    </w:p>
    <w:p>
      <w:pPr>
        <w:ind w:left="780" w:right="620" w:hanging="331"/>
        <w:spacing w:after="0" w:line="277" w:lineRule="auto"/>
        <w:tabs>
          <w:tab w:leader="none" w:pos="74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performance of the combined company’s business or its future prospects are not consistent with the expectations of financial or industry analysts.</w:t>
      </w:r>
    </w:p>
    <w:p>
      <w:pPr>
        <w:spacing w:after="0" w:line="1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We and Kolltan have incurred significant operating losses since inception, and we expect to incur significant losses for the foreseeable future. We, and if the merger is consummated, the combined company may never become profitable or, if achieved, be able to sustain profitability.</w:t>
      </w:r>
    </w:p>
    <w:p>
      <w:pPr>
        <w:spacing w:after="0" w:line="124"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have incurred significant operating losses since inception and expect to incur significant losses for the foreseeable future as we continue development of our product candidates. Kolltan has also incurred significant operating losses since inception as they developed their products candidates. Neither we nor Kolltan currently generate any revenue from sales, and we may never be able to commercialize any of our product candidates. Neither we nor Kolltan currently have the required approvals to market any product candidates and may never receive such approvals.</w:t>
      </w:r>
    </w:p>
    <w:p>
      <w:pPr>
        <w:spacing w:after="0" w:line="171"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We intend to continue to conduct research and development, clinical testing, regulatory compliance activities and, if any of our product candidates is approved, sales and marketing activities that, together with anticipated general and administrative expenses, will likely result in us incurring significant losses for the next several years. If the merger is consummated, our portfolio of product candidates will expand significantly and as a result we expect that our losses will increase as we fund the development of the combined company’s expanded product candidate portfolio.</w:t>
      </w:r>
    </w:p>
    <w:p>
      <w:pPr>
        <w:spacing w:after="0" w:line="17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may not be profitable even if we or any of our future development partners succeed in commercializing any of our product candidates. Because of the numerous risks and uncertainties associated with developing and commercializing our product candidates, we are unable to predict the extent of any future losses or when we will become profitable, if at all.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the merger is consummated, we may fail to realize the anticipated benefits of the merger.</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success of the merger will depend on, among other things, the combined company’s ability to achieve its business objectives, including the successful development of its product candidates. If the combined company is not able to achieve these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objectives, the anticipated benefits of the merger may not be realized fully, may take longer to realize than expected, or may not be realized at all.</w:t>
      </w:r>
    </w:p>
    <w:p>
      <w:pPr>
        <w:sectPr>
          <w:pgSz w:w="11900" w:h="16851" w:orient="portrait"/>
          <w:cols w:equalWidth="0" w:num="1">
            <w:col w:w="11420"/>
          </w:cols>
          <w:pgMar w:left="240" w:top="125" w:right="239" w:bottom="0" w:gutter="0" w:footer="0" w:header="0"/>
          <w:type w:val="continuous"/>
        </w:sectPr>
      </w:pPr>
    </w:p>
    <w:bookmarkStart w:id="21" w:name="page22"/>
    <w:bookmarkEnd w:id="21"/>
    <w:p>
      <w:pPr>
        <w:ind w:right="40" w:firstLine="648"/>
        <w:spacing w:after="0" w:line="255" w:lineRule="auto"/>
        <w:rPr>
          <w:sz w:val="20"/>
          <w:szCs w:val="20"/>
          <w:color w:val="auto"/>
        </w:rPr>
      </w:pPr>
      <w:r>
        <w:rPr>
          <w:rFonts w:ascii="Arial" w:cs="Arial" w:eastAsia="Arial" w:hAnsi="Arial"/>
          <w:sz w:val="18"/>
          <w:szCs w:val="18"/>
          <w:color w:val="auto"/>
        </w:rPr>
        <w:t>Achieving the benefits of the merger will depend in part on the successful integration of Kolltan’s preclinical and clinical programs, operations and personnel in a timely and efficient manner. If we cannot successfully integrate Kolltan’s preclinical and clinical programs, operations and personnel, we may not realize the expected benefits of the merger. The integration process may result in the disruption of each company’s ongoing business, an adverse impact on the value of our assets, or inconsistencies in standards, controls, procedures or policies that could adversely affect our ability to comply with reporting obligations as a public company, to satisfy our obligations to third parties or to achieve the anticipated benefits of the merger. Potential difficulties that may be encountered in the integration process include the following:</w:t>
      </w:r>
    </w:p>
    <w:p>
      <w:pPr>
        <w:spacing w:after="0" w:line="193" w:lineRule="exact"/>
        <w:rPr>
          <w:sz w:val="20"/>
          <w:szCs w:val="20"/>
          <w:color w:val="auto"/>
        </w:rPr>
      </w:pPr>
    </w:p>
    <w:p>
      <w:pPr>
        <w:ind w:left="740" w:hanging="27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using the combined company’s cash and other assets efficiently to develop the business of the combined company;</w:t>
      </w:r>
    </w:p>
    <w:p>
      <w:pPr>
        <w:spacing w:after="0" w:line="225" w:lineRule="exact"/>
        <w:rPr>
          <w:rFonts w:ascii="Arial" w:cs="Arial" w:eastAsia="Arial" w:hAnsi="Arial"/>
          <w:sz w:val="18"/>
          <w:szCs w:val="18"/>
          <w:color w:val="auto"/>
        </w:rPr>
      </w:pPr>
    </w:p>
    <w:p>
      <w:pPr>
        <w:ind w:left="740" w:hanging="27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appropriately managing the liabilities of the combined company;</w:t>
      </w:r>
    </w:p>
    <w:p>
      <w:pPr>
        <w:spacing w:after="0" w:line="225" w:lineRule="exact"/>
        <w:rPr>
          <w:rFonts w:ascii="Arial" w:cs="Arial" w:eastAsia="Arial" w:hAnsi="Arial"/>
          <w:sz w:val="18"/>
          <w:szCs w:val="18"/>
          <w:color w:val="auto"/>
        </w:rPr>
      </w:pPr>
    </w:p>
    <w:p>
      <w:pPr>
        <w:ind w:left="740" w:hanging="27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unknown or currently unquantifiable liabilities associated with the merger and the operations of the combined company; and</w:t>
      </w:r>
    </w:p>
    <w:p>
      <w:pPr>
        <w:spacing w:after="0" w:line="225" w:lineRule="exact"/>
        <w:rPr>
          <w:rFonts w:ascii="Arial" w:cs="Arial" w:eastAsia="Arial" w:hAnsi="Arial"/>
          <w:sz w:val="18"/>
          <w:szCs w:val="18"/>
          <w:color w:val="auto"/>
        </w:rPr>
      </w:pPr>
    </w:p>
    <w:p>
      <w:pPr>
        <w:ind w:left="740" w:hanging="27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performance shortfalls as a result of the diversion of management’s attention caused by completing the merger.</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Any delays in the integration process or inability to realize the full extent of the anticipated benefits of the merger could have an adverse effect on the business prospects and results of operations of the combined company. Such an adverse effect may impact the value of the shares of the combined company’s common stock after the completion of the merger.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Integrating Kolltan’s organization is expected to be costly and may divert management’s attention away from our operations.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expect to incur significant costs integrating Kolltan’s operations, facility, products and personnel. Furthermore, successful integration of Kolltan’s preclinical and clinical programs, operations, and personnel may place a significant burden on our management and internal resources. The costs of integrating Kolltan’s operations with ours and the diversion of management’s attention and any difficulties encountered in the transition and integration process could result in delays in the preclinical and clinical trial programs of Kolltan and/or Celldex and could otherwise harm our business, financial condition and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pay the milestone consideration in cash.</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merger agreement provides that in the event that certain specified preclinical and clinical development milestones related to Kolltan’s development programs and/or Celldex’s development programs and certain commercial milestones related to Kolltan’s product candidates are achieved, we will be required to pay Kolltan’s stockholders milestone payments of up to $172.5 million, which milestone payments may be made, at our sole election, in cash, in shares of our common stock or a combination of both (except with respect to non-accredited former shareholders of Kolltan to whom we will pay cash). Pursuant to applicable NASDAQ listing rules, we are required to obtain stockholder approval of such issuances of our common stock to the extent that such issuances exceed 19.9% of our common stock outstanding prior to the merger. If we do not obtain stockholder approval of such common stock issuances, we may elect to pay the milestone consideration in cash to maintain compliance with applicable NASDAQ listing standards. We may still decide to pay cash even if we obtain stockholder approval. We may require additional capital to fund any milestone payments in cash, depending on the facts and circumstances at the time such payments become due.</w:t>
      </w:r>
    </w:p>
    <w:p>
      <w:pPr>
        <w:spacing w:after="0" w:line="18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become involved in securities class action litigation that could divert management’s attention and harm the combined company’s business, and insurance coverage may not be sufficient to cover all costs and damages.</w:t>
      </w:r>
    </w:p>
    <w:p>
      <w:pPr>
        <w:spacing w:after="0" w:line="170" w:lineRule="exact"/>
        <w:rPr>
          <w:sz w:val="20"/>
          <w:szCs w:val="20"/>
          <w:color w:val="auto"/>
        </w:rPr>
      </w:pPr>
    </w:p>
    <w:p>
      <w:pPr>
        <w:jc w:val="both"/>
        <w:ind w:right="560" w:firstLine="441"/>
        <w:spacing w:after="0" w:line="286" w:lineRule="auto"/>
        <w:rPr>
          <w:sz w:val="20"/>
          <w:szCs w:val="20"/>
          <w:color w:val="auto"/>
        </w:rPr>
      </w:pPr>
      <w:r>
        <w:rPr>
          <w:rFonts w:ascii="Arial" w:cs="Arial" w:eastAsia="Arial" w:hAnsi="Arial"/>
          <w:sz w:val="17"/>
          <w:szCs w:val="17"/>
          <w:color w:val="auto"/>
        </w:rPr>
        <w:t>In the past, securities class action or shareholder derivative litigation often follows certain significant business transactions, such as the sale of a business division or announcement of a merger. The combined company may become involved in this type of litigation in the future. Litigation often is expensive and diverts management’s attention and resources, which could adversely affect the combined company’s business.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40" w:type="dxa"/>
            <w:vAlign w:val="bottom"/>
          </w:tcPr>
          <w:p>
            <w:pPr>
              <w:ind w:left="424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0"/>
                <w:szCs w:val="20"/>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13"/>
        </w:trPr>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Item 6.</w:t>
            </w:r>
          </w:p>
        </w:tc>
        <w:tc>
          <w:tcPr>
            <w:tcW w:w="10080" w:type="dxa"/>
            <w:vAlign w:val="bottom"/>
            <w:gridSpan w:val="2"/>
          </w:tcPr>
          <w:p>
            <w:pPr>
              <w:ind w:left="4760"/>
              <w:spacing w:after="0"/>
              <w:rPr>
                <w:sz w:val="20"/>
                <w:szCs w:val="20"/>
                <w:color w:val="auto"/>
              </w:rPr>
            </w:pPr>
            <w:r>
              <w:rPr>
                <w:rFonts w:ascii="Arial" w:cs="Arial" w:eastAsia="Arial" w:hAnsi="Arial"/>
                <w:sz w:val="14"/>
                <w:szCs w:val="14"/>
                <w:b w:val="1"/>
                <w:bCs w:val="1"/>
                <w:color w:val="auto"/>
              </w:rPr>
              <w:t>Exhibits</w:t>
            </w:r>
          </w:p>
        </w:tc>
      </w:tr>
      <w:tr>
        <w:trPr>
          <w:trHeight w:val="195"/>
        </w:trPr>
        <w:tc>
          <w:tcPr>
            <w:tcW w:w="20" w:type="dxa"/>
            <w:vAlign w:val="bottom"/>
          </w:tcPr>
          <w:p>
            <w:pPr>
              <w:spacing w:after="0"/>
              <w:rPr>
                <w:sz w:val="16"/>
                <w:szCs w:val="16"/>
                <w:color w:val="auto"/>
              </w:rPr>
            </w:pPr>
          </w:p>
        </w:tc>
        <w:tc>
          <w:tcPr>
            <w:tcW w:w="1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2.1</w:t>
            </w:r>
          </w:p>
        </w:tc>
        <w:tc>
          <w:tcPr>
            <w:tcW w:w="280" w:type="dxa"/>
            <w:vAlign w:val="bottom"/>
          </w:tcPr>
          <w:p>
            <w:pPr>
              <w:spacing w:after="0"/>
              <w:rPr>
                <w:sz w:val="16"/>
                <w:szCs w:val="16"/>
                <w:color w:val="auto"/>
              </w:rPr>
            </w:pPr>
          </w:p>
        </w:tc>
        <w:tc>
          <w:tcPr>
            <w:tcW w:w="10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Agreement and Plan of Merger, dated as of November 1, 2016, by and among Kolltan Pharmaceuticals, Inc., Celldex Therapeutics, Inc.,</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4"/>
              </w:rPr>
              <w:t>Connemara Merger Sub 1 Inc. and Connemara Merger Sub 2 LLC. incorporated by reference to Exhibit 2.1 of the Company’s Current</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Report on Form 8-K, filed on November 1, 2016 with the Securities and Exchange Commission.</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7"/>
              </w:rPr>
              <w:t>Third Restated Certificate of Incorporation of the Company, incorporated by reference to Exhibit 3.1 of the Company’s Registration</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Statement on Form S-4 (Reg. No. 333-59215), filed July 16, 1998 with the Securities and Exchange Commission.</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4"/>
              </w:rPr>
              <w:t>Certificate of Amendment of Third Restated Certificate of Incorporation of the Company, incorporated by reference to Exhibit 3.1 of the</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1"/>
              </w:rPr>
              <w:t>Company’s Registration Statement on Form S-4 (Reg. No. 333-59215), filed July 16, 1998 with the Securities and Exchange Commission.</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2"/>
              </w:rPr>
              <w:t>Second Certificate of Amendment of Third Restated Certificate of Incorporation of the Company, incorporated by reference to Exhibit 3.2</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6"/>
              </w:rPr>
              <w:t>of the Company’s Registration Statement on Form S-4 (Reg. No. 333-59215), filed July 16, 1998 with the Securities and Exchange</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Commission.</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2"/>
              </w:rPr>
              <w:t>Third Certificate of Amendment of Third Restated Certificate of Incorporation of the Company, incorporated by reference to Exhibit 3.1 of</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the Company’s Quarterly Report on Form 10-Q, filed May 10, 2002 with the Securities and Exchange Commission.</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3"/>
              </w:rPr>
              <w:t>Fourth Certificate of Amendment of Third Restated Certificate of Incorporation of the Company, incorporated by reference to Exhibit 3.1</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of the Company’s Current Report on Form 8-K, filed on March 11, 2008 with the Securities and Exchange Commission.</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3"/>
              </w:rPr>
              <w:t>Fifth Certificate of Amendment of Third Restated Certificate of Incorporation of the Company, incorporated by reference to Exhibit 3.2 of</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the Company’s Current Report on Form 8-K, filed on March 11, 2008 with the Securities and Exchange Commission.</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2"/>
              </w:rPr>
              <w:t>Sixth Certificate of Amendment of Third Restated Certificate of Incorporation of the Company, incorporated by reference to Exhibit 3.7 of</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the Company’s Quarterly Report on Form 10-Q, filed November 10, 2008 with the Securities and Exchange Commission.</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2"/>
              </w:rPr>
              <w:t>Amended and Restated Employment Agreement, dated August 10, 2016, by and between Elizabeth Crowley and Celldex Therapeutics.,</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9"/>
              </w:rPr>
              <w:t>Inc., incorporated by reference to Exhibit 10.1 of the Company’s Current Report on Form 8-K, filed on August 11, 2016 with the</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Securities and Exchange Commission.</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Certification of President and Chief Executive Officer</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Certification of Senior Vice President and Chief Financial Officer</w:t>
            </w:r>
          </w:p>
        </w:tc>
      </w:tr>
      <w:tr>
        <w:trPr>
          <w:trHeight w:val="230"/>
        </w:trPr>
        <w:tc>
          <w:tcPr>
            <w:tcW w:w="1100" w:type="dxa"/>
            <w:vAlign w:val="bottom"/>
            <w:gridSpan w:val="2"/>
          </w:tcPr>
          <w:p>
            <w:pPr>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0"/>
                <w:szCs w:val="20"/>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Section 1350 Certifications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-3783330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-3783330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6"/>
        </w:trPr>
        <w:tc>
          <w:tcPr>
            <w:tcW w:w="880" w:type="dxa"/>
            <w:vAlign w:val="bottom"/>
          </w:tcPr>
          <w:p>
            <w:pPr>
              <w:jc w:val="right"/>
              <w:ind w:right="430"/>
              <w:spacing w:after="0"/>
              <w:rPr>
                <w:sz w:val="20"/>
                <w:szCs w:val="20"/>
                <w:color w:val="auto"/>
              </w:rPr>
            </w:pPr>
            <w:r>
              <w:rPr>
                <w:rFonts w:ascii="Arial" w:cs="Arial" w:eastAsia="Arial" w:hAnsi="Arial"/>
                <w:sz w:val="18"/>
                <w:szCs w:val="18"/>
                <w:color w:val="auto"/>
                <w:w w:val="91"/>
              </w:rPr>
              <w:t>*101</w:t>
            </w:r>
          </w:p>
        </w:tc>
        <w:tc>
          <w:tcPr>
            <w:tcW w:w="5040" w:type="dxa"/>
            <w:vAlign w:val="bottom"/>
          </w:tcPr>
          <w:p>
            <w:pPr>
              <w:ind w:left="500"/>
              <w:spacing w:after="0"/>
              <w:rPr>
                <w:sz w:val="20"/>
                <w:szCs w:val="20"/>
                <w:color w:val="auto"/>
              </w:rPr>
            </w:pPr>
            <w:r>
              <w:rPr>
                <w:rFonts w:ascii="Arial" w:cs="Arial" w:eastAsia="Arial" w:hAnsi="Arial"/>
                <w:sz w:val="18"/>
                <w:szCs w:val="18"/>
                <w:color w:val="auto"/>
              </w:rPr>
              <w:t>XBRL Instance Document.</w:t>
            </w:r>
          </w:p>
        </w:tc>
      </w:tr>
      <w:tr>
        <w:trPr>
          <w:trHeight w:val="216"/>
        </w:trPr>
        <w:tc>
          <w:tcPr>
            <w:tcW w:w="880" w:type="dxa"/>
            <w:vAlign w:val="bottom"/>
          </w:tcPr>
          <w:p>
            <w:pPr>
              <w:jc w:val="right"/>
              <w:ind w:right="430"/>
              <w:spacing w:after="0"/>
              <w:rPr>
                <w:sz w:val="20"/>
                <w:szCs w:val="20"/>
                <w:color w:val="auto"/>
              </w:rPr>
            </w:pPr>
            <w:r>
              <w:rPr>
                <w:rFonts w:ascii="Arial" w:cs="Arial" w:eastAsia="Arial" w:hAnsi="Arial"/>
                <w:sz w:val="18"/>
                <w:szCs w:val="18"/>
                <w:color w:val="auto"/>
                <w:w w:val="91"/>
              </w:rPr>
              <w:t>*101</w:t>
            </w:r>
          </w:p>
        </w:tc>
        <w:tc>
          <w:tcPr>
            <w:tcW w:w="5040" w:type="dxa"/>
            <w:vAlign w:val="bottom"/>
          </w:tcPr>
          <w:p>
            <w:pPr>
              <w:ind w:left="50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880" w:type="dxa"/>
            <w:vAlign w:val="bottom"/>
          </w:tcPr>
          <w:p>
            <w:pPr>
              <w:jc w:val="right"/>
              <w:ind w:right="430"/>
              <w:spacing w:after="0"/>
              <w:rPr>
                <w:sz w:val="20"/>
                <w:szCs w:val="20"/>
                <w:color w:val="auto"/>
              </w:rPr>
            </w:pPr>
            <w:r>
              <w:rPr>
                <w:rFonts w:ascii="Arial" w:cs="Arial" w:eastAsia="Arial" w:hAnsi="Arial"/>
                <w:sz w:val="18"/>
                <w:szCs w:val="18"/>
                <w:color w:val="auto"/>
                <w:w w:val="91"/>
              </w:rPr>
              <w:t>*101</w:t>
            </w:r>
          </w:p>
        </w:tc>
        <w:tc>
          <w:tcPr>
            <w:tcW w:w="5040" w:type="dxa"/>
            <w:vAlign w:val="bottom"/>
          </w:tcPr>
          <w:p>
            <w:pPr>
              <w:ind w:left="50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16"/>
        </w:trPr>
        <w:tc>
          <w:tcPr>
            <w:tcW w:w="880" w:type="dxa"/>
            <w:vAlign w:val="bottom"/>
          </w:tcPr>
          <w:p>
            <w:pPr>
              <w:jc w:val="right"/>
              <w:ind w:right="430"/>
              <w:spacing w:after="0"/>
              <w:rPr>
                <w:sz w:val="20"/>
                <w:szCs w:val="20"/>
                <w:color w:val="auto"/>
              </w:rPr>
            </w:pPr>
            <w:r>
              <w:rPr>
                <w:rFonts w:ascii="Arial" w:cs="Arial" w:eastAsia="Arial" w:hAnsi="Arial"/>
                <w:sz w:val="18"/>
                <w:szCs w:val="18"/>
                <w:color w:val="auto"/>
                <w:w w:val="91"/>
              </w:rPr>
              <w:t>*101</w:t>
            </w:r>
          </w:p>
        </w:tc>
        <w:tc>
          <w:tcPr>
            <w:tcW w:w="5040" w:type="dxa"/>
            <w:vAlign w:val="bottom"/>
          </w:tcPr>
          <w:p>
            <w:pPr>
              <w:ind w:left="50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16"/>
        </w:trPr>
        <w:tc>
          <w:tcPr>
            <w:tcW w:w="880" w:type="dxa"/>
            <w:vAlign w:val="bottom"/>
          </w:tcPr>
          <w:p>
            <w:pPr>
              <w:jc w:val="right"/>
              <w:ind w:right="430"/>
              <w:spacing w:after="0"/>
              <w:rPr>
                <w:sz w:val="20"/>
                <w:szCs w:val="20"/>
                <w:color w:val="auto"/>
              </w:rPr>
            </w:pPr>
            <w:r>
              <w:rPr>
                <w:rFonts w:ascii="Arial" w:cs="Arial" w:eastAsia="Arial" w:hAnsi="Arial"/>
                <w:sz w:val="18"/>
                <w:szCs w:val="18"/>
                <w:color w:val="auto"/>
                <w:w w:val="91"/>
              </w:rPr>
              <w:t>*101</w:t>
            </w:r>
          </w:p>
        </w:tc>
        <w:tc>
          <w:tcPr>
            <w:tcW w:w="5040" w:type="dxa"/>
            <w:vAlign w:val="bottom"/>
          </w:tcPr>
          <w:p>
            <w:pPr>
              <w:ind w:left="50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880" w:type="dxa"/>
            <w:vAlign w:val="bottom"/>
          </w:tcPr>
          <w:p>
            <w:pPr>
              <w:jc w:val="right"/>
              <w:ind w:right="430"/>
              <w:spacing w:after="0"/>
              <w:rPr>
                <w:sz w:val="20"/>
                <w:szCs w:val="20"/>
                <w:color w:val="auto"/>
              </w:rPr>
            </w:pPr>
            <w:r>
              <w:rPr>
                <w:rFonts w:ascii="Arial" w:cs="Arial" w:eastAsia="Arial" w:hAnsi="Arial"/>
                <w:sz w:val="18"/>
                <w:szCs w:val="18"/>
                <w:color w:val="auto"/>
                <w:w w:val="91"/>
              </w:rPr>
              <w:t>*101</w:t>
            </w:r>
          </w:p>
        </w:tc>
        <w:tc>
          <w:tcPr>
            <w:tcW w:w="5040" w:type="dxa"/>
            <w:vAlign w:val="bottom"/>
          </w:tcPr>
          <w:p>
            <w:pPr>
              <w:ind w:left="50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80" w:hanging="383"/>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780" w:hanging="383"/>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CELLDEX THERAPEUTICS,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ANTHONY S. MARUCCI</w:t>
      </w:r>
    </w:p>
    <w:p>
      <w:pPr>
        <w:spacing w:after="0" w:line="2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November 7, 2016</w:t>
      </w:r>
      <w:r>
        <w:rPr>
          <w:sz w:val="20"/>
          <w:szCs w:val="20"/>
          <w:color w:val="auto"/>
        </w:rPr>
        <w:tab/>
      </w:r>
      <w:r>
        <w:rPr>
          <w:rFonts w:ascii="Arial" w:cs="Arial" w:eastAsia="Arial" w:hAnsi="Arial"/>
          <w:sz w:val="16"/>
          <w:szCs w:val="16"/>
          <w:color w:val="auto"/>
        </w:rPr>
        <w:t>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AVERY W. CATLIN</w:t>
      </w:r>
    </w:p>
    <w:p>
      <w:pPr>
        <w:spacing w:after="0" w:line="2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November 7, 2016</w:t>
      </w:r>
      <w:r>
        <w:rPr>
          <w:sz w:val="20"/>
          <w:szCs w:val="20"/>
          <w:color w:val="auto"/>
        </w:rPr>
        <w:tab/>
      </w:r>
      <w:r>
        <w:rPr>
          <w:rFonts w:ascii="Arial" w:cs="Arial" w:eastAsia="Arial" w:hAnsi="Arial"/>
          <w:sz w:val="16"/>
          <w:szCs w:val="16"/>
          <w:color w:val="auto"/>
        </w:rPr>
        <w:t>Avery W. Catlin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Treasurer and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40" w:type="dxa"/>
            <w:vAlign w:val="bottom"/>
          </w:tcPr>
          <w:p>
            <w:pPr>
              <w:ind w:left="424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80" w:type="dxa"/>
            <w:vAlign w:val="bottom"/>
            <w:gridSpan w:val="2"/>
          </w:tcPr>
          <w:p>
            <w:pPr>
              <w:ind w:left="36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080" w:type="dxa"/>
            <w:vAlign w:val="bottom"/>
            <w:gridSpan w:val="2"/>
            <w:vMerge w:val="restart"/>
          </w:tcPr>
          <w:p>
            <w:pPr>
              <w:ind w:left="4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10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2.1</w:t>
            </w:r>
          </w:p>
        </w:tc>
        <w:tc>
          <w:tcPr>
            <w:tcW w:w="280" w:type="dxa"/>
            <w:vAlign w:val="bottom"/>
          </w:tcPr>
          <w:p>
            <w:pPr>
              <w:spacing w:after="0"/>
              <w:rPr>
                <w:sz w:val="16"/>
                <w:szCs w:val="16"/>
                <w:color w:val="auto"/>
              </w:rPr>
            </w:pPr>
          </w:p>
        </w:tc>
        <w:tc>
          <w:tcPr>
            <w:tcW w:w="10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Agreement and Plan of Merger, dated as of November 1, 2016, by and among Kolltan Pharmaceuticals, Inc., Celldex Therapeutics, Inc.,</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4"/>
              </w:rPr>
              <w:t>Connemara Merger Sub 1 Inc. and Connemara Merger Sub 2 LLC. incorporated by reference to Exhibit 2.1 of the Company’s Current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Report on Form 8-K, filed on November 1, 2016 with the Securities and Exchange Commission.</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7"/>
              </w:rPr>
              <w:t>Third Restated Certificate of Incorporation of the Company, incorporated by reference to Exhibit 3.1 of the Company’s Registration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Statement on Form S-4 (Reg. No. 333-59215), filed July 16, 1998 with the Securities and Exchange Commission.</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4"/>
              </w:rPr>
              <w:t>Certificate of Amendment of Third Restated Certificate of Incorporation of the Company, incorporated by reference to Exhibit 3.1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1"/>
              </w:rPr>
              <w:t>Company’s Registration Statement on Form S-4 (Reg. No. 333-59215), filed July 16, 1998 with the Securities and Exchange Commission.</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2"/>
              </w:rPr>
              <w:t>Second Certificate of Amendment of Third Restated Certificate of Incorporation of the Company, incorporated by reference to Exhibit 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6"/>
              </w:rPr>
              <w:t>of the Company’s Registration Statement on Form S-4 (Reg. No. 333-59215), filed July 16, 1998 with the Securities and Exchange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Commission.</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2"/>
              </w:rPr>
              <w:t>Third Certificate of Amendment of Third Restated Certificate of Incorporation of the Company, incorporated by reference to Exhibit 3.1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the Company’s Quarterly Report on Form 10-Q, filed May 10, 2002 with the Securities and Exchange Commission.</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3"/>
              </w:rPr>
              <w:t>Fourth Certificate of Amendment of Third Restated Certificate of Incorporation of the Company, incorporated by reference to Exhibit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of the Company’s Current Report on Form 8-K, filed on March 11, 2008 with the Securities and Exchange Commission.</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3"/>
              </w:rPr>
              <w:t>Fifth Certificate of Amendment of Third Restated Certificate of Incorporation of the Company, incorporated by reference to Exhibit 3.2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the Company’s Current Report on Form 8-K, filed on March 11, 2008 with the Securities and Exchange Commission.</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2"/>
              </w:rPr>
              <w:t>Sixth Certificate of Amendment of Third Restated Certificate of Incorporation of the Company, incorporated by reference to Exhibit 3.7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the Company’s Quarterly Report on Form 10-Q, filed November 10, 2008 with the Securities and Exchange Commission.</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2"/>
              </w:rPr>
              <w:t>Amended and Restated Employment Agreement, dated August 10, 2016, by and between Elizabeth Crowley and Celldex Therapeutics.,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9"/>
              </w:rPr>
              <w:t>Inc., incorporated by reference to Exhibit 10.1 of the Company’s Current Report on Form 8-K, filed on August 11, 2016 with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Securities and Exchange Commission.</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Certification of President and Chief Executive Officer</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Certification of Senior Vice President and Chief Financial Officer</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Section 1350 Certifications</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100" w:type="dxa"/>
            <w:vAlign w:val="bottom"/>
            <w:gridSpan w:val="2"/>
          </w:tcPr>
          <w:p>
            <w:pPr>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0"/>
                <w:szCs w:val="20"/>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-4975225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-4975225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80" w:hanging="383"/>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780" w:hanging="383"/>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w:t>
      </w:r>
    </w:p>
    <w:p>
      <w:pPr>
        <w:sectPr>
          <w:pgSz w:w="11900" w:h="16838" w:orient="portrait"/>
          <w:cols w:equalWidth="0" w:num="1">
            <w:col w:w="11460"/>
          </w:cols>
          <w:pgMar w:left="240" w:top="125" w:right="199" w:bottom="0" w:gutter="0" w:footer="0" w:header="0"/>
        </w:sectPr>
      </w:pPr>
    </w:p>
    <w:bookmarkStart w:id="23" w:name="page24"/>
    <w:bookmarkEnd w:id="23"/>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4" w:name="page25"/>
    <w:bookmarkEnd w:id="24"/>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720" w:hanging="388"/>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23"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23"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2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5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60" w:hanging="388"/>
        <w:spacing w:after="0" w:line="308" w:lineRule="auto"/>
        <w:tabs>
          <w:tab w:leader="none" w:pos="723"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57"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7, 2016</w:t>
            </w:r>
          </w:p>
        </w:tc>
        <w:tc>
          <w:tcPr>
            <w:tcW w:w="2680" w:type="dxa"/>
            <w:vAlign w:val="bottom"/>
          </w:tcPr>
          <w:p>
            <w:pPr>
              <w:ind w:left="196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c>
          <w:tcPr>
            <w:tcW w:w="40" w:type="dxa"/>
            <w:vAlign w:val="bottom"/>
          </w:tcPr>
          <w:p>
            <w:pPr>
              <w:spacing w:after="0"/>
              <w:rPr>
                <w:sz w:val="20"/>
                <w:szCs w:val="20"/>
                <w:color w:val="auto"/>
              </w:rPr>
            </w:pPr>
          </w:p>
        </w:tc>
      </w:tr>
      <w:tr>
        <w:trPr>
          <w:trHeight w:val="195"/>
        </w:trPr>
        <w:tc>
          <w:tcPr>
            <w:tcW w:w="3760" w:type="dxa"/>
            <w:vAlign w:val="bottom"/>
          </w:tcPr>
          <w:p>
            <w:pPr>
              <w:spacing w:after="0"/>
              <w:rPr>
                <w:sz w:val="16"/>
                <w:szCs w:val="16"/>
                <w:color w:val="auto"/>
              </w:rPr>
            </w:pPr>
          </w:p>
        </w:tc>
        <w:tc>
          <w:tcPr>
            <w:tcW w:w="268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c>
          <w:tcPr>
            <w:tcW w:w="40" w:type="dxa"/>
            <w:vAlign w:val="bottom"/>
          </w:tcPr>
          <w:p>
            <w:pPr>
              <w:spacing w:after="0"/>
              <w:rPr>
                <w:sz w:val="16"/>
                <w:szCs w:val="16"/>
                <w:color w:val="auto"/>
              </w:rPr>
            </w:pPr>
          </w:p>
        </w:tc>
      </w:tr>
      <w:tr>
        <w:trPr>
          <w:trHeight w:val="230"/>
        </w:trPr>
        <w:tc>
          <w:tcPr>
            <w:tcW w:w="3760" w:type="dxa"/>
            <w:vAlign w:val="bottom"/>
          </w:tcPr>
          <w:p>
            <w:pPr>
              <w:spacing w:after="0"/>
              <w:rPr>
                <w:sz w:val="20"/>
                <w:szCs w:val="20"/>
                <w:color w:val="auto"/>
              </w:rPr>
            </w:pPr>
          </w:p>
        </w:tc>
        <w:tc>
          <w:tcPr>
            <w:tcW w:w="2680" w:type="dxa"/>
            <w:vAlign w:val="bottom"/>
          </w:tcPr>
          <w:p>
            <w:pPr>
              <w:ind w:left="1960"/>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376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49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5" w:name="page26"/>
    <w:bookmarkEnd w:id="25"/>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Avery W. Catlin, certify that:</w:t>
      </w:r>
    </w:p>
    <w:p>
      <w:pPr>
        <w:spacing w:after="0" w:line="225" w:lineRule="exact"/>
        <w:rPr>
          <w:sz w:val="20"/>
          <w:szCs w:val="20"/>
          <w:color w:val="auto"/>
        </w:rPr>
      </w:pPr>
    </w:p>
    <w:p>
      <w:pPr>
        <w:ind w:left="720" w:hanging="388"/>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23"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5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60" w:hanging="388"/>
        <w:spacing w:after="0" w:line="308" w:lineRule="auto"/>
        <w:tabs>
          <w:tab w:leader="none" w:pos="723"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57"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7, 2016</w:t>
            </w:r>
          </w:p>
        </w:tc>
        <w:tc>
          <w:tcPr>
            <w:tcW w:w="2680" w:type="dxa"/>
            <w:vAlign w:val="bottom"/>
          </w:tcPr>
          <w:p>
            <w:pPr>
              <w:ind w:left="198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c>
          <w:tcPr>
            <w:tcW w:w="40" w:type="dxa"/>
            <w:vAlign w:val="bottom"/>
          </w:tcPr>
          <w:p>
            <w:pPr>
              <w:spacing w:after="0"/>
              <w:rPr>
                <w:sz w:val="20"/>
                <w:szCs w:val="20"/>
                <w:color w:val="auto"/>
              </w:rPr>
            </w:pPr>
          </w:p>
        </w:tc>
      </w:tr>
      <w:tr>
        <w:trPr>
          <w:trHeight w:val="195"/>
        </w:trPr>
        <w:tc>
          <w:tcPr>
            <w:tcW w:w="3760" w:type="dxa"/>
            <w:vAlign w:val="bottom"/>
          </w:tcPr>
          <w:p>
            <w:pPr>
              <w:spacing w:after="0"/>
              <w:rPr>
                <w:sz w:val="16"/>
                <w:szCs w:val="16"/>
                <w:color w:val="auto"/>
              </w:rPr>
            </w:pPr>
          </w:p>
        </w:tc>
        <w:tc>
          <w:tcPr>
            <w:tcW w:w="2680" w:type="dxa"/>
            <w:vAlign w:val="bottom"/>
          </w:tcPr>
          <w:p>
            <w:pPr>
              <w:ind w:left="1980"/>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c>
          <w:tcPr>
            <w:tcW w:w="40" w:type="dxa"/>
            <w:vAlign w:val="bottom"/>
          </w:tcPr>
          <w:p>
            <w:pPr>
              <w:spacing w:after="0"/>
              <w:rPr>
                <w:sz w:val="16"/>
                <w:szCs w:val="16"/>
                <w:color w:val="auto"/>
              </w:rPr>
            </w:pPr>
          </w:p>
        </w:tc>
      </w:tr>
      <w:tr>
        <w:trPr>
          <w:trHeight w:val="230"/>
        </w:trPr>
        <w:tc>
          <w:tcPr>
            <w:tcW w:w="3760" w:type="dxa"/>
            <w:vAlign w:val="bottom"/>
          </w:tcPr>
          <w:p>
            <w:pPr>
              <w:spacing w:after="0"/>
              <w:rPr>
                <w:sz w:val="20"/>
                <w:szCs w:val="20"/>
                <w:color w:val="auto"/>
              </w:rPr>
            </w:pPr>
          </w:p>
        </w:tc>
        <w:tc>
          <w:tcPr>
            <w:tcW w:w="2680" w:type="dxa"/>
            <w:vAlign w:val="bottom"/>
          </w:tcPr>
          <w:p>
            <w:pPr>
              <w:ind w:left="1980"/>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40" w:type="dxa"/>
            <w:vAlign w:val="bottom"/>
          </w:tcPr>
          <w:p>
            <w:pPr>
              <w:spacing w:after="0"/>
              <w:rPr>
                <w:sz w:val="20"/>
                <w:szCs w:val="20"/>
                <w:color w:val="auto"/>
              </w:rPr>
            </w:pPr>
          </w:p>
        </w:tc>
      </w:tr>
      <w:tr>
        <w:trPr>
          <w:trHeight w:val="348"/>
        </w:trPr>
        <w:tc>
          <w:tcPr>
            <w:tcW w:w="376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49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7, 2016</w:t>
            </w:r>
          </w:p>
        </w:tc>
        <w:tc>
          <w:tcPr>
            <w:tcW w:w="2680" w:type="dxa"/>
            <w:vAlign w:val="bottom"/>
          </w:tcPr>
          <w:p>
            <w:pPr>
              <w:ind w:left="196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760" w:type="dxa"/>
            <w:vAlign w:val="bottom"/>
          </w:tcPr>
          <w:p>
            <w:pPr>
              <w:spacing w:after="0"/>
              <w:rPr>
                <w:sz w:val="16"/>
                <w:szCs w:val="16"/>
                <w:color w:val="auto"/>
              </w:rPr>
            </w:pPr>
          </w:p>
        </w:tc>
        <w:tc>
          <w:tcPr>
            <w:tcW w:w="268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760" w:type="dxa"/>
            <w:vAlign w:val="bottom"/>
          </w:tcPr>
          <w:p>
            <w:pPr>
              <w:spacing w:after="0"/>
              <w:rPr>
                <w:sz w:val="20"/>
                <w:szCs w:val="20"/>
                <w:color w:val="auto"/>
              </w:rPr>
            </w:pPr>
          </w:p>
        </w:tc>
        <w:tc>
          <w:tcPr>
            <w:tcW w:w="2680" w:type="dxa"/>
            <w:vAlign w:val="bottom"/>
          </w:tcPr>
          <w:p>
            <w:pPr>
              <w:ind w:left="1960"/>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November 7, 2016</w:t>
            </w:r>
          </w:p>
        </w:tc>
        <w:tc>
          <w:tcPr>
            <w:tcW w:w="2680" w:type="dxa"/>
            <w:vAlign w:val="bottom"/>
          </w:tcPr>
          <w:p>
            <w:pPr>
              <w:ind w:left="196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r>
      <w:tr>
        <w:trPr>
          <w:trHeight w:val="195"/>
        </w:trPr>
        <w:tc>
          <w:tcPr>
            <w:tcW w:w="3760" w:type="dxa"/>
            <w:vAlign w:val="bottom"/>
          </w:tcPr>
          <w:p>
            <w:pPr>
              <w:spacing w:after="0"/>
              <w:rPr>
                <w:sz w:val="16"/>
                <w:szCs w:val="16"/>
                <w:color w:val="auto"/>
              </w:rPr>
            </w:pPr>
          </w:p>
        </w:tc>
        <w:tc>
          <w:tcPr>
            <w:tcW w:w="268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r>
      <w:tr>
        <w:trPr>
          <w:trHeight w:val="230"/>
        </w:trPr>
        <w:tc>
          <w:tcPr>
            <w:tcW w:w="3760" w:type="dxa"/>
            <w:vAlign w:val="bottom"/>
          </w:tcPr>
          <w:p>
            <w:pPr>
              <w:spacing w:after="0"/>
              <w:rPr>
                <w:sz w:val="20"/>
                <w:szCs w:val="20"/>
                <w:color w:val="auto"/>
              </w:rPr>
            </w:pPr>
          </w:p>
        </w:tc>
        <w:tc>
          <w:tcPr>
            <w:tcW w:w="2680" w:type="dxa"/>
            <w:vAlign w:val="bottom"/>
          </w:tcPr>
          <w:p>
            <w:pPr>
              <w:ind w:left="1960"/>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upperLetter"/>
      <w:start w:val="6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2019-12-05T16:40:04Z</dcterms:created>
  <dcterms:modified xsi:type="dcterms:W3CDTF">2019-12-05T16:40:04Z</dcterms:modified>
</cp:coreProperties>
</file>