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(781) 433-0771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33" w:right="319" w:bottom="0"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30, 2012, 61,975,120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Quarter Ended September 30, 2012</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4"/>
          <w:szCs w:val="24"/>
          <w:color w:val="auto"/>
        </w:rPr>
      </w:pPr>
    </w:p>
    <w:p>
      <w:pPr>
        <w:ind w:left="10900"/>
        <w:spacing w:after="0"/>
        <w:rPr>
          <w:sz w:val="20"/>
          <w:szCs w:val="20"/>
          <w:color w:val="auto"/>
        </w:rPr>
      </w:pPr>
      <w:r>
        <w:rPr>
          <w:rFonts w:ascii="Arial" w:cs="Arial" w:eastAsia="Arial" w:hAnsi="Arial"/>
          <w:sz w:val="11"/>
          <w:szCs w:val="11"/>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6771640</wp:posOffset>
            </wp:positionH>
            <wp:positionV relativeFrom="paragraph">
              <wp:posOffset>28575</wp:posOffset>
            </wp:positionV>
            <wp:extent cx="480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gridSpan w:val="1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I—Financial Information</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at September 30, 2012 and December 31, 2011</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60" w:type="dxa"/>
            <w:vAlign w:val="bottom"/>
            <w:gridSpan w:val="2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Consolidated Statements of Operations and Comprehensive Loss for the Three and Nine Months Ended September 30, 2012 and</w:t>
              </w:r>
            </w:hyperlink>
          </w:p>
        </w:tc>
        <w:tc>
          <w:tcPr>
            <w:tcW w:w="0" w:type="dxa"/>
            <w:vAlign w:val="bottom"/>
          </w:tcPr>
          <w:p>
            <w:pPr>
              <w:spacing w:after="0"/>
              <w:rPr>
                <w:sz w:val="1"/>
                <w:szCs w:val="1"/>
                <w:color w:val="auto"/>
              </w:rPr>
            </w:pPr>
          </w:p>
        </w:tc>
      </w:tr>
      <w:tr>
        <w:trPr>
          <w:trHeight w:val="196"/>
        </w:trPr>
        <w:tc>
          <w:tcPr>
            <w:tcW w:w="400" w:type="dxa"/>
            <w:vAlign w:val="bottom"/>
            <w:gridSpan w:val="2"/>
          </w:tcPr>
          <w:p>
            <w:pPr>
              <w:spacing w:after="0"/>
              <w:rPr>
                <w:sz w:val="17"/>
                <w:szCs w:val="17"/>
                <w:color w:val="auto"/>
              </w:rPr>
            </w:pPr>
          </w:p>
        </w:tc>
        <w:tc>
          <w:tcPr>
            <w:tcW w:w="50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2011</w:t>
              </w:r>
            </w:hyperlink>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9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Cash Flows for the Nine Months Ended September 30, 2012 and 2011</w:t>
              </w:r>
            </w:hyperlink>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tcBorders>
              <w:top w:val="single" w:sz="8" w:color="0000EE"/>
            </w:tcBorders>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Unaudited Condensed Consolidated Financial Statements</w:t>
              </w:r>
            </w:hyperlink>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17"/>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Item 2. Management’s Discussion and Analysis of Financial Condition and Results of Operations</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80" w:type="dxa"/>
            <w:vAlign w:val="bottom"/>
            <w:tcBorders>
              <w:top w:val="single" w:sz="8" w:color="0000EE"/>
            </w:tcBorders>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3. Quantitative and Qualitative Disclosures About Market Risk</w:t>
              </w:r>
            </w:hyperlink>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80" w:type="dxa"/>
            <w:vAlign w:val="bottom"/>
            <w:tcBorders>
              <w:top w:val="single" w:sz="8" w:color="0000EE"/>
            </w:tcBorders>
            <w:gridSpan w:val="1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4. Controls and Procedures</w:t>
              </w:r>
            </w:hyperlink>
          </w:p>
        </w:tc>
        <w:tc>
          <w:tcPr>
            <w:tcW w:w="26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960" w:type="dxa"/>
            <w:vAlign w:val="bottom"/>
            <w:gridSpan w:val="19"/>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 Other Information</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1. Legal Proceedings</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Borders>
              <w:top w:val="single" w:sz="8" w:color="0000EE"/>
            </w:tcBorders>
            <w:gridSpan w:val="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1A. Risk Factors</w:t>
              </w:r>
            </w:hyperlink>
          </w:p>
        </w:tc>
        <w:tc>
          <w:tcPr>
            <w:tcW w:w="570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Borders>
              <w:top w:val="single" w:sz="8" w:color="0000EE"/>
            </w:tcBorders>
            <w:gridSpan w:val="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6. Exhibits</w:t>
              </w:r>
            </w:hyperlink>
          </w:p>
        </w:tc>
        <w:tc>
          <w:tcPr>
            <w:tcW w:w="600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3"/>
              </w:rPr>
            </w:pPr>
            <w:hyperlink w:anchor="page20">
              <w:r>
                <w:rPr>
                  <w:rFonts w:ascii="Arial" w:cs="Arial" w:eastAsia="Arial" w:hAnsi="Arial"/>
                  <w:sz w:val="18"/>
                  <w:szCs w:val="18"/>
                  <w:color w:val="0000EE"/>
                  <w:w w:val="83"/>
                </w:rPr>
                <w:t>Signatures</w:t>
              </w:r>
            </w:hyperlink>
          </w:p>
        </w:tc>
        <w:tc>
          <w:tcPr>
            <w:tcW w:w="380" w:type="dxa"/>
            <w:vAlign w:val="bottom"/>
            <w:tcBorders>
              <w:top w:val="single" w:sz="8" w:color="0000EE"/>
            </w:tcBorders>
            <w:gridSpan w:val="3"/>
          </w:tcPr>
          <w:p>
            <w:pPr>
              <w:spacing w:after="0"/>
              <w:rPr>
                <w:sz w:val="24"/>
                <w:szCs w:val="24"/>
                <w:color w:val="auto"/>
              </w:rPr>
            </w:pPr>
          </w:p>
        </w:tc>
        <w:tc>
          <w:tcPr>
            <w:tcW w:w="644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 Index</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53"/>
        </w:trPr>
        <w:tc>
          <w:tcPr>
            <w:tcW w:w="400" w:type="dxa"/>
            <w:vAlign w:val="bottom"/>
            <w:gridSpan w:val="2"/>
          </w:tcPr>
          <w:p>
            <w:pPr>
              <w:spacing w:after="0"/>
              <w:rPr>
                <w:sz w:val="24"/>
                <w:szCs w:val="24"/>
                <w:color w:val="auto"/>
              </w:rPr>
            </w:pPr>
          </w:p>
        </w:tc>
        <w:tc>
          <w:tcPr>
            <w:tcW w:w="960" w:type="dxa"/>
            <w:vAlign w:val="bottom"/>
            <w:tcBorders>
              <w:top w:val="single" w:sz="8" w:color="0000EE"/>
            </w:tcBorders>
            <w:gridSpan w:val="5"/>
          </w:tcPr>
          <w:p>
            <w:pPr>
              <w:spacing w:after="0"/>
              <w:rPr>
                <w:sz w:val="24"/>
                <w:szCs w:val="24"/>
                <w:color w:val="auto"/>
              </w:rPr>
            </w:pPr>
          </w:p>
        </w:tc>
        <w:tc>
          <w:tcPr>
            <w:tcW w:w="5360" w:type="dxa"/>
            <w:vAlign w:val="bottom"/>
            <w:gridSpan w:val="10"/>
          </w:tcPr>
          <w:p>
            <w:pPr>
              <w:jc w:val="center"/>
              <w:ind w:left="3250"/>
              <w:spacing w:after="0"/>
              <w:rPr>
                <w:sz w:val="20"/>
                <w:szCs w:val="20"/>
                <w:color w:val="auto"/>
              </w:rPr>
            </w:pPr>
            <w:r>
              <w:rPr>
                <w:rFonts w:ascii="Arial" w:cs="Arial" w:eastAsia="Arial" w:hAnsi="Arial"/>
                <w:sz w:val="18"/>
                <w:szCs w:val="18"/>
                <w:color w:val="auto"/>
                <w:w w:val="99"/>
              </w:rPr>
              <w:t>2</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960" w:type="dxa"/>
            <w:vAlign w:val="bottom"/>
            <w:gridSpan w:val="19"/>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6"/>
            <w:shd w:val="clear" w:color="auto" w:fill="0000EE"/>
          </w:tcPr>
          <w:p>
            <w:pPr>
              <w:spacing w:after="0" w:line="20" w:lineRule="exact"/>
              <w:rPr>
                <w:sz w:val="1"/>
                <w:szCs w:val="1"/>
                <w:color w:val="auto"/>
              </w:rPr>
            </w:pPr>
          </w:p>
        </w:tc>
        <w:tc>
          <w:tcPr>
            <w:tcW w:w="6680" w:type="dxa"/>
            <w:vAlign w:val="bottom"/>
            <w:gridSpan w:val="1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960" w:type="dxa"/>
            <w:vAlign w:val="bottom"/>
            <w:gridSpan w:val="19"/>
          </w:tcPr>
          <w:p>
            <w:pPr>
              <w:spacing w:after="0"/>
              <w:rPr>
                <w:sz w:val="20"/>
                <w:szCs w:val="20"/>
                <w:color w:val="auto"/>
              </w:rPr>
            </w:pPr>
            <w:r>
              <w:rPr>
                <w:rFonts w:ascii="Arial" w:cs="Arial" w:eastAsia="Arial" w:hAnsi="Arial"/>
                <w:sz w:val="18"/>
                <w:szCs w:val="18"/>
                <w:b w:val="1"/>
                <w:bCs w:val="1"/>
                <w:color w:val="auto"/>
              </w:rPr>
              <w:t>PART I—FINANCIAL INFORMATION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60" w:type="dxa"/>
            <w:vAlign w:val="bottom"/>
            <w:gridSpan w:val="19"/>
          </w:tcPr>
          <w:p>
            <w:pPr>
              <w:spacing w:after="0"/>
              <w:rPr>
                <w:sz w:val="20"/>
                <w:szCs w:val="20"/>
                <w:color w:val="auto"/>
              </w:rPr>
            </w:pPr>
            <w:r>
              <w:rPr>
                <w:rFonts w:ascii="Arial" w:cs="Arial" w:eastAsia="Arial" w:hAnsi="Arial"/>
                <w:sz w:val="18"/>
                <w:szCs w:val="18"/>
                <w:b w:val="1"/>
                <w:bCs w:val="1"/>
                <w:color w:val="auto"/>
              </w:rPr>
              <w:t>Item 1. Unaudited Financial Statements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4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auto"/>
              </w:rPr>
              <w:t>CELLDEX THERAPEUTICS, INC.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40" w:type="dxa"/>
            <w:vAlign w:val="bottom"/>
            <w:gridSpan w:val="5"/>
          </w:tcPr>
          <w:p>
            <w:pPr>
              <w:jc w:val="center"/>
              <w:ind w:left="1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0" w:type="dxa"/>
            <w:vAlign w:val="bottom"/>
            <w:gridSpan w:val="4"/>
          </w:tcPr>
          <w:p>
            <w:pPr>
              <w:jc w:val="center"/>
              <w:ind w:right="170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4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2012</w:t>
            </w:r>
          </w:p>
        </w:tc>
        <w:tc>
          <w:tcPr>
            <w:tcW w:w="120" w:type="dxa"/>
            <w:vAlign w:val="bottom"/>
          </w:tcPr>
          <w:p>
            <w:pPr>
              <w:spacing w:after="0"/>
              <w:rPr>
                <w:sz w:val="24"/>
                <w:szCs w:val="24"/>
                <w:color w:val="auto"/>
              </w:rPr>
            </w:pPr>
          </w:p>
        </w:tc>
        <w:tc>
          <w:tcPr>
            <w:tcW w:w="14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Borders>
              <w:top w:val="single" w:sz="8" w:color="CCEEFF"/>
            </w:tcBorders>
            <w:gridSpan w:val="18"/>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8"/>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23,187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8"/>
          </w:tcPr>
          <w:p>
            <w:pPr>
              <w:ind w:left="1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54,428</w:t>
            </w: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41,413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Accounts and Other Receivables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8"/>
          </w:tcPr>
          <w:p>
            <w:pPr>
              <w:ind w:left="16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gridSpan w:val="18"/>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78,810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54,684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18"/>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7,566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9,093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24,087</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8"/>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8,965</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gridSpan w:val="18"/>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119,837</w:t>
            </w:r>
          </w:p>
        </w:tc>
        <w:tc>
          <w:tcPr>
            <w:tcW w:w="3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97,994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18"/>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8"/>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1,281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935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8,157</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8"/>
          </w:tcPr>
          <w:p>
            <w:pPr>
              <w:ind w:left="160"/>
              <w:spacing w:after="0"/>
              <w:rPr>
                <w:sz w:val="20"/>
                <w:szCs w:val="20"/>
                <w:color w:val="auto"/>
              </w:rPr>
            </w:pPr>
            <w:r>
              <w:rPr>
                <w:rFonts w:ascii="Arial" w:cs="Arial" w:eastAsia="Arial" w:hAnsi="Arial"/>
                <w:sz w:val="18"/>
                <w:szCs w:val="18"/>
                <w:color w:val="auto"/>
              </w:rPr>
              <w:t>Current Portion of Long-Term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Current Portion of Term Loan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5,294</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gridSpan w:val="18"/>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15,131</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14,298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Term Loan, less Current Portion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8"/>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6,365</w:t>
            </w: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5,966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gridSpan w:val="18"/>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28,822</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29,272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gridSpan w:val="18"/>
          </w:tcPr>
          <w:p>
            <w:pPr>
              <w:ind w:left="160"/>
              <w:spacing w:after="0" w:line="201" w:lineRule="exact"/>
              <w:rPr>
                <w:sz w:val="20"/>
                <w:szCs w:val="20"/>
                <w:color w:val="auto"/>
              </w:rPr>
            </w:pPr>
            <w:r>
              <w:rPr>
                <w:rFonts w:ascii="Arial" w:cs="Arial" w:eastAsia="Arial" w:hAnsi="Arial"/>
                <w:sz w:val="18"/>
                <w:szCs w:val="18"/>
                <w:color w:val="auto"/>
                <w:w w:val="99"/>
              </w:rPr>
              <w:t>Convertible Preferred Stock, $.01 Par Value; 3,000,000 Shares Authorized; No Shares Issued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18"/>
          </w:tcPr>
          <w:p>
            <w:pPr>
              <w:ind w:left="340"/>
              <w:spacing w:after="0"/>
              <w:rPr>
                <w:sz w:val="20"/>
                <w:szCs w:val="20"/>
                <w:color w:val="auto"/>
              </w:rPr>
            </w:pPr>
            <w:r>
              <w:rPr>
                <w:rFonts w:ascii="Arial" w:cs="Arial" w:eastAsia="Arial" w:hAnsi="Arial"/>
                <w:sz w:val="18"/>
                <w:szCs w:val="18"/>
                <w:color w:val="auto"/>
              </w:rPr>
              <w:t>Outstanding at September 30, 2012 and December 31, 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4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w w:val="94"/>
              </w:rPr>
              <w:t>Common Stock, $.001 Par Value; 297,000,000 Shares Authorized; 60,807,350 and 44,210,636 Shares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-6057900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-6057900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at September 30, 2012 and December 31, 2011, respectively</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335,501</w:t>
            </w:r>
          </w:p>
        </w:tc>
        <w:tc>
          <w:tcPr>
            <w:tcW w:w="4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271,032</w:t>
            </w:r>
          </w:p>
        </w:tc>
        <w:tc>
          <w:tcPr>
            <w:tcW w:w="80" w:type="dxa"/>
            <w:vAlign w:val="bottom"/>
          </w:tcPr>
          <w:p>
            <w:pPr>
              <w:spacing w:after="0"/>
              <w:rPr>
                <w:sz w:val="18"/>
                <w:szCs w:val="18"/>
                <w:color w:val="auto"/>
              </w:rPr>
            </w:pP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2,775</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2,652</w:t>
            </w: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(247,322)</w:t>
            </w:r>
          </w:p>
        </w:tc>
        <w:tc>
          <w:tcPr>
            <w:tcW w:w="4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(205,006)</w:t>
            </w:r>
          </w:p>
        </w:tc>
      </w:tr>
      <w:tr>
        <w:trPr>
          <w:trHeight w:val="210"/>
        </w:trPr>
        <w:tc>
          <w:tcPr>
            <w:tcW w:w="72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91,015</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26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820" w:type="dxa"/>
            <w:vAlign w:val="bottom"/>
          </w:tcPr>
          <w:p>
            <w:pPr>
              <w:spacing w:after="0"/>
              <w:rPr>
                <w:sz w:val="18"/>
                <w:szCs w:val="18"/>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119,837</w:t>
            </w:r>
          </w:p>
        </w:tc>
        <w:tc>
          <w:tcPr>
            <w:tcW w:w="300" w:type="dxa"/>
            <w:vAlign w:val="bottom"/>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COMPRENHENSIVE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92"/>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92"/>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Product Royalties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2,318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7,224</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11,769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8,594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33,650</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22,615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Royalty</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7,372</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6,849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3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17,864</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49,082</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(14,751)</w:t>
            </w:r>
          </w:p>
        </w:tc>
        <w:tc>
          <w:tcPr>
            <w:tcW w:w="1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(11,478)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(41,527)</w:t>
            </w:r>
          </w:p>
        </w:tc>
        <w:tc>
          <w:tcPr>
            <w:tcW w:w="1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(1,225)</w:t>
            </w:r>
          </w:p>
        </w:tc>
        <w:tc>
          <w:tcPr>
            <w:tcW w:w="1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(32,067)</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 (Note 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Shares Used in Calculating Basic and Diluted Net Loss per Share</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59,467</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44,136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56,090</w:t>
            </w:r>
          </w:p>
        </w:tc>
        <w:tc>
          <w:tcPr>
            <w:tcW w:w="1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37,926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Loss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(15,027)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(11,772)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(42,316)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Marketable Securities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3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(14,974</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(42,193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(32,164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6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3"/>
              </w:rPr>
              <w:t>September 30, 2012</w:t>
            </w: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1"/>
              </w:rPr>
              <w:t>September 30, 2011</w:t>
            </w:r>
          </w:p>
        </w:tc>
        <w:tc>
          <w:tcPr>
            <w:tcW w:w="100" w:type="dxa"/>
            <w:vAlign w:val="bottom"/>
          </w:tcPr>
          <w:p>
            <w:pPr>
              <w:spacing w:after="0"/>
              <w:rPr>
                <w:sz w:val="12"/>
                <w:szCs w:val="12"/>
                <w:color w:val="auto"/>
              </w:rPr>
            </w:pPr>
          </w:p>
        </w:tc>
      </w:tr>
      <w:tr>
        <w:trPr>
          <w:trHeight w:val="196"/>
        </w:trPr>
        <w:tc>
          <w:tcPr>
            <w:tcW w:w="6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(42,316)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(32,067)</w:t>
            </w: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1,696</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w:t>
            </w: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Amortization and Premium of Marketable Securities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(Gain) Loss on Sales and Maturities of Marketable Securities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Gain on Sale or Disposal of Assets</w:t>
            </w: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(58)</w:t>
            </w: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1,614</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Non-Cash Interest Expense</w:t>
            </w: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169</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520"/>
              <w:spacing w:after="0"/>
              <w:rPr>
                <w:sz w:val="20"/>
                <w:szCs w:val="20"/>
                <w:color w:val="auto"/>
              </w:rPr>
            </w:pPr>
            <w:r>
              <w:rPr>
                <w:rFonts w:ascii="Arial" w:cs="Arial" w:eastAsia="Arial" w:hAnsi="Arial"/>
                <w:sz w:val="18"/>
                <w:szCs w:val="18"/>
                <w:color w:val="auto"/>
              </w:rPr>
              <w:t>Accounts and Other Receivables</w:t>
            </w: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138</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and Other Current Assets</w:t>
            </w: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1,495</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620</w:t>
            </w: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Operating Activities</w:t>
            </w:r>
          </w:p>
        </w:tc>
        <w:tc>
          <w:tcPr>
            <w:tcW w:w="17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(36,456)</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45,432</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(57,900)</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(193)</w:t>
            </w: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or Disposal of Assets</w:t>
            </w: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7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(12,443)</w:t>
            </w:r>
          </w:p>
        </w:tc>
        <w:tc>
          <w:tcPr>
            <w:tcW w:w="3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Stock Issuances</w:t>
            </w: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62,872</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(Payments) Issuance of Term Loan</w:t>
            </w: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(2,646)</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Convertible Subordinated Debt</w:t>
            </w: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Payments of Other Liabilities</w:t>
            </w: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7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60,185</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11,899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transactions have been eliminated in consolidation.</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2011, which are included in the Company’s Annual Report on Form 10-K filed with the Securities and Exchange Commission (“SEC”) on March 8, 2012. In the opinion of management, the interim financial statements reflect all normal recurring adjustments necessary to fairly state the Company’s financial position and results of operations for the interim periods presented. The year-end consolidated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2012.</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At September 30, 2012, the Company had cash, cash equivalents and marketable securities of $77.6 million; working capital of $63.7 million; and a Term Loan balance of $12.6 million. The Company incurred a loss of $42.3 million for the nine months ended September 30, 2012. Net cash used in operations for the nine months ended September 30, 2012 was $36.5 million. The Company believes that the cash, cash equivalents and marketable securities at September 30, 2012 will be sufficient to meet estimated working capital requirements and fund planned operations for at least the next twelve months.</w:t>
      </w:r>
    </w:p>
    <w:p>
      <w:pPr>
        <w:spacing w:after="0" w:line="15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raised net proceeds of $62.9 million during the nine months ended September 30, 2012 from the issuance of its common stock. 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continues to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significant discount or on other unfavorable terms, if at all, or sell all or a part of the Company.</w:t>
      </w:r>
    </w:p>
    <w:p>
      <w:pPr>
        <w:sectPr>
          <w:pgSz w:w="11900" w:h="16838" w:orient="portrait"/>
          <w:cols w:equalWidth="0" w:num="1">
            <w:col w:w="11420"/>
          </w:cols>
          <w:pgMar w:left="240" w:top="140"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280" w:firstLine="630"/>
        <w:spacing w:after="0" w:line="286"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nine months ended September 30, 2012 are consistent with those discussed in Note 2 to the consolidated financial statements in our Annual Report on Form 10-K for the year ended December 31, 2011, except for the adoption of new accounting standards during the first nine months of 2012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47"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In January 2012, the Company adopted a new U.S. GAAP accounting standard which amended the guidance on the annual testing of goodwill for impairment. The amended guidance allows companies to assess qualitative factors to determine if it is more likely than not that goodwill might be impaired and whether it is necessary to perform the two-step goodwill impairment test required under U.S. GAAP. The Company’s adoption of this new standard did not have a material effect on its operating results or financial position.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January 2012, the Company adopted a new U.S. GAAP accounting standard which clarifies the application of certain existing fair value measurement guidance and expands the disclosures for fair value measurements that are estimated using significant unobservable (Level 3) inputs. The Company’s adoption of this standard did not have a material impact on its operating results or financial position.</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July 2012, the FASB issued amended guidance applicable to annual impairment tests of indefinite-lived intangible assets. The FASB added an optional qualitative assessment for determining whether an indefinite-lived intangible asset is impaired. Prior to this guidance, companies were required to perform an annual impairment test that included a calculation of the fair value of the asset and a comparison of that fair value with its carrying value. If the carrying value exceeded the fair value, an impairment was recorded. The amended guidance allows a company the option to perform a qualitative assessment, considering both negative and positive evidence, regarding the potential impairment of the indefinite-lived intangible asset. If, based on the qualitative analysis, the company determines that it is more likely than not that the fair value of such an asset exceeds its carrying value, the company would be permitted to conclude that the indefinite-lived intangible asset was not impaired without a quantitative calculation of the fair value of the asset. Otherwise, the company would perform the quantitative calculation of the fair value and the comparison with the carrying value. This amended guidance will be effective for annual impairment tests performed by the Company for fiscal years beginning on January 1,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120" w:type="dxa"/>
            <w:vAlign w:val="bottom"/>
            <w:gridSpan w:val="4"/>
          </w:tcPr>
          <w:p>
            <w:pPr>
              <w:ind w:left="4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5,351,999</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4,535,137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5,360,999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4,544,137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300" w:type="dxa"/>
            <w:vAlign w:val="bottom"/>
          </w:tcPr>
          <w:p>
            <w:pPr>
              <w:spacing w:after="0"/>
              <w:rPr>
                <w:sz w:val="14"/>
                <w:szCs w:val="14"/>
                <w:color w:val="auto"/>
              </w:rPr>
            </w:pPr>
          </w:p>
        </w:tc>
        <w:tc>
          <w:tcPr>
            <w:tcW w:w="13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15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 2012</w:t>
            </w: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45"/>
              <w:spacing w:after="0" w:line="142"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18,278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18,278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Marketable securities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54,428</w:t>
            </w:r>
          </w:p>
        </w:tc>
        <w:tc>
          <w:tcPr>
            <w:tcW w:w="3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54,428</w:t>
            </w: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72,706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300" w:type="dxa"/>
            <w:vAlign w:val="bottom"/>
          </w:tcPr>
          <w:p>
            <w:pPr>
              <w:spacing w:after="0"/>
              <w:rPr>
                <w:sz w:val="24"/>
                <w:szCs w:val="24"/>
                <w:color w:val="auto"/>
              </w:rPr>
            </w:pPr>
          </w:p>
        </w:tc>
        <w:tc>
          <w:tcPr>
            <w:tcW w:w="13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15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December 31, 2011</w:t>
            </w: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45"/>
              <w:spacing w:after="0" w:line="142"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11,038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Marketable securities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41,413</w:t>
            </w:r>
          </w:p>
        </w:tc>
        <w:tc>
          <w:tcPr>
            <w:tcW w:w="3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41,413</w:t>
            </w: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There have been no transfers of assets or liabilities between the fair value measurement classifications. The Company’s financial instruments consist mainly of cash and cash equivalents, marketable securities, short-term accounts receivable, accounts payable and debt obligations.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 Our Term Loan is valued based on level 2 inputs. Based on these calculations, the fair value approximates the carrying value of the Term Loan and note payable at September 30, 2012.</w:t>
      </w:r>
    </w:p>
    <w:p>
      <w:pPr>
        <w:sectPr>
          <w:pgSz w:w="11900" w:h="16838" w:orient="portrait"/>
          <w:cols w:equalWidth="0" w:num="1">
            <w:col w:w="11420"/>
          </w:cols>
          <w:pgMar w:left="240" w:top="121" w:right="239" w:bottom="0" w:gutter="0" w:footer="0" w:header="0"/>
        </w:sectPr>
      </w:pPr>
    </w:p>
    <w:bookmarkStart w:id="5" w:name="page6"/>
    <w:bookmarkEnd w:id="5"/>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marketable securities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2012</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12,338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17,297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29,635</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17,817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4"/>
              </w:rPr>
              <w:t>6,790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24,607</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3"/>
              </w:rPr>
              <w:t>54,242</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19,993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10,808</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30,801</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ind w:left="740"/>
              <w:spacing w:after="0"/>
              <w:rPr>
                <w:sz w:val="20"/>
                <w:szCs w:val="20"/>
                <w:color w:val="auto"/>
              </w:rPr>
            </w:pPr>
            <w:r>
              <w:rPr>
                <w:rFonts w:ascii="Arial" w:cs="Arial" w:eastAsia="Arial" w:hAnsi="Arial"/>
                <w:sz w:val="18"/>
                <w:szCs w:val="18"/>
                <w:color w:val="auto"/>
                <w:w w:val="84"/>
              </w:rPr>
              <w:t>5,817</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4"/>
              </w:rPr>
              <w:t>4,730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10,547</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3"/>
              </w:rPr>
              <w:t>41,348</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marketable securities held by the Company were high investment grade and there were no marketable securities that the Company considered to be other-than-temporarily impaired as of September 30,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4"/>
              </w:rPr>
              <w:t>September 30, 2012</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5"/>
              </w:rPr>
              <w:t>December 31, 2011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0"/>
                <w:szCs w:val="10"/>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80"/>
              <w:spacing w:after="0"/>
              <w:rPr>
                <w:sz w:val="20"/>
                <w:szCs w:val="20"/>
                <w:color w:val="auto"/>
              </w:rPr>
            </w:pPr>
            <w:r>
              <w:rPr>
                <w:rFonts w:ascii="Arial" w:cs="Arial" w:eastAsia="Arial" w:hAnsi="Arial"/>
                <w:sz w:val="18"/>
                <w:szCs w:val="18"/>
                <w:color w:val="auto"/>
              </w:rPr>
              <w:t>IPR&amp;D</w:t>
            </w:r>
          </w:p>
        </w:tc>
        <w:tc>
          <w:tcPr>
            <w:tcW w:w="1600" w:type="dxa"/>
            <w:vAlign w:val="bottom"/>
            <w:gridSpan w:val="2"/>
          </w:tcPr>
          <w:p>
            <w:pPr>
              <w:ind w:left="540"/>
              <w:spacing w:after="0"/>
              <w:rPr>
                <w:sz w:val="20"/>
                <w:szCs w:val="20"/>
                <w:color w:val="auto"/>
              </w:rPr>
            </w:pPr>
            <w:r>
              <w:rPr>
                <w:rFonts w:ascii="Arial" w:cs="Arial" w:eastAsia="Arial" w:hAnsi="Arial"/>
                <w:sz w:val="18"/>
                <w:szCs w:val="18"/>
                <w:color w:val="auto"/>
              </w:rPr>
              <w:t>Indefinite</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11,800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11,800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1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16 years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80"/>
              <w:spacing w:after="0"/>
              <w:rPr>
                <w:sz w:val="20"/>
                <w:szCs w:val="20"/>
                <w:color w:val="auto"/>
              </w:rPr>
            </w:pPr>
            <w:r>
              <w:rPr>
                <w:rFonts w:ascii="Arial" w:cs="Arial" w:eastAsia="Arial" w:hAnsi="Arial"/>
                <w:sz w:val="18"/>
                <w:szCs w:val="18"/>
                <w:color w:val="auto"/>
              </w:rPr>
              <w:t>Core Technology</w:t>
            </w:r>
          </w:p>
        </w:tc>
        <w:tc>
          <w:tcPr>
            <w:tcW w:w="1600" w:type="dxa"/>
            <w:vAlign w:val="bottom"/>
            <w:gridSpan w:val="2"/>
          </w:tcPr>
          <w:p>
            <w:pPr>
              <w:ind w:left="540"/>
              <w:spacing w:after="0"/>
              <w:rPr>
                <w:sz w:val="20"/>
                <w:szCs w:val="20"/>
                <w:color w:val="auto"/>
              </w:rPr>
            </w:pPr>
            <w:r>
              <w:rPr>
                <w:rFonts w:ascii="Arial" w:cs="Arial" w:eastAsia="Arial" w:hAnsi="Arial"/>
                <w:sz w:val="18"/>
                <w:szCs w:val="18"/>
                <w:color w:val="auto"/>
              </w:rPr>
              <w:t>11 years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(1,307)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600" w:type="dxa"/>
            <w:vAlign w:val="bottom"/>
            <w:gridSpan w:val="2"/>
            <w:vMerge w:val="restart"/>
          </w:tcPr>
          <w:p>
            <w:pPr>
              <w:ind w:left="540"/>
              <w:spacing w:after="0"/>
              <w:rPr>
                <w:sz w:val="20"/>
                <w:szCs w:val="20"/>
                <w:color w:val="auto"/>
              </w:rPr>
            </w:pPr>
            <w:r>
              <w:rPr>
                <w:rFonts w:ascii="Arial" w:cs="Arial" w:eastAsia="Arial" w:hAnsi="Arial"/>
                <w:sz w:val="18"/>
                <w:szCs w:val="18"/>
                <w:color w:val="auto"/>
              </w:rPr>
              <w:t>Indefinite</w:t>
            </w: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00" w:type="dxa"/>
            <w:vAlign w:val="bottom"/>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Term Loan</w:t>
      </w:r>
    </w:p>
    <w:p>
      <w:pPr>
        <w:spacing w:after="0" w:line="229" w:lineRule="exact"/>
        <w:rPr>
          <w:sz w:val="20"/>
          <w:szCs w:val="20"/>
          <w:color w:val="auto"/>
        </w:rPr>
      </w:pPr>
    </w:p>
    <w:p>
      <w:pPr>
        <w:jc w:val="both"/>
        <w:ind w:right="380" w:firstLine="648"/>
        <w:spacing w:after="0" w:line="285" w:lineRule="auto"/>
        <w:rPr>
          <w:sz w:val="20"/>
          <w:szCs w:val="20"/>
          <w:color w:val="auto"/>
        </w:rPr>
      </w:pPr>
      <w:r>
        <w:rPr>
          <w:rFonts w:ascii="Arial" w:cs="Arial" w:eastAsia="Arial" w:hAnsi="Arial"/>
          <w:sz w:val="16"/>
          <w:szCs w:val="16"/>
          <w:color w:val="auto"/>
        </w:rPr>
        <w:t>In December 2010, the Company entered into a Loan and Security Agreement (the “Loan Agreement”) with MidCap Financial, LLC (MidCap) pursuant to which the Company borrowed $10 million (the “Term Loan”) from MidCap. In March 2011, as the Company had anticipated, the Company amended the Loan Agreement and borrowed an additional $5 million from General Electric Capital Corporation (GECC) (collectively with MidCap, the “Lenders”) to increase the amount owed under the Term Loan to $15 million. No additional advances are available under the Loan Agreement. The Term Loan accrues interest at a fixed annual interest rate equal to the greater of (i) the sum of (A) the LIBOR Rate (as defined in the Loan Agreement) plus</w:t>
      </w:r>
    </w:p>
    <w:p>
      <w:pPr>
        <w:spacing w:after="0" w:line="2" w:lineRule="exact"/>
        <w:rPr>
          <w:sz w:val="20"/>
          <w:szCs w:val="20"/>
          <w:color w:val="auto"/>
        </w:rPr>
      </w:pPr>
    </w:p>
    <w:p>
      <w:pPr>
        <w:ind w:right="540" w:firstLine="8"/>
        <w:spacing w:after="0" w:line="277" w:lineRule="auto"/>
        <w:tabs>
          <w:tab w:leader="none" w:pos="285" w:val="left"/>
        </w:tabs>
        <w:numPr>
          <w:ilvl w:val="0"/>
          <w:numId w:val="3"/>
        </w:numPr>
        <w:rPr>
          <w:rFonts w:ascii="Arial" w:cs="Arial" w:eastAsia="Arial" w:hAnsi="Arial"/>
          <w:sz w:val="17"/>
          <w:szCs w:val="17"/>
          <w:color w:val="auto"/>
        </w:rPr>
      </w:pPr>
      <w:r>
        <w:rPr>
          <w:rFonts w:ascii="Arial" w:cs="Arial" w:eastAsia="Arial" w:hAnsi="Arial"/>
          <w:sz w:val="17"/>
          <w:szCs w:val="17"/>
          <w:color w:val="auto"/>
        </w:rPr>
        <w:t>6.25%; or (ii) a minimum rate of 9.50%. In September 2011, the Company exercised an option to extend the interest-only period by 6 months from October 1, 2011 to April 1, 2012. In March 2012, the Company amended the Loan Agreement to extend the maturity date from December 2013 to December 2014 in return for an upfront fee of $25,000 and an additional fee of $37,500 (the “Final Payment Fee”)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due upon repayment of the Term Loan in full. The Company is accreting the Final Payment Fee ratably over the amended term of the Term Loan to interest expense.</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Interest on the Term Loan is payable monthly and principal is due, as amended, in 34 equal consecutive monthly installments commencing on April 1, 2012. All unpaid principal and accrued interest with respect to the Term Loan is due and payable on the earlier of (A) December 30, 2014 or (B) the</w:t>
      </w:r>
    </w:p>
    <w:p>
      <w:pPr>
        <w:sectPr>
          <w:pgSz w:w="11900" w:h="16948" w:orient="portrait"/>
          <w:cols w:equalWidth="0" w:num="1">
            <w:col w:w="11420"/>
          </w:cols>
          <w:pgMar w:left="240" w:top="341" w:right="239" w:bottom="0" w:gutter="0" w:footer="0" w:header="0"/>
        </w:sectPr>
      </w:pPr>
    </w:p>
    <w:bookmarkStart w:id="6" w:name="page7"/>
    <w:bookmarkEnd w:id="6"/>
    <w:p>
      <w:pPr>
        <w:spacing w:after="0" w:line="6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date that the Term Loan otherwise becomes due and payable under the terms of the Loan Agreement. The Company may prepay all, but not less than all, of the Term Loan subject to a prepayment premium of 1% in year three and 2% in year two of the original principal amount of the Term Loan. There is no prepayment premium if the loan is paid off early in year four. The Company is also obligated to make a payment fee of $0.5 million (the “Payment Fee”) upon the earlier of (A) December 30, 2013 or (B) upon repayment of the Term Loan in full prior to December 30, 2013. The Company is accreting the Payment Fee ratably over the original term of the Term Loan to interest expense.</w:t>
      </w:r>
    </w:p>
    <w:p>
      <w:pPr>
        <w:spacing w:after="0" w:line="1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obligations of the Company under the Loan Agreement are secured by a first priority lien upon and security interest in substantially all of the Company’s existing and after-acquired assets, excluding its intellectual property assets. Under the Loan Agreement, the Company is subject to specified affirmative and negative covenants customary for financings of this type. The Loan Agreement provides that, upon the occurrence of certain specified events of default customary for financings of this type, the Company’s obligations under the Loan Agreement may be automatically accelerated, whereupon the Company’s obligations under the Loan Agreement shall be immediately due and payable. At September 30, 2012, the Company believes it is in compliance with the Loan Agreement.</w:t>
      </w:r>
    </w:p>
    <w:p>
      <w:pPr>
        <w:spacing w:after="0" w:line="193"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Interest expense on the Term Loan including the accretion of the Payment Fee and Final Payment Fee and amortization of the deferred financing costs was $0.4 million and $1.2 million for the three and nine months ended September 30, 2012 and $0.4 million and $1.2 million for the three and nine months ended September 30, 2011,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September 30, 2012</w:t>
            </w:r>
          </w:p>
        </w:tc>
        <w:tc>
          <w:tcPr>
            <w:tcW w:w="120" w:type="dxa"/>
            <w:vAlign w:val="bottom"/>
          </w:tcPr>
          <w:p>
            <w:pPr>
              <w:spacing w:after="0"/>
              <w:rPr>
                <w:sz w:val="14"/>
                <w:szCs w:val="14"/>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December 31, 2011</w:t>
            </w:r>
          </w:p>
        </w:tc>
      </w:tr>
      <w:tr>
        <w:trPr>
          <w:trHeight w:val="142"/>
        </w:trPr>
        <w:tc>
          <w:tcPr>
            <w:tcW w:w="56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140" w:type="dxa"/>
            <w:vAlign w:val="bottom"/>
            <w:tcBorders>
              <w:top w:val="single" w:sz="8" w:color="auto"/>
            </w:tcBorders>
            <w:gridSpan w:val="4"/>
          </w:tcPr>
          <w:p>
            <w:pPr>
              <w:jc w:val="right"/>
              <w:ind w:right="10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4,661</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Sale of Tax Benefits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Loan Payable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r>
      <w:tr>
        <w:trPr>
          <w:trHeight w:val="210"/>
        </w:trPr>
        <w:tc>
          <w:tcPr>
            <w:tcW w:w="5600" w:type="dxa"/>
            <w:vAlign w:val="bottom"/>
          </w:tcPr>
          <w:p>
            <w:pPr>
              <w:ind w:left="180"/>
              <w:spacing w:after="0"/>
              <w:rPr>
                <w:sz w:val="20"/>
                <w:szCs w:val="20"/>
                <w:color w:val="auto"/>
              </w:rPr>
            </w:pPr>
            <w:r>
              <w:rPr>
                <w:rFonts w:ascii="Arial" w:cs="Arial" w:eastAsia="Arial" w:hAnsi="Arial"/>
                <w:sz w:val="18"/>
                <w:szCs w:val="18"/>
                <w:color w:val="auto"/>
              </w:rPr>
              <w:t>Total</w:t>
            </w:r>
          </w:p>
        </w:tc>
        <w:tc>
          <w:tcPr>
            <w:tcW w:w="2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6,764</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Long-Term Portion</w:t>
            </w:r>
          </w:p>
        </w:tc>
        <w:tc>
          <w:tcPr>
            <w:tcW w:w="2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6,365</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In January 2012 and 2011, the Company received approval from the New Jersey Economic Development Authority and agreed to sell New Jersey tax benefits worth $0.8 million and $0.6 million to an independent third party for $0.7 million and $0.5 million, respectively. Under the agreement, the Company must maintain a base of operations in NJ for five years or the tax benefits must be paid back on a pro-rata basis based on the number of years completed. During the nine months ended September 30, 2012, the Company recorded $0.1 million to other income related to the sale of these tax benefits.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January 2011, the Company entered into a controlled equity offering sales agreement (the “Cantor Agreement”) with Cantor Fitzgerald &amp; Co. (“Cantor”) pursuant to which the Company could issue and sell up to 5,000,000 shares of its common stock from time to time through Cantor, acting as agent. During the year ended December 31, 2011, the Company issued 575,000 shares of common stock under the Cantor Agreement and raised $2.2 million in net proceeds, after deducting commission and offering expenses. In January 2012, the Company issued 2,450,000 shares of common stock under the Cantor Agreement and raised $8.5 million in net proceeds. During the three months ended September 30, 2012, the Company issued the remaining 1,975,000 shares available to be sold under the Cantor Agreement and raised $10.6 million in net proceeds.</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September 2012, the Company and Cantor amended the Cantor Agreement (the “Cantor Amendment”) to allow the Company to issue and sell additional shares of its common stock having an aggregate offering price of up to $44.0 million from time to time through Cantor, acting as agent. Under the Cantor Amendment, the Company will pay Cantor a fixed commission rate of 3.0% of the gross sales price per share of any common stock sold through Cantor, as agent. The Cantor Amendment terminates upon ten day notice by either Cantor or the Company. In September and October 2012, the Company issued 57,100 and 1,167,770 shares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under the Cantor Amendment and raised $0.3 million and $7.0 million in net proceeds, respectively. At October 30, 2012, the Company had $36.4 million remaining in aggregate offering price available under the Cantor Amendment.</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During February and March 2012, the Company issued a total of 12,075,000 shares of its common stock in an underwritten public offering, including the underwriter’s exercise of their full over-allotment option to purchase an additional 1,575,000 shares of common stock. The net proceeds to the Company were $43.4 million, after deducting underwriting fees and offering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At September 30, 2012, the 2008 Stock Option and Incentive Plan allowed for a maximum of 7,400,000 shares of common stock to be issued for grants of Stock Options and other Awards made prior to March 7, 2018 and grants of Incentive Stock Options made prior to October 20, 2017.</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nine months ended September 30, 2012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left="267"/>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86"/>
              </w:rPr>
              <w:t>Exercise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100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000" w:type="dxa"/>
            <w:vAlign w:val="bottom"/>
          </w:tcPr>
          <w:p>
            <w:pPr>
              <w:jc w:val="center"/>
              <w:ind w:left="267"/>
              <w:spacing w:after="0"/>
              <w:rPr>
                <w:sz w:val="20"/>
                <w:szCs w:val="20"/>
                <w:color w:val="auto"/>
              </w:rPr>
            </w:pPr>
            <w:r>
              <w:rPr>
                <w:rFonts w:ascii="Arial" w:cs="Arial" w:eastAsia="Arial" w:hAnsi="Arial"/>
                <w:sz w:val="14"/>
                <w:szCs w:val="14"/>
                <w:b w:val="1"/>
                <w:bCs w:val="1"/>
                <w:color w:val="auto"/>
                <w:w w:val="94"/>
              </w:rPr>
              <w:t>Per Share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4,459,034</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6.08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Granted</w:t>
            </w:r>
          </w:p>
        </w:tc>
        <w:tc>
          <w:tcPr>
            <w:tcW w:w="168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1,115,700</w:t>
            </w:r>
          </w:p>
        </w:tc>
        <w:tc>
          <w:tcPr>
            <w:tcW w:w="1000" w:type="dxa"/>
            <w:vAlign w:val="bottom"/>
            <w:tcBorders>
              <w:bottom w:val="single" w:sz="8" w:color="CCEEFF"/>
            </w:tcBorders>
          </w:tcPr>
          <w:p>
            <w:pPr>
              <w:jc w:val="right"/>
              <w:ind w:right="8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91"/>
              </w:rPr>
              <w:t>5.84</w:t>
            </w: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7" w:name="page8"/>
    <w:bookmarkEnd w:id="7"/>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(21,679)</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2.61</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Canceled</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(201,056)</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630"/>
              <w:spacing w:after="0"/>
              <w:rPr>
                <w:sz w:val="20"/>
                <w:szCs w:val="20"/>
                <w:color w:val="auto"/>
              </w:rPr>
            </w:pPr>
            <w:r>
              <w:rPr>
                <w:rFonts w:ascii="Arial" w:cs="Arial" w:eastAsia="Arial" w:hAnsi="Arial"/>
                <w:sz w:val="18"/>
                <w:szCs w:val="18"/>
                <w:color w:val="auto"/>
              </w:rPr>
              <w:t>8.22</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2012</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5,351,999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CCEEFF"/>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5.97</w:t>
            </w:r>
          </w:p>
        </w:tc>
        <w:tc>
          <w:tcPr>
            <w:tcW w:w="10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September 30, 2012</w:t>
            </w: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vMerge w:val="restart"/>
          </w:tcPr>
          <w:p>
            <w:pPr>
              <w:jc w:val="right"/>
              <w:ind w:right="39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630"/>
              <w:spacing w:after="0"/>
              <w:rPr>
                <w:sz w:val="20"/>
                <w:szCs w:val="20"/>
                <w:color w:val="auto"/>
              </w:rPr>
            </w:pPr>
            <w:r>
              <w:rPr>
                <w:rFonts w:ascii="Arial" w:cs="Arial" w:eastAsia="Arial" w:hAnsi="Arial"/>
                <w:sz w:val="18"/>
                <w:szCs w:val="18"/>
                <w:color w:val="auto"/>
              </w:rPr>
              <w:t>5.98</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5,273,241</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September 30, 2012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3,190,776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6.77</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380" w:type="dxa"/>
            <w:vAlign w:val="bottom"/>
          </w:tcPr>
          <w:p>
            <w:pPr>
              <w:jc w:val="right"/>
              <w:spacing w:after="0"/>
              <w:rPr>
                <w:sz w:val="20"/>
                <w:szCs w:val="20"/>
                <w:color w:val="auto"/>
              </w:rPr>
            </w:pPr>
            <w:r>
              <w:rPr>
                <w:rFonts w:ascii="Arial" w:cs="Arial" w:eastAsia="Arial" w:hAnsi="Arial"/>
                <w:sz w:val="18"/>
                <w:szCs w:val="18"/>
                <w:color w:val="auto"/>
              </w:rPr>
              <w:t>3,380,865</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nine months ended September 30, 2012 was $3.67. Stock-based compensation expense for the three and nine months ended September 30, 2012 and 2011 was recorded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330</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195</w:t>
            </w:r>
          </w:p>
        </w:tc>
        <w:tc>
          <w:tcPr>
            <w:tcW w:w="10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604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525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values of employee stock options granted during the three and nine months ended September 30, 2012 and 2011 were valued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with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2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 September 30,</w:t>
            </w:r>
          </w:p>
        </w:tc>
        <w:tc>
          <w:tcPr>
            <w:tcW w:w="31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70 - 71%</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68 - 70%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option term</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1.2 - 1.3%</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1.9 - 2.5%</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0.9 - 1.4%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1.9 - 2.9%</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Massachusetts, New Jersey and Connecticut are the three states in which the Company primarily operates or has operated and has income tax nexus.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under examination by any jurisdictions for any tax year.</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September 30, 2012 and December 31, 2011 against the Company’s net deferred tax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raise sufficient capital to fund our clinical studies to meet our long-term liquidity needs, on terms acceptable to us, or at all;</w:t>
      </w:r>
    </w:p>
    <w:p>
      <w:pPr>
        <w:spacing w:after="0" w:line="236" w:lineRule="exact"/>
        <w:rPr>
          <w:rFonts w:ascii="Arial" w:cs="Arial" w:eastAsia="Arial" w:hAnsi="Arial"/>
          <w:sz w:val="17"/>
          <w:szCs w:val="17"/>
          <w:color w:val="auto"/>
        </w:rPr>
      </w:pPr>
    </w:p>
    <w:p>
      <w:pPr>
        <w:ind w:left="980" w:right="140" w:hanging="324"/>
        <w:spacing w:after="0" w:line="342"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complete research and further development, including animal, preclinical and clinical studies, and commercialization of rindopepimut, CDX-011, CDX-1127, and other drug candidates and the growth of the markets for those drug candidates;</w:t>
      </w:r>
    </w:p>
    <w:p>
      <w:pPr>
        <w:spacing w:after="0" w:line="123" w:lineRule="exact"/>
        <w:rPr>
          <w:rFonts w:ascii="Arial" w:cs="Arial" w:eastAsia="Arial" w:hAnsi="Arial"/>
          <w:sz w:val="16"/>
          <w:szCs w:val="16"/>
          <w:color w:val="auto"/>
        </w:rPr>
      </w:pPr>
    </w:p>
    <w:p>
      <w:pPr>
        <w:ind w:left="980" w:right="28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 including our Phase 3 trial for rindopepimut;</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rindopepimut, CDX-011, CDX-1127 and other preclinical and clinical testing;</w:t>
      </w:r>
    </w:p>
    <w:p>
      <w:pPr>
        <w:spacing w:after="0" w:line="170" w:lineRule="exact"/>
        <w:rPr>
          <w:rFonts w:ascii="Arial" w:cs="Arial" w:eastAsia="Arial" w:hAnsi="Arial"/>
          <w:sz w:val="18"/>
          <w:szCs w:val="18"/>
          <w:color w:val="auto"/>
        </w:rPr>
      </w:pPr>
    </w:p>
    <w:p>
      <w:pPr>
        <w:ind w:left="980" w:right="30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fund and complete the development and commercialization of rindopepimut for North America internally and to find a strategic partner to commercialize rindopepimut outside of North America;</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negotiate strategic partnerships, where appropriate, for our lead programs, including CDX-011 and CDX-1127, as well as for our non-core programs;</w:t>
      </w:r>
    </w:p>
    <w:p>
      <w:pPr>
        <w:spacing w:after="0" w:line="170" w:lineRule="exact"/>
        <w:rPr>
          <w:rFonts w:ascii="Arial" w:cs="Arial" w:eastAsia="Arial" w:hAnsi="Arial"/>
          <w:sz w:val="18"/>
          <w:szCs w:val="18"/>
          <w:color w:val="auto"/>
        </w:rPr>
      </w:pPr>
    </w:p>
    <w:p>
      <w:pPr>
        <w:ind w:left="980" w:right="380" w:hanging="324"/>
        <w:spacing w:after="0" w:line="216"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strategies and business plans of our partners, such as GlaxoSmithKline’s plans with respect to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Vaccine Technologies’ plans concerning the CholeraGarde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(Peru-15) and ETEC E. coli vaccines, which are not within our control, and our ability to maintain strong, mutually beneficial relationships with these partners;</w:t>
      </w:r>
    </w:p>
    <w:p>
      <w:pPr>
        <w:sectPr>
          <w:pgSz w:w="11900" w:h="16870" w:orient="portrait"/>
          <w:cols w:equalWidth="0" w:num="1">
            <w:col w:w="11420"/>
          </w:cols>
          <w:pgMar w:left="240" w:top="140" w:right="239" w:bottom="0" w:gutter="0" w:footer="0" w:header="0"/>
        </w:sectPr>
      </w:pPr>
    </w:p>
    <w:bookmarkStart w:id="8" w:name="page9"/>
    <w:bookmarkEnd w:id="8"/>
    <w:p>
      <w:pPr>
        <w:ind w:left="980" w:right="28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adapt our proprietary antibody-targeted vaccine technology, or APC Targeting Technology™, to develop new, safe and effective vaccines against oncology and infectious disease indications;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vaccines;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and partners;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6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2011 and other reports that we file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are a biopharmaceutical company focused on the development and commercialization of several immunotherapy technologies for the treatment of cancer and other difficult-to-treat diseases. Our lead drug candidates include rindopepimut (CDX-110), an immunotherapeutic vaccine in a pivotal Phase 3 study for the treatment of front-line glioblastoma and a Phase 2 study for the treatment of recurrent glioblastoma, CDX-011, an antibody-drug conjugate which recently completed a randomized Phase 2b study for the treatment of advanced breast cancer and CDX-1127, a therapeutic human antibody in a Phase 1 study for cancer indications. We have additional clinical and preclinical programs, including CDX-1401, an APC Targeting Technology™ program, CDX-301, an immune cell mobilizing agent and dendritic cell growth factor and CDX-1135, a molecule that inhibits a part of the immune system called the complement system. Our drug candidates address market opportunities for which we believe current therapies are inadequate or non-existent.</w:t>
      </w:r>
    </w:p>
    <w:p>
      <w:pPr>
        <w:spacing w:after="0" w:line="16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Generally our strategy is to develop and demonstrate proof-of-concept for our drug candidates before leveraging their value through partnerships or, in appropriate situations, continuing late stage development through commercialization ourselves. Demonstrating proof-of-concept for a drug candidate generally involves bringing it through Phase 1 clinical trials and one or more Phase 2 clinical trials so that we are able to demonstrate, based on human trials, good safety data for the drug candidate and some data indicating its effectiveness.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 Our current collaborations include the commercialization of an oral human rotavirus vaccine. We are exploring potential development and commercialization collaborations for certain drug candidates such as CDX-011 and CDX-1127. Furthermore, while we plan to retain the rights to develop and commercialize rindopepimut in North America, we are exploring potential partnership opportunities to commercialize rindopepimut outside of North America.</w:t>
      </w:r>
    </w:p>
    <w:p>
      <w:pPr>
        <w:spacing w:after="0" w:line="18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products are derived from a broad set of complementary technologies which have the ability to utilize the human immune system and enable the creation of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 A number of our immunotherapeutic and antibody-drug conjugate drug candidates are in various stages of clinical trials. We expect that a large percentage of our research and development expenses will be incurred in support of our current and future clinical trial programs.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the programs that we currently believe are significant to our business: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Product (generic)</w:t>
            </w:r>
          </w:p>
        </w:tc>
        <w:tc>
          <w:tcPr>
            <w:tcW w:w="240" w:type="dxa"/>
            <w:vAlign w:val="bottom"/>
          </w:tcPr>
          <w:p>
            <w:pPr>
              <w:spacing w:after="0"/>
              <w:rPr>
                <w:sz w:val="14"/>
                <w:szCs w:val="14"/>
                <w:color w:val="auto"/>
              </w:rPr>
            </w:pPr>
          </w:p>
        </w:tc>
        <w:tc>
          <w:tcPr>
            <w:tcW w:w="4060" w:type="dxa"/>
            <w:vAlign w:val="bottom"/>
          </w:tcPr>
          <w:p>
            <w:pPr>
              <w:ind w:left="1540"/>
              <w:spacing w:after="0"/>
              <w:rPr>
                <w:sz w:val="20"/>
                <w:szCs w:val="20"/>
                <w:color w:val="auto"/>
              </w:rPr>
            </w:pPr>
            <w:r>
              <w:rPr>
                <w:rFonts w:ascii="Arial" w:cs="Arial" w:eastAsia="Arial" w:hAnsi="Arial"/>
                <w:sz w:val="14"/>
                <w:szCs w:val="14"/>
                <w:b w:val="1"/>
                <w:bCs w:val="1"/>
                <w:color w:val="auto"/>
              </w:rPr>
              <w:t>Indication/Field</w:t>
            </w:r>
          </w:p>
        </w:tc>
        <w:tc>
          <w:tcPr>
            <w:tcW w:w="260" w:type="dxa"/>
            <w:vAlign w:val="bottom"/>
          </w:tcPr>
          <w:p>
            <w:pPr>
              <w:spacing w:after="0"/>
              <w:rPr>
                <w:sz w:val="14"/>
                <w:szCs w:val="14"/>
                <w:color w:val="auto"/>
              </w:rPr>
            </w:pPr>
          </w:p>
        </w:tc>
        <w:tc>
          <w:tcPr>
            <w:tcW w:w="2080" w:type="dxa"/>
            <w:vAlign w:val="bottom"/>
            <w:gridSpan w:val="2"/>
          </w:tcPr>
          <w:p>
            <w:pPr>
              <w:ind w:left="680"/>
              <w:spacing w:after="0"/>
              <w:rPr>
                <w:sz w:val="20"/>
                <w:szCs w:val="20"/>
                <w:color w:val="auto"/>
              </w:rPr>
            </w:pPr>
            <w:r>
              <w:rPr>
                <w:rFonts w:ascii="Arial" w:cs="Arial" w:eastAsia="Arial" w:hAnsi="Arial"/>
                <w:sz w:val="14"/>
                <w:szCs w:val="14"/>
                <w:b w:val="1"/>
                <w:bCs w:val="1"/>
                <w:color w:val="auto"/>
              </w:rPr>
              <w:t>Partner</w:t>
            </w:r>
          </w:p>
        </w:tc>
        <w:tc>
          <w:tcPr>
            <w:tcW w:w="1260" w:type="dxa"/>
            <w:vAlign w:val="bottom"/>
          </w:tcPr>
          <w:p>
            <w:pPr>
              <w:ind w:left="440"/>
              <w:spacing w:after="0"/>
              <w:rPr>
                <w:sz w:val="20"/>
                <w:szCs w:val="20"/>
                <w:color w:val="auto"/>
              </w:rPr>
            </w:pPr>
            <w:r>
              <w:rPr>
                <w:rFonts w:ascii="Arial" w:cs="Arial" w:eastAsia="Arial" w:hAnsi="Arial"/>
                <w:sz w:val="14"/>
                <w:szCs w:val="14"/>
                <w:b w:val="1"/>
                <w:bCs w:val="1"/>
                <w:color w:val="auto"/>
              </w:rPr>
              <w:t>Status</w:t>
            </w:r>
          </w:p>
        </w:tc>
      </w:tr>
      <w:tr>
        <w:trPr>
          <w:trHeight w:val="210"/>
        </w:trPr>
        <w:tc>
          <w:tcPr>
            <w:tcW w:w="3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240" w:type="dxa"/>
            <w:vAlign w:val="bottom"/>
            <w:tcBorders>
              <w:top w:val="single" w:sz="8" w:color="CCEEFF"/>
            </w:tcBorders>
            <w:shd w:val="clear" w:color="auto" w:fill="CCEEFF"/>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16"/>
        </w:trPr>
        <w:tc>
          <w:tcPr>
            <w:tcW w:w="920" w:type="dxa"/>
            <w:vAlign w:val="bottom"/>
          </w:tcPr>
          <w:p>
            <w:pPr>
              <w:ind w:left="180"/>
              <w:spacing w:after="0"/>
              <w:rPr>
                <w:sz w:val="20"/>
                <w:szCs w:val="20"/>
                <w:color w:val="auto"/>
              </w:rPr>
            </w:pPr>
            <w:r>
              <w:rPr>
                <w:rFonts w:ascii="Arial" w:cs="Arial" w:eastAsia="Arial" w:hAnsi="Arial"/>
                <w:sz w:val="18"/>
                <w:szCs w:val="18"/>
                <w:color w:val="auto"/>
                <w:w w:val="97"/>
              </w:rPr>
              <w:t>CDX-110</w:t>
            </w:r>
          </w:p>
        </w:tc>
        <w:tc>
          <w:tcPr>
            <w:tcW w:w="2600" w:type="dxa"/>
            <w:vAlign w:val="bottom"/>
          </w:tcPr>
          <w:p>
            <w:pPr>
              <w:ind w:left="20"/>
              <w:spacing w:after="0"/>
              <w:rPr>
                <w:sz w:val="20"/>
                <w:szCs w:val="20"/>
                <w:color w:val="auto"/>
              </w:rPr>
            </w:pPr>
            <w:r>
              <w:rPr>
                <w:rFonts w:ascii="Arial" w:cs="Arial" w:eastAsia="Arial" w:hAnsi="Arial"/>
                <w:sz w:val="18"/>
                <w:szCs w:val="18"/>
                <w:color w:val="auto"/>
              </w:rPr>
              <w:t>(rindopepimut)</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Front-line glioblastoma</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Phase 3</w:t>
            </w:r>
          </w:p>
        </w:tc>
      </w:tr>
      <w:tr>
        <w:trPr>
          <w:trHeight w:val="216"/>
        </w:trPr>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CDX-110</w:t>
            </w: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(rindopepimut)</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Recurrent glioblastoma</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Phase 2</w:t>
            </w:r>
          </w:p>
        </w:tc>
      </w:tr>
      <w:tr>
        <w:trPr>
          <w:trHeight w:val="216"/>
        </w:trPr>
        <w:tc>
          <w:tcPr>
            <w:tcW w:w="920" w:type="dxa"/>
            <w:vAlign w:val="bottom"/>
          </w:tcPr>
          <w:p>
            <w:pPr>
              <w:ind w:left="180"/>
              <w:spacing w:after="0"/>
              <w:rPr>
                <w:sz w:val="20"/>
                <w:szCs w:val="20"/>
                <w:color w:val="auto"/>
              </w:rPr>
            </w:pPr>
            <w:r>
              <w:rPr>
                <w:rFonts w:ascii="Arial" w:cs="Arial" w:eastAsia="Arial" w:hAnsi="Arial"/>
                <w:sz w:val="18"/>
                <w:szCs w:val="18"/>
                <w:color w:val="auto"/>
                <w:w w:val="97"/>
              </w:rPr>
              <w:t>CDX-011</w:t>
            </w:r>
          </w:p>
        </w:tc>
        <w:tc>
          <w:tcPr>
            <w:tcW w:w="2600" w:type="dxa"/>
            <w:vAlign w:val="bottom"/>
          </w:tcPr>
          <w:p>
            <w:pPr>
              <w:ind w:left="20"/>
              <w:spacing w:after="0"/>
              <w:rPr>
                <w:sz w:val="20"/>
                <w:szCs w:val="20"/>
                <w:color w:val="auto"/>
              </w:rPr>
            </w:pPr>
            <w:r>
              <w:rPr>
                <w:rFonts w:ascii="Arial" w:cs="Arial" w:eastAsia="Arial" w:hAnsi="Arial"/>
                <w:sz w:val="18"/>
                <w:szCs w:val="18"/>
                <w:color w:val="auto"/>
              </w:rPr>
              <w:t>(glembatumumab vedotin)</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Metastatic breast cancer and melanoma</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Phase 2b</w:t>
            </w:r>
          </w:p>
        </w:tc>
      </w:tr>
      <w:tr>
        <w:trPr>
          <w:trHeight w:val="216"/>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CDX-1127</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Lymphoma/leukemia and solid tumors</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Phase 1</w:t>
            </w:r>
          </w:p>
        </w:tc>
      </w:tr>
      <w:tr>
        <w:trPr>
          <w:trHeight w:val="216"/>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CDX-1401</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Multiple solid tumors</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Phase 1</w:t>
            </w:r>
          </w:p>
        </w:tc>
      </w:tr>
      <w:tr>
        <w:trPr>
          <w:trHeight w:val="216"/>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Cancer, autoimmune disease and transplant</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Phase 1</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PRECLINICAL</w:t>
            </w: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CDX-1135</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Renal disease</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Preclinical</w:t>
            </w:r>
          </w:p>
        </w:tc>
      </w:tr>
      <w:tr>
        <w:trPr>
          <w:trHeight w:val="216"/>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CDX-014</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Ovarian and renal cancer</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Preclinical</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MARKETED PRODUCTS</w:t>
            </w:r>
          </w:p>
        </w:tc>
        <w:tc>
          <w:tcPr>
            <w:tcW w:w="2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305"/>
        </w:trPr>
        <w:tc>
          <w:tcPr>
            <w:tcW w:w="920" w:type="dxa"/>
            <w:vAlign w:val="bottom"/>
          </w:tcPr>
          <w:p>
            <w:pPr>
              <w:ind w:left="180"/>
              <w:spacing w:after="0"/>
              <w:rPr>
                <w:sz w:val="20"/>
                <w:szCs w:val="20"/>
                <w:color w:val="auto"/>
              </w:rPr>
            </w:pPr>
            <w:r>
              <w:rPr>
                <w:rFonts w:ascii="Arial" w:cs="Arial" w:eastAsia="Arial" w:hAnsi="Arial"/>
                <w:sz w:val="18"/>
                <w:szCs w:val="18"/>
                <w:color w:val="auto"/>
              </w:rPr>
              <w:t>Rotarix</w:t>
            </w:r>
            <w:r>
              <w:rPr>
                <w:rFonts w:ascii="Arial" w:cs="Arial" w:eastAsia="Arial" w:hAnsi="Arial"/>
                <w:sz w:val="23"/>
                <w:szCs w:val="23"/>
                <w:color w:val="auto"/>
                <w:vertAlign w:val="superscript"/>
              </w:rPr>
              <w:t>®</w:t>
            </w:r>
          </w:p>
        </w:tc>
        <w:tc>
          <w:tcPr>
            <w:tcW w:w="2600" w:type="dxa"/>
            <w:vAlign w:val="bottom"/>
          </w:tcPr>
          <w:p>
            <w:pPr>
              <w:spacing w:after="0"/>
              <w:rPr>
                <w:sz w:val="24"/>
                <w:szCs w:val="24"/>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Rotavirus infection</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GlaxoSmithKline</w:t>
            </w:r>
          </w:p>
        </w:tc>
        <w:tc>
          <w:tcPr>
            <w:tcW w:w="1260" w:type="dxa"/>
            <w:vAlign w:val="bottom"/>
          </w:tcPr>
          <w:p>
            <w:pPr>
              <w:spacing w:after="0"/>
              <w:rPr>
                <w:sz w:val="20"/>
                <w:szCs w:val="20"/>
                <w:color w:val="auto"/>
              </w:rPr>
            </w:pPr>
            <w:r>
              <w:rPr>
                <w:rFonts w:ascii="Arial" w:cs="Arial" w:eastAsia="Arial" w:hAnsi="Arial"/>
                <w:sz w:val="18"/>
                <w:szCs w:val="18"/>
                <w:color w:val="auto"/>
              </w:rPr>
              <w:t>Marketed</w:t>
            </w:r>
          </w:p>
        </w:tc>
      </w:tr>
    </w:tbl>
    <w:p>
      <w:pPr>
        <w:sectPr>
          <w:pgSz w:w="11900" w:h="16838" w:orient="portrait"/>
          <w:cols w:equalWidth="0" w:num="1">
            <w:col w:w="11420"/>
          </w:cols>
          <w:pgMar w:left="240" w:top="341" w:right="239" w:bottom="42" w:gutter="0" w:footer="0" w:header="0"/>
        </w:sectPr>
      </w:pPr>
    </w:p>
    <w:bookmarkStart w:id="9" w:name="page10"/>
    <w:bookmarkEnd w:id="9"/>
    <w:p>
      <w:pPr>
        <w:spacing w:after="0" w:line="6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 candidate. Our estimates that clinical trials of the type we generally conduct are typically completed over the following timelines: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60" w:type="dxa"/>
            <w:vAlign w:val="bottom"/>
          </w:tcPr>
          <w:p>
            <w:pPr>
              <w:jc w:val="right"/>
              <w:ind w:right="333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57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4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5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3120" w:type="dxa"/>
            <w:vAlign w:val="bottom"/>
            <w:gridSpan w:val="2"/>
            <w:vMerge w:val="continue"/>
          </w:tcPr>
          <w:p>
            <w:pPr>
              <w:spacing w:after="0"/>
              <w:rPr>
                <w:sz w:val="14"/>
                <w:szCs w:val="14"/>
                <w:color w:val="auto"/>
              </w:rPr>
            </w:pPr>
          </w:p>
        </w:tc>
        <w:tc>
          <w:tcPr>
            <w:tcW w:w="5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Phase 1</w:t>
            </w:r>
          </w:p>
        </w:tc>
        <w:tc>
          <w:tcPr>
            <w:tcW w:w="5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1 - 5 Years</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5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1 - 5 Years</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-1227455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-1227455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or vaccine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biologics and vaccines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we are unable to estimate the duration and completion costs of our research and development projects or when, if ever, and to what extent it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During the past five years through December 31, 2011, we incurred an aggregate of $118.8 million in research and development expenses. The following table indicates the amount incurred for each of our significant research programs and for other identified research and development activities during the nine months ended September 30, 2012 and 2011. The amounts disclosed in the following table reflect direct research and development costs, license fees associated with the underlying technology and an allocation of indirect research and development costs to each program.</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580" w:type="dxa"/>
            <w:vAlign w:val="bottom"/>
            <w:tcBorders>
              <w:bottom w:val="single" w:sz="8" w:color="auto"/>
            </w:tcBorders>
            <w:gridSpan w:val="3"/>
          </w:tcPr>
          <w:p>
            <w:pPr>
              <w:jc w:val="center"/>
              <w:ind w:left="348"/>
              <w:spacing w:after="0"/>
              <w:rPr>
                <w:sz w:val="20"/>
                <w:szCs w:val="20"/>
                <w:color w:val="auto"/>
              </w:rPr>
            </w:pPr>
            <w:r>
              <w:rPr>
                <w:rFonts w:ascii="Arial" w:cs="Arial" w:eastAsia="Arial" w:hAnsi="Arial"/>
                <w:sz w:val="14"/>
                <w:szCs w:val="14"/>
                <w:b w:val="1"/>
                <w:bCs w:val="1"/>
                <w:color w:val="auto"/>
                <w:w w:val="93"/>
              </w:rPr>
              <w:t>Nine Months Ended September 30,</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40" w:type="dxa"/>
            <w:vAlign w:val="bottom"/>
            <w:gridSpan w:val="2"/>
          </w:tcPr>
          <w:p>
            <w:pPr>
              <w:jc w:val="center"/>
              <w:ind w:right="33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Rindopepimut</w:t>
            </w:r>
          </w:p>
        </w:tc>
        <w:tc>
          <w:tcPr>
            <w:tcW w:w="36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0"/>
              </w:rPr>
              <w:t>17,396</w:t>
            </w:r>
          </w:p>
        </w:tc>
        <w:tc>
          <w:tcPr>
            <w:tcW w:w="10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4,249</w:t>
            </w: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CDX-011</w:t>
            </w:r>
          </w:p>
        </w:tc>
        <w:tc>
          <w:tcPr>
            <w:tcW w:w="2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3,437</w:t>
            </w:r>
          </w:p>
        </w:tc>
        <w:tc>
          <w:tcPr>
            <w:tcW w:w="10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3,593</w:t>
            </w: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CDX-1127</w:t>
            </w:r>
          </w:p>
        </w:tc>
        <w:tc>
          <w:tcPr>
            <w:tcW w:w="2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3,043</w:t>
            </w: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4,800</w:t>
            </w: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CDX-1401</w:t>
            </w:r>
          </w:p>
        </w:tc>
        <w:tc>
          <w:tcPr>
            <w:tcW w:w="2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827</w:t>
            </w:r>
          </w:p>
        </w:tc>
        <w:tc>
          <w:tcPr>
            <w:tcW w:w="10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1,888</w:t>
            </w:r>
          </w:p>
        </w:tc>
      </w:tr>
      <w:tr>
        <w:trPr>
          <w:trHeight w:val="151"/>
        </w:trPr>
        <w:tc>
          <w:tcPr>
            <w:tcW w:w="3980" w:type="dxa"/>
            <w:vAlign w:val="bottom"/>
            <w:shd w:val="clear" w:color="auto" w:fill="CCEEFF"/>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bl>
    <w:p>
      <w:pPr>
        <w:sectPr>
          <w:pgSz w:w="11900" w:h="16900" w:orient="portrait"/>
          <w:cols w:equalWidth="0" w:num="1">
            <w:col w:w="11460"/>
          </w:cols>
          <w:pgMar w:left="240" w:top="125" w:right="199" w:bottom="0" w:gutter="0" w:footer="0" w:header="0"/>
        </w:sectPr>
      </w:pPr>
    </w:p>
    <w:bookmarkStart w:id="10" w:name="page11"/>
    <w:bookmarkEnd w:id="10"/>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1,143</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w:t>
            </w: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CDX-1135</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6,321</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3,553</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CDX-014</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871</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3,329</w:t>
            </w:r>
          </w:p>
        </w:tc>
      </w:tr>
      <w:tr>
        <w:trPr>
          <w:trHeight w:val="210"/>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 (CDX-110)</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lead clinical development program, rindopepimut, is an immunotherapeutic vaccine that targets the tumor-specific molecule, epidermal growth factor receptor variant III, or EGFRvIII. EGFRvIII is a mutated form of the epidermal growth factor receptor, or EGFR, that is only expressed in cancer cells and not in normal tissue and can directly contribute to cancer cell growth. EGFRvIII has been shown by polymerase chain reaction analysis to be expressed in approximately 31% of glioblastoma, or GB, tumors, also referred to as glioblastoma multiforme, or GBM, the most common and aggressive form of brain cancer. The rindopepimut vaccine is composed of the EGFRvIII peptide linked to a carrier protein called Keyhole Limpet Hemocyanin, or KLH, and administered together with the adjuvant GM-CSF. The Food and Drug Administration, or FDA, and the European Medicines Agency, or EMA, have both granted orphan drug designation for rindopepimut for the treatment of EGFRvIII expressing GB and the FDA has also granted Fast Track designation.</w:t>
      </w:r>
    </w:p>
    <w:p>
      <w:pPr>
        <w:spacing w:after="0" w:line="167" w:lineRule="exact"/>
        <w:rPr>
          <w:sz w:val="20"/>
          <w:szCs w:val="20"/>
          <w:color w:val="auto"/>
        </w:rPr>
      </w:pPr>
    </w:p>
    <w:p>
      <w:pPr>
        <w:jc w:val="both"/>
        <w:ind w:right="520" w:firstLine="648"/>
        <w:spacing w:after="0" w:line="302" w:lineRule="auto"/>
        <w:rPr>
          <w:sz w:val="20"/>
          <w:szCs w:val="20"/>
          <w:color w:val="auto"/>
        </w:rPr>
      </w:pPr>
      <w:r>
        <w:rPr>
          <w:rFonts w:ascii="Arial" w:cs="Arial" w:eastAsia="Arial" w:hAnsi="Arial"/>
          <w:sz w:val="16"/>
          <w:szCs w:val="16"/>
          <w:color w:val="auto"/>
        </w:rPr>
        <w:t>In April 2008, we and Pfizer Inc. entered into a License and Development Agreement under which Pfizer was granted an exclusive worldwide license to rindopepimut. This agreement provided for reimbursement by Pfizer of all costs incurred by us in connection with the collaboration since the effective date. In November 2010, the agreement was terminated and all rights to rindopepimut were returned to us. Pfizer did not provide a reason for termination. Since the termination of this agreement, Pfizer is no longer funding the development of rindopepimut.</w:t>
      </w:r>
    </w:p>
    <w:p>
      <w:pPr>
        <w:spacing w:after="0" w:line="15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Phase 2a study of rindopepimut referred to as ACTIVATE was led by collaborating investigators at the Brain Center at Duke Comprehensive Cancer Center in Durham, North Carolina and at M.D. Anderson Cancer Center in Houston, Texas and enrolled 18 evaluable GB patients. An extension of the Phase 2a study referred to as ACT II evaluated 22 additional GB patients treated in combination with the current standard of care, maintenance temozolomide, or TMZ, at the same two institutions.</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initiated ACT III, a Phase 2b/3 randomized study of rindopepimut combined with standard of care, TMZ, versus standard of care alone in patients with GB in over 30 sites throughout the United States. In December 2008, we announced an amendment to convert the ACT III study to a single-arm Phase 2 clinical trial in which all patients were to receive rindopepimut in combination with TMZ.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in the control arm of the study were offered the option to receive treatment with rindopepimut. Under this amendment, the ACT III study provided for a multi-center, non-randomized dataset for rindopepimut in patients with newly diagnosed GB.</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November 2010, we announced complete data for the primary endpoint of the 65 patients enrolled to receive rindopepimut in combination with maintenance TMZ in the ACT III study. The data showed that 43 of 65 patients (66%) were progression-free at 5.5 months after entry into the study. Taking into account the 3 to 3.5 months required to complete pre-study chemoradiation and enter into the study, the 5.5 month time point in ACT III corresponds to approximately 8.5 months after diagnosis. The ACTIVATE and ACT II trials, which were conducted in two leading centers, reported progression-free rates at 8.5 months after diagnosis of 70% and 80%, respectively, and similar results were seen in the ACT III trial, which enrolled patients in over 25 centers in the United States.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summarizes the progression free survival, or PFS, and overall survival, or OS, rates from clinical trials of rindopepimut as compared to matched historical controls and the standard of care, or SOC.</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Median PFS from</w:t>
            </w:r>
          </w:p>
        </w:tc>
        <w:tc>
          <w:tcPr>
            <w:tcW w:w="1980" w:type="dxa"/>
            <w:vAlign w:val="bottom"/>
            <w:gridSpan w:val="2"/>
          </w:tcPr>
          <w:p>
            <w:pPr>
              <w:ind w:left="320"/>
              <w:spacing w:after="0"/>
              <w:rPr>
                <w:sz w:val="20"/>
                <w:szCs w:val="20"/>
                <w:color w:val="auto"/>
              </w:rPr>
            </w:pPr>
            <w:r>
              <w:rPr>
                <w:rFonts w:ascii="Arial" w:cs="Arial" w:eastAsia="Arial" w:hAnsi="Arial"/>
                <w:sz w:val="14"/>
                <w:szCs w:val="14"/>
                <w:b w:val="1"/>
                <w:bCs w:val="1"/>
                <w:color w:val="auto"/>
              </w:rPr>
              <w:t>Median OS from</w:t>
            </w:r>
          </w:p>
        </w:tc>
        <w:tc>
          <w:tcPr>
            <w:tcW w:w="17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OS at 24 months</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diagnosis (months)</w:t>
            </w:r>
          </w:p>
        </w:tc>
        <w:tc>
          <w:tcPr>
            <w:tcW w:w="3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diagnosis (months)</w:t>
            </w:r>
          </w:p>
        </w:tc>
        <w:tc>
          <w:tcPr>
            <w:tcW w:w="2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ACT III (n=65)</w:t>
            </w: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ACT II (n=22)</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15.3</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24.4</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ACTIVATE (n=18)</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Matched historical control (n=17)(2)</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15.2</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Standard of care radiation/TMZ (n=287)(3)</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205740</wp:posOffset>
            </wp:positionV>
            <wp:extent cx="17240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 in median PFS not statistically significant from ACTIVATE and ACT II.</w:t>
      </w:r>
    </w:p>
    <w:p>
      <w:pPr>
        <w:spacing w:after="0" w:line="225" w:lineRule="exact"/>
        <w:rPr>
          <w:rFonts w:ascii="Arial" w:cs="Arial" w:eastAsia="Arial" w:hAnsi="Arial"/>
          <w:sz w:val="18"/>
          <w:szCs w:val="18"/>
          <w:color w:val="auto"/>
        </w:rPr>
      </w:pPr>
    </w:p>
    <w:p>
      <w:pPr>
        <w:ind w:left="660" w:right="600" w:hanging="652"/>
        <w:spacing w:after="0" w:line="264" w:lineRule="auto"/>
        <w:tabs>
          <w:tab w:leader="none" w:pos="667" w:val="left"/>
        </w:tabs>
        <w:numPr>
          <w:ilvl w:val="0"/>
          <w:numId w:val="7"/>
        </w:numPr>
        <w:rPr>
          <w:rFonts w:ascii="Arial" w:cs="Arial" w:eastAsia="Arial" w:hAnsi="Arial"/>
          <w:sz w:val="18"/>
          <w:szCs w:val="18"/>
          <w:color w:val="auto"/>
        </w:rPr>
      </w:pPr>
      <w:r>
        <w:rPr>
          <w:rFonts w:ascii="Arial" w:cs="Arial" w:eastAsia="Arial" w:hAnsi="Arial"/>
          <w:sz w:val="18"/>
          <w:szCs w:val="18"/>
          <w:color w:val="auto"/>
        </w:rPr>
        <w:t>Sampson, et al. J. Clin. Oncol. 2010 Nov 1, 28(31), 4722-9. Historical controls were treated at M.D. Anderson and matched for eligibility (EGFRvIII-positive, Karnofsky performance status greater-than or equal to 80%, complete resection, radiation/TMZ and without progression through approximately 3 months post-diagnosis).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Stupp, et al. N. Engl. J. Med. 2005, 352, 987-96.</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Importantly, rindopepimut showed a similar benefit in patients whether or not they expressed MGMT, an active DNA repair gene that has been shown to limit the benefit from TMZ treatment. In ACT III, the number of patients who were expected to be resistant to the TMZ chemotherapy appeared to do better with vaccination than the numbers observed in the historical data. Patients who have an unmethylated MGMT generally have a worse outcome presumably because they do not gain much benefit from TMZ as reported in the literature. Patients with a methylated MGMT promoter in their tumor do not express MGMT and have a more favorable outcome to TMZ treatment. Patients with methylated tumors (n=25) that were treated with the rindopepimut regimen experienced a median PFS of 17.5 months, which compares favorably with the published data from the SOC of radiation plus TMZ of 10.3 months. Patients with unmethylated tumors (n=40) that were treated with the rindopepimut regimen experienced a median PFS of 11.2 months, which compared favorably to the PFS with SOC of 5.3 months in this patient population. Thus, rindopepimut would appear to benefit both methylated and unmethylated</w:t>
      </w:r>
    </w:p>
    <w:p>
      <w:pPr>
        <w:sectPr>
          <w:pgSz w:w="11900" w:h="16838" w:orient="portrait"/>
          <w:cols w:equalWidth="0" w:num="1">
            <w:col w:w="11420"/>
          </w:cols>
          <w:pgMar w:left="240" w:top="140" w:right="239" w:bottom="0" w:gutter="0" w:footer="0" w:header="0"/>
        </w:sectPr>
      </w:pPr>
    </w:p>
    <w:bookmarkStart w:id="11" w:name="page12"/>
    <w:bookmarkEnd w:id="11"/>
    <w:p>
      <w:pPr>
        <w:ind w:right="400"/>
        <w:spacing w:after="0" w:line="277" w:lineRule="auto"/>
        <w:rPr>
          <w:sz w:val="20"/>
          <w:szCs w:val="20"/>
          <w:color w:val="auto"/>
        </w:rPr>
      </w:pPr>
      <w:r>
        <w:rPr>
          <w:rFonts w:ascii="Arial" w:cs="Arial" w:eastAsia="Arial" w:hAnsi="Arial"/>
          <w:sz w:val="18"/>
          <w:szCs w:val="18"/>
          <w:color w:val="auto"/>
        </w:rPr>
        <w:t>MGMT patients. We expect to present updated overall survival data from the Phase 2 ACT III, ACT II and ACTIVATE studies at the Society for Neuro-Oncology meeting in November 2012.</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December 2011, we initiated ACT IV, a pivotal, randomized, double-blind, controlled Phase 3 study of rindopepimut in patients with surgically resected, EGFRvIII-positive GB. Patients are randomized after the completion of surgery and standard chemoradiation treatment. The treatment regime includes a vaccine priming phase post-radiation followed by an adjuvant TMZ phase and a vaccine maintenance therapy phase. Patients are treated until disease progression or intolerance to therapy. The primary objective of the study is to determine whether rindopepimut plus adjuvant GM-CSF improves the overall survival of patients with newly diagnosed EGFRvIII-positive GB after Gross Total Resection, or GTR, when compared to treatment with TMZ and a control injection of KLH. KLH is a component of rindopepimut and was selected due to its ability to generate a similar injection site reaction to that observed with the rindopepimut vaccine. ACT IV will enroll up to 440 patients at over 150 centers worldwide to recruit approximately 374 patients with GTR to be included in the primary analysis. Our targeted patient accrual is 24 months and another 18 to 24 months of follow-up. In early 2013, we anticipate initiating a parallel, randomized, double-blind, controlled Phase 2 study in western Europe to optimize accrual of the pivotal (registration) study and to further support potential future commercial efforts in this region, assuming rindopepimut is approved by the EMA. We anticipate these two studies to cost over $60 million during their duration.</w:t>
      </w:r>
    </w:p>
    <w:p>
      <w:pPr>
        <w:spacing w:after="0" w:line="183"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In December 2011, we also initiated ReACT, a Phase 2 study of rindopepimut in combination with Avastin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patients with recurrent EGFRvIII-positive GB. ReACT will enroll approximately 95 patients in a first or second relapse of GB following receipt of standard therapy and will be conducted at approximately 20 sites across the United States. Approximately 70 patients who have yet to receive Avastin will be randomized to receive either rindopepimut and Avastin or a control injection of KLH and Avastin in a blinded fashion. Another 25 patients who are refractory to Avastin having received Avastin in either the frontline or recurrent setting with subsequent progression will receive rindopepimut plus Avastin in a single treatment arm. We expect preliminary data from this study to be available in the second half of 2013.</w:t>
      </w:r>
    </w:p>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researchers at Stanford University are conducting an investigator sponsored, pilot trial of rindopepimut in pediatric patients with pontine glioma. Patient screening is ongoing for this trial.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 (CDX-011)</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CDX-011 is an antibody-drug conjugate, or ADC, that consists of a fully-human monoclonal antibody, CR011, linked to a potent cell-killing drug, monomethyl-auristatin E, or MMAE. The CR011 antibody specifically targets glycoprotein NMB,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 The FDA has granted Fast Track designation to CDX-011 for the treatment of advanced, refractory/resistant GPNMB-expressing breast cancer.</w:t>
      </w:r>
    </w:p>
    <w:p>
      <w:pPr>
        <w:spacing w:after="0" w:line="184"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w:t>
      </w:r>
      <w:r>
        <w:rPr>
          <w:rFonts w:ascii="Arial" w:cs="Arial" w:eastAsia="Arial" w:hAnsi="Arial"/>
          <w:sz w:val="16"/>
          <w:szCs w:val="16"/>
          <w:b w:val="1"/>
          <w:bCs w:val="1"/>
          <w:color w:val="auto"/>
        </w:rPr>
        <w:t xml:space="preserve"> </w:t>
      </w:r>
      <w:r>
        <w:rPr>
          <w:rFonts w:ascii="Arial" w:cs="Arial" w:eastAsia="Arial" w:hAnsi="Arial"/>
          <w:sz w:val="16"/>
          <w:szCs w:val="16"/>
          <w:color w:val="auto"/>
        </w:rPr>
        <w:t>every three weeks to patients with locally advanced or metastatic breast cancer who had received prior therapy (median of seven prior regimens). The study began with a bridging phase to confirm the maximum tolerated dose, or MTD, and then expanded into a Phase 2 open-label, multi-center study.</w:t>
      </w:r>
    </w:p>
    <w:p>
      <w:pPr>
        <w:spacing w:after="0" w:line="1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study confirmed the safety of CDX-011 at the pre-defined maximum dose level (1.88 mg/kg) in 6 patients. An additional 28 patients were enrolled in an expanded Phase 2 cohort (for a total of 34 treated patients at 1.88 mg/kg, the Phase 2 dose) to evaluate the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 The most common treatment-related toxicities were fatigue, rash, nausea, alopecia (hair loss), neutropenia and vomiting.</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December 2011, we completed enrollment of EMERGE, a randomized, multi-center Phase 2b study of CDX-011 in patients with heavily pre-treated, advanced, GPNMB-positive breast cancer. Patients were randomized (2:1) to receive either CDX-011 or single-agent “Investigator’s Choice” chemotherapy. Patients randomized to receive Investigator’s Choice, or IC, were allowed to cross over to CDX-011 following disease progression. Patients on the CDX-011 arm had a median of six prior regimens for metastatic disease while patients in the IC arm had a median of five prior regimens. Activity endpoints include response rate, or RR, and PFS.</w:t>
      </w:r>
    </w:p>
    <w:p>
      <w:pPr>
        <w:spacing w:after="0" w:line="18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 xml:space="preserve">In May 2012, we announced preliminary results from the EMERGE study which suggested that CDX-011 induces significant response rates compared to currently available therapies in patient subsets with advanced, refractory breast cancers with high GPNMB expression (expression in </w:t>
      </w:r>
      <w:r>
        <w:rPr>
          <w:rFonts w:ascii="Arial" w:cs="Arial" w:eastAsia="Arial" w:hAnsi="Arial"/>
          <w:sz w:val="18"/>
          <w:szCs w:val="18"/>
          <w:u w:val="single" w:color="auto"/>
          <w:color w:val="auto"/>
        </w:rPr>
        <w:t>&gt;</w:t>
      </w:r>
      <w:r>
        <w:rPr>
          <w:rFonts w:ascii="Arial" w:cs="Arial" w:eastAsia="Arial" w:hAnsi="Arial"/>
          <w:sz w:val="18"/>
          <w:szCs w:val="18"/>
          <w:color w:val="auto"/>
        </w:rPr>
        <w:t>25% of tumor cells) and in patients with triple negative breast cancer. In the high GPNMB expressing patient population (n=25), treatment with CDX-011 resulted in a 32% overall response rate, or ORR, (including confirmed and unconfirmed responses), whereas treatment with IC (n=8) resulted in a 13% ORR. In patients with triple negative breast cancer across all levels of GPNMB expression where treatment options are extremely limited, CDX-011 resulted in ORR of 21% (n=24) whereas treatment with IC resulted in ORR of 0% (n=9). In patients with triple negative breast cancer who also highly express GPNMB, CDX-011 resulted in ORR of 36% (n=11) whereas treatment with IC resulted in ORR of 0% (n=3). In patients with high GPNMB in the CDX-011 arm, a trend of improvement in PFS was observed. In patients with both triple negative breast cancer and high GPNMB expression, a statistically significant PFS benefit was observed (p=0.0032). Mature data from the EMERGE study is expected to be presented at the San Antonio Breast Cancer Symposium in December 2012.</w:t>
      </w:r>
    </w:p>
    <w:p>
      <w:pPr>
        <w:sectPr>
          <w:pgSz w:w="11900" w:h="16838" w:orient="portrait"/>
          <w:cols w:equalWidth="0" w:num="1">
            <w:col w:w="11420"/>
          </w:cols>
          <w:pgMar w:left="240" w:top="125" w:right="239" w:bottom="69" w:gutter="0" w:footer="0" w:header="0"/>
        </w:sectPr>
      </w:pPr>
    </w:p>
    <w:bookmarkStart w:id="12" w:name="page13"/>
    <w:bookmarkEnd w:id="12"/>
    <w:p>
      <w:pPr>
        <w:spacing w:after="0" w:line="13"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In 2009, Formatech, Inc., a third party contract manufacturer was engaged by us for the aseptic filling of one lot of our CDX-011 product candidate being used in our ongoing Phase 2b study. The CDX-011 lot from Formatech has passed all of the sterility testing performed during drug release and in subsequent stability studies. At the end of January 2012, we were notified by the FDA that because significant Good Manufacturing Practice, or cGMP, violations were uncovered during inspection of Formatech, our Phase 2b study for CDX-011 was being placed on partial clinical hold. The FDA uncovered these findings during their inspections of the Formatech facility between August to October 2010 and July to August 2011. These inspections began approximately one year after the CDX-011 drug product was filled at Formatech. Specifically, the FDA requested that no new patients be treated with CDX-</w:t>
      </w:r>
    </w:p>
    <w:p>
      <w:pPr>
        <w:spacing w:after="0" w:line="5" w:lineRule="exact"/>
        <w:rPr>
          <w:sz w:val="20"/>
          <w:szCs w:val="20"/>
          <w:color w:val="auto"/>
        </w:rPr>
      </w:pPr>
    </w:p>
    <w:p>
      <w:pPr>
        <w:ind w:right="40" w:firstLine="8"/>
        <w:spacing w:after="0" w:line="268" w:lineRule="auto"/>
        <w:tabs>
          <w:tab w:leader="none" w:pos="353" w:val="left"/>
        </w:tabs>
        <w:numPr>
          <w:ilvl w:val="0"/>
          <w:numId w:val="8"/>
        </w:numPr>
        <w:rPr>
          <w:rFonts w:ascii="Arial" w:cs="Arial" w:eastAsia="Arial" w:hAnsi="Arial"/>
          <w:sz w:val="17"/>
          <w:szCs w:val="17"/>
          <w:color w:val="auto"/>
        </w:rPr>
      </w:pPr>
      <w:r>
        <w:rPr>
          <w:rFonts w:ascii="Arial" w:cs="Arial" w:eastAsia="Arial" w:hAnsi="Arial"/>
          <w:sz w:val="17"/>
          <w:szCs w:val="17"/>
          <w:color w:val="auto"/>
        </w:rPr>
        <w:t>However, patients already undergoing treatment with CDX-011 in the EMERGE study could continue treatment using vials of CDX-011 from the lot filled by Formatech, after such patients were informed of the potential risk and reconsented to continued participation in the study. The FDA also agreed that patients in the IC arm of the study who became eligible to receive CDX-011 at the time of progression, could receive an older lot of CDX-011 until such time that the material was exhausted or expired. We completed patient treatment in the EMERGE study and this partial clinical hold did not significantly impact the conduct or analysis of the Phase 2b study for purposes of determining next steps in our future development of CDX-011. With respect to future clinical trials, the FDA has converted the partial clinical hold to a clinical hold pending successful completion of reprocessing of the CDX-011 manufactured at Formatech or submission of an alternate cGMP manufacturing site for future lots of CDX-011. The FDA has agreed in concept that we could reprocess the remaining available vials of CDX-011 manufactured at Formatech at another cGMP contract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manufacturer in order to lift the clinical hold. This reprocessing activity is currently underway. The FDA’s final decision regarding the acceptability of this reprocessing will be made upon review of data concerning the stability and sterility of the reprocessed vials of CDX-011. If we are unsuccessful at reprocessing the available drug product or if FDA does not approve the use of these reprocessed vials, we will need to manufacture new drug product for subsequent clinical studies for CDX-011, which may cause a delay in the initiation of a subsequent trial with CDX-011.</w:t>
      </w:r>
    </w:p>
    <w:p>
      <w:pPr>
        <w:spacing w:after="0" w:line="16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b w:val="1"/>
          <w:bCs w:val="1"/>
          <w:color w:val="auto"/>
        </w:rPr>
        <w:t xml:space="preserve">Treatment of Metastatic Melanoma: </w:t>
      </w:r>
      <w:r>
        <w:rPr>
          <w:rFonts w:ascii="Arial" w:cs="Arial" w:eastAsia="Arial" w:hAnsi="Arial"/>
          <w:sz w:val="16"/>
          <w:szCs w:val="16"/>
          <w:color w:val="auto"/>
        </w:rPr>
        <w:t>In 2009, we completed enrollment of 117 patients in a Phase 1/2 open-label, multi-center, dose escalation</w:t>
      </w:r>
      <w:r>
        <w:rPr>
          <w:rFonts w:ascii="Arial" w:cs="Arial" w:eastAsia="Arial" w:hAnsi="Arial"/>
          <w:sz w:val="16"/>
          <w:szCs w:val="16"/>
          <w:b w:val="1"/>
          <w:bCs w:val="1"/>
          <w:color w:val="auto"/>
        </w:rPr>
        <w:t xml:space="preserve"> </w:t>
      </w:r>
      <w:r>
        <w:rPr>
          <w:rFonts w:ascii="Arial" w:cs="Arial" w:eastAsia="Arial" w:hAnsi="Arial"/>
          <w:sz w:val="16"/>
          <w:szCs w:val="16"/>
          <w:color w:val="auto"/>
        </w:rPr>
        <w:t>study to evaluate the safety, tolerability and pharmacokinetics of CDX-011 for patients with 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CDX-011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6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intend to initially focus our resources on advancing CDX-011 for the treatment of breast cancer while pursuing further development of CDX-011 in melanoma through collaborations and investigator sponsored studies.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CDX-1127 is a human monoclonal antibody that targets CD27, a potentially important target for immunotherapy of various cancers. We have entered into license agreements with the University of Southampton, UK for intellectual property related to uses of anti-CD27 antibodies and with Medarex (now a subsidiary of the Bristol-Myers Squibb Company) for access to the UltiMab technology to develop and commercialize human antibodies to CD27. CD27 acts downstream from CD40 and may provide a novel way to regulate the immune responses. CD27 is a co-stimulatory molecule on T cells and is over-expressed in certain lymphomas and leukemias. CDX-1127 is an agonist antibody designed to have two potential therapeutic mechanisms. CDX-1127 has been shown to activate immune cells that can target and eliminate cancerous cells in tumor-bearing mice and to directly kill or inhibit the growth of CD27 expressing lymphomas and leukemias in vitro and in vivo. Both mechanisms have been seen even at low doses in appropriate preclinical models.</w:t>
      </w:r>
    </w:p>
    <w:p>
      <w:pPr>
        <w:spacing w:after="0" w:line="16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November 2011, we initiated an open label, dose-escalating Phase 1 study of CDX-1127 in patients with selected malignant solid tumors or hematologic cancers at multiple clinical sites in the United States. The Phase 1 study is designed to test five escalating doses of CDX-1127 to determine a Phase 2 dose for further development based on safety, tolerability, potential activity and immunogenicity. The study will accrue approximately 30 patients in each of the two arms, either selected refractory or relapsed solid tumors or lymphomas or leukemias known to express CD27. Patients will have received all appropriate prior therapies for their specific disease. The trial design incorporates both single dosing and multiple dosing regimens at each dose level. We expect to complete enrollment in the solid tumor arm by the end of 2012 and in the lymphoma and leukemia arm in the first half of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CDX-1401, developed from our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dendritic cells for generating robust immune responses against cancer cells expressing NY-ESO-1.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6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October 2012, we announced results from a dose-escalating, multi-center, Phase 1 study that evaluated three different doses of the vaccine in combination with TLR agonists poly-ICLC or Hiltonol™ and/or R848 or resiquimod. In total, the study enrolled 45 patients with advanced malignancies that had progressed after any available curative and/or salvage therapies. 60% of patients had confirmed NY-ESO expression in archived tumor sample. Thirteen patients maintained stable disease for up to 13.4 months with a median of 6.7 months. Treatment was well-tolerated and there were no dose limiting toxicities. Humoral responses were elicited in both NY-ESO-1 positive and negative patients. NY-ESO-1-specific T cell responses were absent or low at baseline, but increased post-vaccination in 53% of evaluable patients, including both CD4 and/or CD8 T cell responses. Robust immune responses were observed with CDX-1401 with resiquimod and Poly ICLC alone and in combination. The study has identified a well-tolerated and immunogenic regimen to take forward into the future studies and we expect that a study sponsored by the Cancer Immunotherapy Trials Network will be initiated in 2013.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00"/>
          </w:cols>
          <w:pgMar w:left="240" w:top="125" w:right="259" w:bottom="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CDX-301 is a FMS-like tyrosine kinase 3 ligand, or Flt3L, stem cell mobilizer and dendritic cell growth factor. We licensed CDX-301 from Amgen in March 2009. CDX-301 is a potent hematopoietic cytokine that stimulates the expansion and differentiation of hematopoietic progenitor and stem cells. CDX-301 has demonstrated a unique capacity to increase the number of circulating dendritic cells in both laboratory and clinical studies. In addition, CDX-301 has shown impressive results in models of cancer, infectious diseases and inflammatory/autoimmune diseases. We believe CDX-301 may hold significant opportunity for synergistic development in combination with other proprietary molecules in our portfolio.</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January 2012, we initiated a dose-escalating Phase 1 study of CDX-301 in approximately 30 healthy subjects in collaboration with Rockefeller University. The Phase 1 study will evaluate seven different dosing regimens of CDX-301 to determine the appropriate dose for further development based on safety, tolerability, and biological activity. Patient accrual and treatment are complete and we expect to present preliminary results from the Phase 1 study at the American Society of Hematology Annual Meeting in December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CDX-1135 is a molecule that inhibits a part of the human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has been shown to inhibit the activation of the complement cascade in animal models and in human clinical trials. In preclinical studies, CDX-1135 has been shown to inhibit both the classical and alternative pathways of complement activation.</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Dense Deposit Disease, or DDD, is a rare and devastating disease that is caused by uncontrolled activation of the alternative pathway of complement and leads to progressive kidney damage in children. There is currently no treatment for patients with DDD and about half progress to end-stage renal disease within 10 years. Because DDD recurs in virtually all patients who receive a kidney transplant, transplantation is not a viable option for these patients. In animal models of DDD, CDX-1135 treatment showed evidence of reversal of kidney damage.</w:t>
      </w:r>
    </w:p>
    <w:p>
      <w:pPr>
        <w:spacing w:after="0" w:line="17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Initial experience under an investigator sponsored IND indicated that CDX-1135 limits complement abnormalities in DDD. In 2011, we completed process development activities and in 2011 and 2012 we manufactured multiple runs of GMP clinical drug product at our Fall River manufacturing facility in preparation for our Phase 2 pilot study. We are planning to initiate a Phase 2 pilot study of CDX-1135 in a small number of DDD patients to determine the appropriate dose and regimen for further clinical development based on safety, tolerability and biological activity in the fourth quarter of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CDX-014 is a fully-human monoclonal ADC that targets TIM-1, a molecule that is highly expressed on renal and ovarian cancers with minimal expression in normal tissues. The antibody, CDX-014,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Rotavirus is a major cause of diarrhea and vomiting in infants and children. In 1997, we licensed our oral rotavirus strain to GlaxoSmithKline plc and Glaxo assumed responsibility for all subsequent clinical trials and all other development activities. Glaxo gained approval for its rotavirus vaccine, Rotarix, in Mexico in July 2004, which represented the first in a series of worldwide approvals and commercial launches for the product leading up to the approval in Europe in 2006 and in the U.S. in 2008. We licensed-in our rotavirus strain in 1995 and owe a license fee of 30% to Cincinnati Children’s Hospital Medical Center, or CCH, on net royalties received from Glaxo. We are obligated to maintain a license with CCH with respect to the Glaxo agreement. The term of the Glaxo agreement is through the expiration of the last of the relevant patents covered by the agreement. The last relevant patent is scheduled to expire in December 2012. No additional milestone payments are due from Glaxo under the agreement.</w:t>
      </w:r>
    </w:p>
    <w:p>
      <w:pPr>
        <w:spacing w:after="0" w:line="16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May 2005, we entered into an agreement whereby an affiliate of Paul Royalty Fund II, L.P., or PRF, purchased a 70% interest in the milestone payments and net royalties that we will receive on the development and worldwide sales of Rotarix. We have received a total of $60 million in milestone payments under the PRF agreement. No additional milestone payments are due from PRF under the agreement. The PRF agreement terminates in December 2012.</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critical accounting policies are more fully described in Note 2 to our consolidated financial statements included in our Annual Report on Form 10-K for the year ended December 31, 2011 and there have been no material changes to such critical accounting policies. We believe our most critical accounting policies include accounting for business combinations, revenue recognition, impairment of long-lived assets, research and development expenses and stock-based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2012 compared with Three Months Ended September 30, 2011</w:t>
      </w:r>
    </w:p>
    <w:p>
      <w:pPr>
        <w:spacing w:after="0" w:line="204" w:lineRule="exact"/>
        <w:rPr>
          <w:sz w:val="20"/>
          <w:szCs w:val="20"/>
          <w:color w:val="auto"/>
        </w:rPr>
      </w:pPr>
    </w:p>
    <w:tbl>
      <w:tblPr>
        <w:tblLayout w:type="fixed"/>
        <w:tblInd w:w="476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1740" w:type="dxa"/>
            <w:vAlign w:val="bottom"/>
          </w:tcPr>
          <w:p>
            <w:pPr>
              <w:jc w:val="center"/>
              <w:ind w:right="348"/>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13"/>
                <w:szCs w:val="13"/>
                <w:color w:val="auto"/>
              </w:rPr>
            </w:pPr>
          </w:p>
        </w:tc>
        <w:tc>
          <w:tcPr>
            <w:tcW w:w="178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Increase/</w:t>
            </w:r>
          </w:p>
        </w:tc>
        <w:tc>
          <w:tcPr>
            <w:tcW w:w="150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8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348"/>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4"/>
                <w:szCs w:val="14"/>
                <w:color w:val="auto"/>
              </w:rPr>
            </w:pPr>
          </w:p>
        </w:tc>
        <w:tc>
          <w:tcPr>
            <w:tcW w:w="1780" w:type="dxa"/>
            <w:vAlign w:val="bottom"/>
          </w:tcPr>
          <w:p>
            <w:pPr>
              <w:jc w:val="center"/>
              <w:ind w:left="68"/>
              <w:spacing w:after="0"/>
              <w:rPr>
                <w:sz w:val="20"/>
                <w:szCs w:val="20"/>
                <w:color w:val="auto"/>
              </w:rPr>
            </w:pPr>
            <w:r>
              <w:rPr>
                <w:rFonts w:ascii="Arial" w:cs="Arial" w:eastAsia="Arial" w:hAnsi="Arial"/>
                <w:sz w:val="14"/>
                <w:szCs w:val="14"/>
                <w:b w:val="1"/>
                <w:bCs w:val="1"/>
                <w:color w:val="auto"/>
                <w:w w:val="89"/>
              </w:rPr>
              <w:t>(Decrease)</w:t>
            </w:r>
          </w:p>
        </w:tc>
        <w:tc>
          <w:tcPr>
            <w:tcW w:w="1500" w:type="dxa"/>
            <w:vAlign w:val="bottom"/>
          </w:tcPr>
          <w:p>
            <w:pPr>
              <w:jc w:val="center"/>
              <w:ind w:left="68"/>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7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center"/>
              <w:ind w:left="68"/>
              <w:spacing w:after="0" w:line="142" w:lineRule="exact"/>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tcPr>
          <w:p>
            <w:pPr>
              <w:jc w:val="center"/>
              <w:ind w:left="68"/>
              <w:spacing w:after="0" w:line="142" w:lineRule="exact"/>
              <w:rPr>
                <w:sz w:val="20"/>
                <w:szCs w:val="20"/>
                <w:color w:val="auto"/>
              </w:rPr>
            </w:pPr>
            <w:r>
              <w:rPr>
                <w:rFonts w:ascii="Arial" w:cs="Arial" w:eastAsia="Arial" w:hAnsi="Arial"/>
                <w:sz w:val="14"/>
                <w:szCs w:val="14"/>
                <w:b w:val="1"/>
                <w:bCs w:val="1"/>
                <w:color w:val="auto"/>
              </w:rPr>
              <w:t>%</w:t>
            </w:r>
          </w:p>
        </w:tc>
      </w:tr>
      <w:tr>
        <w:trPr>
          <w:trHeight w:val="144"/>
        </w:trPr>
        <w:tc>
          <w:tcPr>
            <w:tcW w:w="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20" w:type="dxa"/>
            <w:vAlign w:val="bottom"/>
            <w:gridSpan w:val="2"/>
          </w:tcPr>
          <w:p>
            <w:pPr>
              <w:ind w:left="120"/>
              <w:spacing w:after="0" w:line="144" w:lineRule="exact"/>
              <w:rPr>
                <w:sz w:val="20"/>
                <w:szCs w:val="20"/>
                <w:color w:val="auto"/>
              </w:rPr>
            </w:pPr>
            <w:r>
              <w:rPr>
                <w:rFonts w:ascii="Arial" w:cs="Arial" w:eastAsia="Arial" w:hAnsi="Arial"/>
                <w:sz w:val="14"/>
                <w:szCs w:val="14"/>
                <w:b w:val="1"/>
                <w:bCs w:val="1"/>
                <w:color w:val="auto"/>
              </w:rPr>
              <w:t>(In thousands)</w:t>
            </w:r>
          </w:p>
        </w:tc>
        <w:tc>
          <w:tcPr>
            <w:tcW w:w="15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Revenue:</w:t>
      </w:r>
    </w:p>
    <w:p>
      <w:pPr>
        <w:sectPr>
          <w:pgSz w:w="11900" w:h="16838" w:orient="portrait"/>
          <w:cols w:equalWidth="0" w:num="1">
            <w:col w:w="11380"/>
          </w:cols>
          <w:pgMar w:left="240" w:top="341" w:right="27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9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0"/>
                <w:szCs w:val="20"/>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3,006</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2,318</w:t>
            </w:r>
          </w:p>
        </w:tc>
        <w:tc>
          <w:tcPr>
            <w:tcW w:w="52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688</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11,769</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8,594</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3,175</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Royalty</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3,006</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2,318</w:t>
            </w:r>
          </w:p>
        </w:tc>
        <w:tc>
          <w:tcPr>
            <w:tcW w:w="52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688</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2,273</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562</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4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656</w:t>
            </w:r>
          </w:p>
        </w:tc>
        <w:tc>
          <w:tcPr>
            <w:tcW w:w="5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(402)</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17,864</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13,841</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6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Operating Loss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(14,751)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(11,478)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3,273</w:t>
            </w:r>
          </w:p>
        </w:tc>
        <w:tc>
          <w:tcPr>
            <w:tcW w:w="64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(438)</w:t>
            </w:r>
          </w:p>
        </w:tc>
        <w:tc>
          <w:tcPr>
            <w:tcW w:w="5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(57)</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$3.3 million increase in net loss for the three months ended September 30, 2012 compared to the three months ended September 30, 2011 was primarily the result of an increase in research and development and general and administrative expenses, partially offset by a decrease in amortization expense on acquired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The $0.1 million increase in contracts and grants revenue for the three months ended September 30, 2012 compared to the three months ended September 30, 2011 was due to an APC Targeting Technology-based HIV vaccine being funded through a Small Business Innovation Research, or SBIR, grant in collaboration with Rockefeller University. The $0.7 million increase in product royalty revenue for the three months ended September 30, 2012 compared to the three months ended September 30, 2011 was related to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and which is equal to the amount payable to CCH and recognized in royalty expense by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Research and development expenses consist primarily of (i) personnel expenses, (ii) laboratory supply expenses relating to the development of our technology, (iii) facility expenses, and (iv) product development expenses associated with our product candidates as follows: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618"/>
              <w:spacing w:after="0"/>
              <w:rPr>
                <w:sz w:val="20"/>
                <w:szCs w:val="20"/>
                <w:color w:val="auto"/>
              </w:rPr>
            </w:pPr>
            <w:r>
              <w:rPr>
                <w:rFonts w:ascii="Arial" w:cs="Arial" w:eastAsia="Arial" w:hAnsi="Arial"/>
                <w:sz w:val="14"/>
                <w:szCs w:val="14"/>
                <w:b w:val="1"/>
                <w:bCs w:val="1"/>
                <w:color w:val="auto"/>
                <w:w w:val="92"/>
              </w:rPr>
              <w:t>Increase/</w:t>
            </w: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2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618"/>
              <w:spacing w:after="0"/>
              <w:rPr>
                <w:sz w:val="20"/>
                <w:szCs w:val="20"/>
                <w:color w:val="auto"/>
              </w:rPr>
            </w:pPr>
            <w:r>
              <w:rPr>
                <w:rFonts w:ascii="Arial" w:cs="Arial" w:eastAsia="Arial" w:hAnsi="Arial"/>
                <w:sz w:val="14"/>
                <w:szCs w:val="14"/>
                <w:b w:val="1"/>
                <w:bCs w:val="1"/>
                <w:color w:val="auto"/>
                <w:w w:val="89"/>
              </w:rPr>
              <w:t>(Decrease)</w:t>
            </w: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2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618"/>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r>
      <w:tr>
        <w:trPr>
          <w:trHeight w:val="142"/>
        </w:trPr>
        <w:tc>
          <w:tcPr>
            <w:tcW w:w="2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3,285</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3,123</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162</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Laboratory Supplies</w:t>
            </w: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543</w:t>
            </w:r>
          </w:p>
        </w:tc>
        <w:tc>
          <w:tcPr>
            <w:tcW w:w="6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480" w:type="dxa"/>
            <w:vAlign w:val="bottom"/>
          </w:tcPr>
          <w:p>
            <w:pPr>
              <w:spacing w:after="0"/>
              <w:rPr>
                <w:sz w:val="18"/>
                <w:szCs w:val="18"/>
                <w:color w:val="auto"/>
              </w:rPr>
            </w:pPr>
          </w:p>
        </w:tc>
        <w:tc>
          <w:tcPr>
            <w:tcW w:w="1380" w:type="dxa"/>
            <w:vAlign w:val="bottom"/>
          </w:tcPr>
          <w:p>
            <w:pPr>
              <w:jc w:val="right"/>
              <w:ind w:right="278"/>
              <w:spacing w:after="0"/>
              <w:rPr>
                <w:sz w:val="20"/>
                <w:szCs w:val="20"/>
                <w:color w:val="auto"/>
              </w:rPr>
            </w:pPr>
            <w:r>
              <w:rPr>
                <w:rFonts w:ascii="Arial" w:cs="Arial" w:eastAsia="Arial" w:hAnsi="Arial"/>
                <w:sz w:val="18"/>
                <w:szCs w:val="18"/>
                <w:color w:val="auto"/>
              </w:rPr>
              <w:t>155</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1,104</w:t>
            </w:r>
          </w:p>
        </w:tc>
        <w:tc>
          <w:tcPr>
            <w:tcW w:w="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1,196</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(92)</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Product Development</w:t>
            </w: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5,966</w:t>
            </w:r>
          </w:p>
        </w:tc>
        <w:tc>
          <w:tcPr>
            <w:tcW w:w="6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2,810</w:t>
            </w:r>
          </w:p>
        </w:tc>
        <w:tc>
          <w:tcPr>
            <w:tcW w:w="480" w:type="dxa"/>
            <w:vAlign w:val="bottom"/>
          </w:tcPr>
          <w:p>
            <w:pPr>
              <w:spacing w:after="0"/>
              <w:rPr>
                <w:sz w:val="20"/>
                <w:szCs w:val="20"/>
                <w:color w:val="auto"/>
              </w:rPr>
            </w:pPr>
          </w:p>
        </w:tc>
        <w:tc>
          <w:tcPr>
            <w:tcW w:w="1380" w:type="dxa"/>
            <w:vAlign w:val="bottom"/>
          </w:tcPr>
          <w:p>
            <w:pPr>
              <w:jc w:val="right"/>
              <w:ind w:right="278"/>
              <w:spacing w:after="0"/>
              <w:rPr>
                <w:sz w:val="20"/>
                <w:szCs w:val="20"/>
                <w:color w:val="auto"/>
              </w:rPr>
            </w:pPr>
            <w:r>
              <w:rPr>
                <w:rFonts w:ascii="Arial" w:cs="Arial" w:eastAsia="Arial" w:hAnsi="Arial"/>
                <w:sz w:val="18"/>
                <w:szCs w:val="18"/>
                <w:color w:val="auto"/>
              </w:rPr>
              <w:t>3,156</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r>
    </w:tbl>
    <w:p>
      <w:pPr>
        <w:spacing w:after="0" w:line="187"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Personnel expenses primarily include salary, benefits, stock-based compensation and payroll taxes. The $0.2 million increase in personnel expenses for the three months ended September 30, 2012 compared to the three months ended September 30, 2011 was primarily due to higher headcount. We expect personnel expenses to increase over the next twelve months, although there may be fluctuations on a quarterly basis.</w:t>
      </w:r>
    </w:p>
    <w:p>
      <w:pPr>
        <w:spacing w:after="0" w:line="16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The $0.2 million increase in laboratory supply expense for the three months ended September 30, 2012 compared to the three months ended September 30, 2011 was primarily due to higher manufacturing supply purchases. We expect supply expenses to remain relatively consistent over the next twelve months, although there may be fluctuations on a quarterly basis.</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$0.1 million decrease in facility expenses for the three months ended September 30, 2012 compared to the three months ended September 30, 2011 was primarily due to lower depreciation and amortization expenses. We expect facility expenses to remain relatively consistent over the next twelve months, although there may be fluctuations on a quarterly basis.</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Product development expenses include clinical investigator site fees, external trial monitoring costs, data accumulation costs, contracted research and outside clinical drug product manufacturing. The $3.2 million increase in product development expenses for the three months ended September 30, 2012 compared to the three months ended September 30, 2011 was primarily the result of an increase in clinical trial costs of $3.2 million primarily due to our rindopepimut program, including the ACT IV and ReACT studies. We expect product development expenses to increase over the next twelve months due to the increase in clinical trial expenses related to our rindopepimut program, although there may be fluctuations on a quarterly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Royalty expenses include product royalty and sublicense royalty fees on our out-licensed programs. The $0.7 million increase in royalty expenses for the three months ended September 30, 2012 compared to the three months ended September 30, 2011 was due to an increase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related royalty fees.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are recorded as product royalty revenue and a corresponding amount that is payable to CCH is recorded as royalty expense.</w:t>
      </w:r>
    </w:p>
    <w:p>
      <w:pPr>
        <w:sectPr>
          <w:pgSz w:w="11900" w:h="16838" w:orient="portrait"/>
          <w:cols w:equalWidth="0" w:num="1">
            <w:col w:w="11420"/>
          </w:cols>
          <w:pgMar w:left="240" w:top="125" w:right="239" w:bottom="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w:t>
      </w:r>
    </w:p>
    <w:p>
      <w:pPr>
        <w:sectPr>
          <w:pgSz w:w="11900" w:h="16838" w:orient="portrait"/>
          <w:cols w:equalWidth="0" w:num="1">
            <w:col w:w="11420"/>
          </w:cols>
          <w:pgMar w:left="240" w:top="125" w:right="239" w:bottom="0" w:gutter="0" w:footer="0" w:header="0"/>
          <w:type w:val="continuous"/>
        </w:sectPr>
      </w:pPr>
    </w:p>
    <w:bookmarkStart w:id="15" w:name="page16"/>
    <w:bookmarkEnd w:id="15"/>
    <w:p>
      <w:pPr>
        <w:ind w:right="100" w:firstLine="648"/>
        <w:spacing w:after="0" w:line="259" w:lineRule="auto"/>
        <w:rPr>
          <w:sz w:val="20"/>
          <w:szCs w:val="20"/>
          <w:color w:val="auto"/>
        </w:rPr>
      </w:pPr>
      <w:r>
        <w:rPr>
          <w:rFonts w:ascii="Arial" w:cs="Arial" w:eastAsia="Arial" w:hAnsi="Arial"/>
          <w:sz w:val="18"/>
          <w:szCs w:val="18"/>
          <w:color w:val="auto"/>
        </w:rPr>
        <w:t>The $0.6 million increase in general and administrative expenses for the three months ended September 30, 2012 compared to the three months ended September 30, 2011 was primarily due to higher headcount, consulting and rindopepimut-related commercialization expenses. We expect general and administrative expense to increase over the next twelve months due to increased commercialization efforts, although there may be fluctuations on a quarterly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$0.4 million decrease in amortization expenses for the three months ended September 30, 2012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2011 was due to certain intangible assets becoming fully amortized during 2011. We expect amortization expense of acquired intangible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remain relatively consistent over the next twelve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Investment and other income, net for the three months ended September 30, 2012 was relatively consistent as compared to the three months ended September 30, 2011. We anticipate investment income to remain relatively consistent over the next twelve months, although there may be fluctuations on a quarterly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$0.1 million decrease in interest expense for the three months ended September 30, 2012 compared to the three months ended September 30, 2011 was due to the decrease in our Term Loan balance. We anticipate interest expense to decrease over the next twelve months as we continue to make monthly principal payments on our Term Loan.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compared with Nine Months Ended September 30,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2011</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33"/>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7,224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6,761</w:t>
            </w:r>
          </w:p>
        </w:tc>
        <w:tc>
          <w:tcPr>
            <w:tcW w:w="3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463</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33,650</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22,615</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11,035</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Royalty</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7,224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6,761</w:t>
            </w:r>
          </w:p>
        </w:tc>
        <w:tc>
          <w:tcPr>
            <w:tcW w:w="3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463</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6,849</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523</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836</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1,622</w:t>
            </w: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(786)</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49,082</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Operating Loss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(41,527)</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(31,016)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10,511</w:t>
            </w:r>
          </w:p>
        </w:tc>
        <w:tc>
          <w:tcPr>
            <w:tcW w:w="3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(1,225)</w:t>
            </w: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(1,358)</w:t>
            </w: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(42,316</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The $10.2 million increase in net loss for the nine months ended September 30, 2012 compared to the nine months ended September 30, 2011 was primarily the result of an increase in research and development expense, partially offset by a decrease in amortization expense on acquired intangible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320" w:firstLine="648"/>
        <w:spacing w:after="0"/>
        <w:rPr>
          <w:sz w:val="20"/>
          <w:szCs w:val="20"/>
          <w:color w:val="auto"/>
        </w:rPr>
      </w:pPr>
      <w:r>
        <w:rPr>
          <w:rFonts w:ascii="Arial" w:cs="Arial" w:eastAsia="Arial" w:hAnsi="Arial"/>
          <w:sz w:val="18"/>
          <w:szCs w:val="18"/>
          <w:color w:val="auto"/>
        </w:rPr>
        <w:t>The $0.2 million increase in contract and grant revenue for the nine months ended September 30, 2012 compared to the nine months ended September 30, 2011 was due to an APC Targeting Technology-based HIV vaccine being funded through a SBIR grant in collaboration with Rockefeller University. The $0.5 million increase in product royalty revenue for the nine months ended September 30, 2012 compared to the nine months ended September 30, 2011 was related to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and which is equal to the amount payable to CCH and recognized in royalty expense by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618"/>
              <w:spacing w:after="0"/>
              <w:rPr>
                <w:sz w:val="20"/>
                <w:szCs w:val="20"/>
                <w:color w:val="auto"/>
              </w:rPr>
            </w:pPr>
            <w:r>
              <w:rPr>
                <w:rFonts w:ascii="Arial" w:cs="Arial" w:eastAsia="Arial" w:hAnsi="Arial"/>
                <w:sz w:val="14"/>
                <w:szCs w:val="14"/>
                <w:b w:val="1"/>
                <w:bCs w:val="1"/>
                <w:color w:val="auto"/>
                <w:w w:val="92"/>
              </w:rPr>
              <w:t>Increase/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2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618"/>
              <w:spacing w:after="0"/>
              <w:rPr>
                <w:sz w:val="20"/>
                <w:szCs w:val="20"/>
                <w:color w:val="auto"/>
              </w:rPr>
            </w:pPr>
            <w:r>
              <w:rPr>
                <w:rFonts w:ascii="Arial" w:cs="Arial" w:eastAsia="Arial" w:hAnsi="Arial"/>
                <w:sz w:val="14"/>
                <w:szCs w:val="14"/>
                <w:b w:val="1"/>
                <w:bCs w:val="1"/>
                <w:color w:val="auto"/>
                <w:w w:val="89"/>
              </w:rPr>
              <w:t>(Decrease)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2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96"/>
              </w:rPr>
              <w:t>2011</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98"/>
              <w:spacing w:after="0" w:line="142" w:lineRule="exact"/>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r>
      <w:tr>
        <w:trPr>
          <w:trHeight w:val="142"/>
        </w:trPr>
        <w:tc>
          <w:tcPr>
            <w:tcW w:w="2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9,923</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9,505</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418</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Laboratory Supplies</w:t>
            </w: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1,504</w:t>
            </w:r>
          </w:p>
        </w:tc>
        <w:tc>
          <w:tcPr>
            <w:tcW w:w="6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1,508</w:t>
            </w:r>
          </w:p>
        </w:tc>
        <w:tc>
          <w:tcPr>
            <w:tcW w:w="480" w:type="dxa"/>
            <w:vAlign w:val="bottom"/>
          </w:tcPr>
          <w:p>
            <w:pPr>
              <w:spacing w:after="0"/>
              <w:rPr>
                <w:sz w:val="18"/>
                <w:szCs w:val="18"/>
                <w:color w:val="auto"/>
              </w:rPr>
            </w:pPr>
          </w:p>
        </w:tc>
        <w:tc>
          <w:tcPr>
            <w:tcW w:w="1380" w:type="dxa"/>
            <w:vAlign w:val="bottom"/>
          </w:tcPr>
          <w:p>
            <w:pPr>
              <w:jc w:val="right"/>
              <w:ind w:right="218"/>
              <w:spacing w:after="0"/>
              <w:rPr>
                <w:sz w:val="20"/>
                <w:szCs w:val="20"/>
                <w:color w:val="auto"/>
              </w:rPr>
            </w:pPr>
            <w:r>
              <w:rPr>
                <w:rFonts w:ascii="Arial" w:cs="Arial" w:eastAsia="Arial" w:hAnsi="Arial"/>
                <w:sz w:val="18"/>
                <w:szCs w:val="18"/>
                <w:color w:val="auto"/>
              </w:rPr>
              <w:t>(4)</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3,405</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3,567</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(162)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Product Development</w:t>
            </w: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w w:val="90"/>
              </w:rPr>
              <w:t>16,642</w:t>
            </w:r>
          </w:p>
        </w:tc>
        <w:tc>
          <w:tcPr>
            <w:tcW w:w="6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5,898</w:t>
            </w:r>
          </w:p>
        </w:tc>
        <w:tc>
          <w:tcPr>
            <w:tcW w:w="480" w:type="dxa"/>
            <w:vAlign w:val="bottom"/>
          </w:tcPr>
          <w:p>
            <w:pPr>
              <w:spacing w:after="0"/>
              <w:rPr>
                <w:sz w:val="20"/>
                <w:szCs w:val="20"/>
                <w:color w:val="auto"/>
              </w:rPr>
            </w:pPr>
          </w:p>
        </w:tc>
        <w:tc>
          <w:tcPr>
            <w:tcW w:w="1380" w:type="dxa"/>
            <w:vAlign w:val="bottom"/>
          </w:tcPr>
          <w:p>
            <w:pPr>
              <w:jc w:val="right"/>
              <w:ind w:right="278"/>
              <w:spacing w:after="0"/>
              <w:rPr>
                <w:sz w:val="20"/>
                <w:szCs w:val="20"/>
                <w:color w:val="auto"/>
              </w:rPr>
            </w:pPr>
            <w:r>
              <w:rPr>
                <w:rFonts w:ascii="Arial" w:cs="Arial" w:eastAsia="Arial" w:hAnsi="Arial"/>
                <w:sz w:val="18"/>
                <w:szCs w:val="18"/>
                <w:color w:val="auto"/>
              </w:rPr>
              <w:t>10,744</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r>
    </w:tbl>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$0.4 million increase in personnel expenses for the nine months ended September 30, 2012 compared to the nine months ended September 30, 2011 was primarily due to higher headcount.</w:t>
      </w:r>
    </w:p>
    <w:p>
      <w:pPr>
        <w:sectPr>
          <w:pgSz w:w="11900" w:h="16838" w:orient="portrait"/>
          <w:cols w:equalWidth="0" w:num="1">
            <w:col w:w="11420"/>
          </w:cols>
          <w:pgMar w:left="240" w:top="341" w:right="239" w:bottom="0" w:gutter="0" w:footer="0" w:header="0"/>
        </w:sectPr>
      </w:pPr>
    </w:p>
    <w:bookmarkStart w:id="16" w:name="page17"/>
    <w:bookmarkEnd w:id="16"/>
    <w:p>
      <w:pPr>
        <w:spacing w:after="0" w:line="13"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Laboratory supply expense for the nine months ended September 30, 2012 was relatively consistent as compared to the nine months ended September 30, 2011.</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$0.2 million decrease in facility expenses for the nine months ended September 30, 2012 compared to the nine months ended September 30, 2011 was primarily due to lower depreciation and amortization expenses.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$10.7 million increase in product development expenses for the nine months ended September 30, 2012 compared to the nine months ended September 30, 2011 was primarily the result of an increase in clinical trial costs of $11.1 million primarily due to our rindopepimut program, including the ACT IV and ReACT studies.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380" w:firstLine="648"/>
        <w:spacing w:after="0" w:line="292" w:lineRule="auto"/>
        <w:rPr>
          <w:sz w:val="20"/>
          <w:szCs w:val="20"/>
          <w:color w:val="auto"/>
        </w:rPr>
      </w:pPr>
      <w:r>
        <w:rPr>
          <w:rFonts w:ascii="Arial" w:cs="Arial" w:eastAsia="Arial" w:hAnsi="Arial"/>
          <w:sz w:val="18"/>
          <w:szCs w:val="18"/>
          <w:color w:val="auto"/>
        </w:rPr>
        <w:t>The $0.5 million increase in royalty expenses for the nine months ended September 30, 2012 compared to the nine months ended September 30, 2011 was due to an increase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related royalty fees.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$0.5 million increase in general and administrative expenses for the nine months ended September 30, 2012 compared to the nine months ended September 30, 2011 was due to higher headcount, consulting, rindopepimut-related commercialization and investor relations expenses, partially offset by lower insurance and professional service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The $0.8 million decrease in amortization expenses for the nine months ended September 30, 2012 compared to the nine months ended September 30, 2011 was due to certain intangible assets becoming fully amortized during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$0.1 million increase in investment and other income, net for the nine months ended September 30, 2012 was due to higher levels of cash, cash equivalents and marketable securities as compared to the nine months ended September 30, 2011 and $0.1 million in other income related to the sale of New Jersey tax benefits recorded during the nine months ended September 30,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$0.1 million decrease in interest expense for the nine months ended September 30, 2012 compared to the nine months ended September 30, 2011 was primarily due to a decrease in our Term Loan balance.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At September 30, 2012, our principal sources of liquidity consisted of cash, cash equivalents and marketable securities of $77.6 million. Our working capital at September 30, 2012 was $63.7 million. At September 30, 2012, our Term Loan balance was $12.6 million. We incurred a loss of $42.3 million for the nine months ended September 30, 2012. Net cash used in operations for the nine months ended September 30, 2012 was $36.5 million. We believe that the cash, cash equivalents and marketable securities at September 30, 2012 are sufficient to meet estimated working capital requirements and fund planned operations for at least the next twelve months.</w:t>
      </w:r>
    </w:p>
    <w:p>
      <w:pPr>
        <w:spacing w:after="0" w:line="18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and for the foreseeable future,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9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raised net proceeds of $62.9 million during the nine months ended September 30, 2012 from the issuance of our common stock. During the next twelve months, we may take further steps to raise additional capital to meet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17" w:name="page18"/>
    <w:bookmarkEnd w:id="17"/>
    <w:p>
      <w:pPr>
        <w:spacing w:after="0" w:line="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result in royalties or other terms which reduce our economic potential from products under development.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Net cash used in operating activities was $36.5 million for the nine months ended September 30, 2012 compared to $26.3 million for the nine months ended September 30, 2011. The increase in net cash used in operating activities was primarily due to an increase in net loss of $10.2 million. We expect that cash used in operations will continue to increase in over the next twelve months primarily related to costs incurred on our rindopepimut program.</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product candidates are developed. We plan to spend significant amounts to progress our current product candidates through the clinical trial and commercialization process as well as to develop additional product candidates. As our product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Net cash used in investing activities was $12.4 million for the nine months ended September 30, 2012 compared to $10.2 million for the nine months ended September 30, 2011. The increase in net cash used in investing activities was primarily due to net purchases of marketable securities for the nine months ended September 30, 2012 of $12.5 million as compared to $9.9 million for the nine months ended September 30, 2011. We expect that cash provided by investing activities will increase over the next twelve months as we fund our operations through the net proceeds from the sale and maturity of marketable securities, cash provided by financing activities and/or new partnerships, although there may be significant fluctuations on a quarterly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Net cash provided by financing activities was $60.2 million for the nine months ended September 30, 2012 compared to $28.3 million for the nine months ended September 30, 2011. Net proceeds from stock issuances were $62.9 million during the nine months ended September 30, 2012 compared to $35.9 million for the nine months ended September 30, 2011. In February 2011, we paid $12.5 million to satisfy all outstanding principal related to the CuraGen Debt. We paid $2.6 million in principal payments on our Term Loan during the nine months ended September 30,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In April 2010, we filed a shelf registration statement with the Securities and Exchange Commission to register for sale any combination of the types of securities described in the filing up to a dollar amount of $150 million. The shelf registration went effective on April 22, 2010.</w:t>
      </w:r>
    </w:p>
    <w:p>
      <w:pPr>
        <w:spacing w:after="0" w:line="14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January 2011, we entered into a controlled equity offering sales agreement (the “Cantor Agreement”) with Cantor Fitzgerald &amp; Co. (“Cantor”) pursuant to which we could issue and sell up to 5,000,000 shares of our common stock from time to time through Cantor, acting as agent. During the year ended December 31, 2011, we issued 575,000 shares of common stock under the Cantor Agreement and raised $2.2 million in net proceeds, after deducting commission and offering expenses. In January 2012, we issued 2,450,000 shares of common stock under the Cantor Agreement and raised $8.5 million in net proceeds. During the three months ended September 30, 2012, we issued the remaining 1,975,000 shares available to be sold under the Cantor Agreement and raised $10.6 million in net proceeds.</w:t>
      </w:r>
    </w:p>
    <w:p>
      <w:pPr>
        <w:spacing w:after="0" w:line="19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September 2012, we and Cantor amended the Cantor Agreement (the “Cantor Amendment”) to allow us to issue and sell additional shares of our common stock having an aggregate offering price of up to $44.0 million from time to time through Cantor, acting as agent. Under the Cantor Amendment, we will pay Cantor a fixed commission rate of 3.0% of the gross sales price per share of any common stock sold through Cantor, as agent. The Cantor Amendment terminates upon ten day notice by either Cantor or us. In September and October 2012, we issued 57,100 and 1,167,770 shares under the Cantor Amendment and raised $0.3 million and $7.0 million in net proceeds, respectively. At October 30, 2012, we had $36.4 million remaining in aggregate offering price available under the Cantor Amendment.</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During February and March 2012, we issued 12,075,000 shares of our common stock in an underwritten public offering, including the underwriter’s exercise of their full over-allotment option to purchase an additional 1,575,000 shares of common stock. The net proceeds to us were $43.4 million, after deducting underwriting fees and offering expenses.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December 30, 2010, we entered the Loan Agreement with MidCap pursuant to which we borrowed $10 million from MidCap. In March 2011, we amended the Loan Agreement and borrowed an additional $5 million from GECC to increase the amount owed under the Term Loan to $15 million. No additional advances are available under the Loan Agreement. The Term Loan accrues interest at a fixed annual interest rate equal to the greater of (i) the sum of (A) the LIBOR Rate (as defined in the Loan Agreement) plus (B) 6.25%; or (ii) a minimum rate of 9.50%. In September 2011, we exercised an option to extend the interest-only period by 6 months from October 1, 2011 to April 1, 2012. In March 2012, we amended the Loan Agreement to extend the maturity date from December 2013 to December 2014 in return for an upfront fee of $25,000 and an additional fee of $37,500 due upon repayment of the Term Loan in full.</w:t>
      </w:r>
    </w:p>
    <w:p>
      <w:pPr>
        <w:spacing w:after="0" w:line="18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Interest on the Term Loan is payable monthly and principal is due, as amended, in 34 equal consecutive monthly installments commencing on April 1, 2012. All unpaid principal and accrued interest with respect to the Term Loan is due and payable on the earlier of (A) December 30, 2014 or (B) the date that the Term Loan otherwise becomes due and payable under the terms of the Loan Agreement. We may prepay all, but not less than all, of the Term Loan subject to a prepayment premium of 1% in year three and 2% in year two of the original principal amount of the Term Loan. There is no prepayment premium if the loan is paid off early in year four. We are also obligated to make a payment of $0.5 million (Payment Fee) upon the earlier of (A) December 30, 2013 or (B) upon repayment of the Term Loan in full prior to December 30, 2013.</w:t>
      </w:r>
    </w:p>
    <w:p>
      <w:pPr>
        <w:sectPr>
          <w:pgSz w:w="11900" w:h="16853" w:orient="portrait"/>
          <w:cols w:equalWidth="0" w:num="1">
            <w:col w:w="11420"/>
          </w:cols>
          <w:pgMar w:left="240" w:top="341" w:right="239" w:bottom="0" w:gutter="0" w:footer="0" w:header="0"/>
        </w:sectPr>
      </w:pPr>
    </w:p>
    <w:bookmarkStart w:id="18" w:name="page19"/>
    <w:bookmarkEnd w:id="18"/>
    <w:p>
      <w:pPr>
        <w:ind w:right="80" w:firstLine="648"/>
        <w:spacing w:after="0" w:line="276" w:lineRule="auto"/>
        <w:rPr>
          <w:sz w:val="20"/>
          <w:szCs w:val="20"/>
          <w:color w:val="auto"/>
        </w:rPr>
      </w:pPr>
      <w:r>
        <w:rPr>
          <w:rFonts w:ascii="Arial" w:cs="Arial" w:eastAsia="Arial" w:hAnsi="Arial"/>
          <w:sz w:val="17"/>
          <w:szCs w:val="17"/>
          <w:color w:val="auto"/>
        </w:rPr>
        <w:t>Our obligations under the Loan Agreement are secured by a first priority lien upon and security interest in substantially all of our existing and after-acquired assets, excluding our intellectual property assets. Under the Loan Agreement, we are subject to specified affirmative and negative covenants customary for financings of this type. The Loan Agreement provides that, upon the occurrence of certain specified events of default customary for financings of this type, our obligations under the Loan Agreement may be automatically accelerated, whereupon our obligations under the Loan Agreement shall be immediately due and payable. At September 30, 2012, we believe we are in compliance with the Loan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Except as set forth below, the disclosures relating to our contractual obligations reported in our Annual Report on Form 10-K for the year ended December 31, 2011 which was filed with the SEC on March 8, 2012 have not materially changed since we filed that report.</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June 2012, we notified the landlord of our Phillipsburg, New Jersey property that we were exercising our right within our lease agreement to terminate the lease early in November 2013.</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September 30, 2012 due to the short-term maturities of these instruments.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All of our revenues and most of our expenses are denominated in U.S. dollars and as a result, we have not experienced significant foreign currency transaction gains and losses to date. We have conducted some transactions in foreign currencies during the nine months ended September 30, 2012, primarily related to clinical trial activities outside the U.S., and we expect to continue to do so. Our primary exposure is to fluctuations in the Euro, British Pound, Australian Dollar and Brazilian Real. We do not anticipate that foreign currency transaction gains or losses will be significant at our current level of operations. We have not engaged in foreign currency hedging to date.</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September 30, 2012,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2012.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2012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2011,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ectPr>
          <w:pgSz w:w="11900" w:h="16838" w:orient="portrait"/>
          <w:cols w:equalWidth="0" w:num="1">
            <w:col w:w="11420"/>
          </w:cols>
          <w:pgMar w:left="240" w:top="341" w:right="239" w:bottom="63" w:gutter="0" w:footer="0" w:header="0"/>
        </w:sectPr>
      </w:pPr>
    </w:p>
    <w:bookmarkStart w:id="19" w:name="page20"/>
    <w:bookmarkEnd w:id="19"/>
    <w:p>
      <w:pPr>
        <w:ind w:right="140" w:firstLine="648"/>
        <w:spacing w:after="0" w:line="277" w:lineRule="auto"/>
        <w:rPr>
          <w:sz w:val="20"/>
          <w:szCs w:val="20"/>
          <w:color w:val="auto"/>
        </w:rPr>
      </w:pPr>
      <w:r>
        <w:rPr>
          <w:rFonts w:ascii="Arial" w:cs="Arial" w:eastAsia="Arial" w:hAnsi="Arial"/>
          <w:sz w:val="18"/>
          <w:szCs w:val="18"/>
          <w:color w:val="auto"/>
        </w:rPr>
        <w:t>Except as set forth below, there were no material changes to the risk factors previously disclosed in our Annual Report on Form 10-K filed with the Securities and Exchange Commission on March 8, 2012.</w:t>
      </w:r>
    </w:p>
    <w:p>
      <w:pPr>
        <w:spacing w:after="0" w:line="16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long term success depends heavily on our ability to fund and complete research and development activities for, and to commercialize, our lead drug candidate, rindopepimut, which we are developing internally.</w:t>
      </w:r>
    </w:p>
    <w:p>
      <w:pPr>
        <w:spacing w:after="0" w:line="166"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While in the past we have typically focused on developing and demonstrating proof-of-concept for our product candidates by bringing such candidates through Phase 1 and one or more Phase 2 clincial trials, and then leveraging their value through partnerships, we have decided to fund and complete the research and development activities for rindopepimut ourselves. We plan to commercialize rindopepimut ourselves in North America and to find a partner to commercialize rindopepimut outside of North America. Therefore, we must allocate a significant portion of our time, personnel and financial resources to the development of rindopepimut. We initiated ACT IV, our pivotal Phase 3 clinical trial of rindopepimut, in December 2011. While we are targeting two years for patient accrual, it could take up to three years to enroll all the patients, and another 18 to 24 months of follow-up. We plan to initiate a parallel Phase 2 study in western Europe. We anticipate these two studies to cost over $60 million during their duration. Our management team lacks significant experience in completing Phase 3 clinical trials and bringing a drug through commercialization. If we face delays, difficulties or unanticipated costs in completing the development of rindopepimut, we will need substantial additional financing. Further, even if we complete the development of rindopepimut and gain marketing approvals from the FDA and comparable foreign regulatory authorities in a timely manner, we cannot be sure that rindopepimut will be commercially successful in the pharmaceutical market. If the results of clinical trials of rindopepimut, the anticipated or actual timing of marketing approvals for rindopepimut, or the market acceptance of rindopepimut, if approved, do not meet the expectations of investors or public market analysts, the market price of our common stock would likely decline.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1160" w:right="500" w:hanging="685"/>
        <w:spacing w:after="0" w:line="256" w:lineRule="auto"/>
        <w:tabs>
          <w:tab w:leader="none" w:pos="11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May 28, 2009, by and among Celldex Therapeutics, Inc., CuraGen Corporation and Cottrell Merger Sub, Inc. incorporated by reference to Exhibit 2.1 of the Company’s Current Report on Form 8-K filed May 29, 2009 with the Securities and Exchange Commission.</w:t>
      </w:r>
    </w:p>
    <w:p>
      <w:pPr>
        <w:ind w:left="1160" w:right="760" w:hanging="685"/>
        <w:spacing w:after="0" w:line="265"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Third Restated Certificate of Incorporation of the Company, incorporated by reference to Exhibit 3.1 of the Company’s Registration Statement on Form S-4 (Reg. No. 333-59215), filed July 16, 1998 with the Securities and Exchange Commission.</w:t>
      </w:r>
    </w:p>
    <w:p>
      <w:pPr>
        <w:ind w:left="1160" w:right="280" w:hanging="685"/>
        <w:spacing w:after="0" w:line="281" w:lineRule="auto"/>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Amendment of 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1160" w:right="20" w:hanging="685"/>
        <w:spacing w:after="0" w:line="281" w:lineRule="auto"/>
        <w:tabs>
          <w:tab w:leader="none" w:pos="11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Second Certificate of Amendment of Third Restated Certificate of Incorporation of the Company, incorporated by reference to Exhibit 3.2 of the Company’s Registration Statement on Form S-4 (Reg. No. 333-59215), filed July 16, 1998 with the Securities and Exchange Commission.</w:t>
      </w:r>
    </w:p>
    <w:p>
      <w:pPr>
        <w:spacing w:after="0" w:line="1" w:lineRule="exact"/>
        <w:rPr>
          <w:sz w:val="20"/>
          <w:szCs w:val="20"/>
          <w:color w:val="auto"/>
        </w:rPr>
      </w:pPr>
    </w:p>
    <w:p>
      <w:pPr>
        <w:ind w:left="1160" w:right="240" w:hanging="685"/>
        <w:spacing w:after="0" w:line="265" w:lineRule="auto"/>
        <w:tabs>
          <w:tab w:leader="none" w:pos="11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Third Certificate of Amendment of Third Restated Certificate of Incorporation of the Company, incorporated by reference to Exhibit 3.1 of the Company’s Quarterly Report on Form 10-Q, filed May 10, 2002 with the Securities and Exchange Commission.</w:t>
      </w:r>
    </w:p>
    <w:p>
      <w:pPr>
        <w:ind w:left="1160" w:right="160" w:hanging="685"/>
        <w:spacing w:after="0" w:line="265" w:lineRule="auto"/>
        <w:tabs>
          <w:tab w:leader="none" w:pos="11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Fourth Certificate of Amendment of Third Restated Certificate of Incorporation of the Company, incorporated by reference to Exhibit 3.1 of the Company’s Current Report on Form 8-K, filed on March 11, 2008 with the Securities and Exchange Commission.</w:t>
      </w:r>
    </w:p>
    <w:p>
      <w:pPr>
        <w:ind w:left="1160" w:right="20" w:hanging="685"/>
        <w:spacing w:after="0" w:line="265" w:lineRule="auto"/>
        <w:tabs>
          <w:tab w:leader="none" w:pos="11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Fifth Certificate of Amendment of Third Restated Certificate of Incorporation of the Company, incorporated by reference to Exhibit 3.2 of the Company’s Current Report on Form 8-K, filed on March 11, 2008 with the Securities and Exchange Commission.</w:t>
      </w:r>
    </w:p>
    <w:p>
      <w:pPr>
        <w:ind w:left="1160" w:right="260" w:hanging="685"/>
        <w:spacing w:after="0" w:line="265" w:lineRule="auto"/>
        <w:tabs>
          <w:tab w:leader="none" w:pos="11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Sixth Certificate of Amendment of Third Restated Certificate of Incorporation of the Company, incorporated by reference to Exhibit 3.7 of the Company’s Quarterly Report on Form 10-Q, filed November 10, 2008 with the Securities and Exchange Commission.</w:t>
      </w:r>
    </w:p>
    <w:p>
      <w:pPr>
        <w:ind w:left="1160" w:right="180" w:hanging="685"/>
        <w:spacing w:after="0" w:line="265" w:lineRule="auto"/>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Amendment No. 2 to Shareholder Rights Agreement dated November 5, 2004, between the Company and Computershare Trust Company, N.A. (formerly EquiServe Trust Company, N.A.), as Rights Agent, incorporated by reference to Exhibit 10.1 of the Company’s Registration Statement on Form 8-A1G/A, filed on March 7, 2008 with the Securities and Exchange Commission.</w:t>
      </w:r>
    </w:p>
    <w:p>
      <w:pPr>
        <w:spacing w:after="0" w:line="1" w:lineRule="exact"/>
        <w:rPr>
          <w:sz w:val="20"/>
          <w:szCs w:val="20"/>
          <w:color w:val="auto"/>
        </w:rPr>
      </w:pPr>
    </w:p>
    <w:p>
      <w:pPr>
        <w:ind w:left="1160" w:right="100" w:hanging="730"/>
        <w:spacing w:after="0" w:line="250"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No. 1 to Sales Agreement, dated January 6, 2011, between Celldex Therapeutics, Inc. and Cantor Fitzgerald &amp; Co., dated September 20, 2012 incorporated by reference to Exhibit 10.1 of the Company’s Current Report on Form 8-K, filed September 24, 2012 with the Securities and Exchange Commission.</w:t>
      </w:r>
    </w:p>
    <w:p>
      <w:pPr>
        <w:spacing w:after="0" w:line="1"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w:t>
      </w:r>
    </w:p>
    <w:p>
      <w:pPr>
        <w:spacing w:after="0" w:line="9"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Senior Vice President and Chief Financial Officer</w:t>
      </w:r>
    </w:p>
    <w:p>
      <w:pPr>
        <w:spacing w:after="0" w:line="9"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Section 1350 Certifications</w:t>
      </w:r>
    </w:p>
    <w:p>
      <w:pPr>
        <w:spacing w:after="0" w:line="9"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XBRL Instance Document.</w:t>
      </w:r>
    </w:p>
    <w:p>
      <w:pPr>
        <w:spacing w:after="0" w:line="9"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XBRL Taxonomy Extension Schema Document.</w:t>
      </w:r>
    </w:p>
    <w:p>
      <w:pPr>
        <w:spacing w:after="0" w:line="9"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XBRL Taxonomy Extension Calculation Linkbase Document.</w:t>
      </w:r>
    </w:p>
    <w:p>
      <w:pPr>
        <w:spacing w:after="0" w:line="9"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XBRL Taxonomy Extension Definition Linkbase Document.</w:t>
      </w:r>
    </w:p>
    <w:p>
      <w:pPr>
        <w:spacing w:after="0" w:line="9"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XBRL Taxonomy Extension Label Linkbase Document.</w:t>
      </w:r>
    </w:p>
    <w:p>
      <w:pPr>
        <w:spacing w:after="0" w:line="9"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160" w:hanging="42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160" w:hanging="51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1160" w:hanging="426"/>
        <w:spacing w:after="0" w:line="261"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125" w:right="239" w:bottom="0" w:gutter="0" w:footer="0" w:header="0"/>
        </w:sectPr>
      </w:pPr>
    </w:p>
    <w:bookmarkStart w:id="20" w:name="page21"/>
    <w:bookmarkEnd w:id="20"/>
    <w:p>
      <w:pPr>
        <w:ind w:left="574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November 2, 2012</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36106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AVERY W. CATLIN</w:t>
      </w:r>
    </w:p>
    <w:p>
      <w:pPr>
        <w:spacing w:after="0" w:line="23"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November 2, 2012</w:t>
      </w:r>
      <w:r>
        <w:rPr>
          <w:sz w:val="20"/>
          <w:szCs w:val="20"/>
          <w:color w:val="auto"/>
        </w:rPr>
        <w:tab/>
      </w:r>
      <w:r>
        <w:rPr>
          <w:rFonts w:ascii="Arial" w:cs="Arial" w:eastAsia="Arial" w:hAnsi="Arial"/>
          <w:sz w:val="16"/>
          <w:szCs w:val="16"/>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36106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Treasurer and 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60" w:type="dxa"/>
            <w:vAlign w:val="bottom"/>
            <w:gridSpan w:val="2"/>
          </w:tcPr>
          <w:p>
            <w:pPr>
              <w:jc w:val="right"/>
              <w:ind w:right="5536"/>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60" w:type="dxa"/>
            <w:vAlign w:val="bottom"/>
            <w:gridSpan w:val="4"/>
          </w:tcPr>
          <w:p>
            <w:pPr>
              <w:spacing w:after="0"/>
              <w:rPr>
                <w:rFonts w:ascii="Arial" w:cs="Arial" w:eastAsia="Arial" w:hAnsi="Arial"/>
                <w:sz w:val="18"/>
                <w:szCs w:val="18"/>
                <w:color w:val="0000EE"/>
                <w:w w:val="94"/>
              </w:rPr>
            </w:pPr>
            <w:hyperlink w:anchor="page1">
              <w:r>
                <w:rPr>
                  <w:rFonts w:ascii="Arial" w:cs="Arial" w:eastAsia="Arial" w:hAnsi="Arial"/>
                  <w:sz w:val="18"/>
                  <w:szCs w:val="18"/>
                  <w:color w:val="0000EE"/>
                  <w:w w:val="94"/>
                </w:rPr>
                <w:t>Table of Contents</w:t>
              </w:r>
            </w:hyperlink>
          </w:p>
        </w:tc>
        <w:tc>
          <w:tcPr>
            <w:tcW w:w="60" w:type="dxa"/>
            <w:vAlign w:val="bottom"/>
          </w:tcPr>
          <w:p>
            <w:pPr>
              <w:spacing w:after="0"/>
              <w:rPr>
                <w:sz w:val="24"/>
                <w:szCs w:val="24"/>
                <w:color w:val="auto"/>
              </w:rPr>
            </w:pPr>
          </w:p>
        </w:tc>
        <w:tc>
          <w:tcPr>
            <w:tcW w:w="10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10040" w:type="dxa"/>
            <w:vAlign w:val="bottom"/>
            <w:gridSpan w:val="2"/>
            <w:vMerge w:val="restart"/>
          </w:tcPr>
          <w:p>
            <w:pPr>
              <w:ind w:left="4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60" w:type="dxa"/>
            <w:vAlign w:val="bottom"/>
          </w:tcPr>
          <w:p>
            <w:pPr>
              <w:spacing w:after="0"/>
              <w:rPr>
                <w:sz w:val="14"/>
                <w:szCs w:val="14"/>
                <w:color w:val="auto"/>
              </w:rPr>
            </w:pPr>
          </w:p>
        </w:tc>
        <w:tc>
          <w:tcPr>
            <w:tcW w:w="10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Agreement and Plan of Merger, dated as of May 28, 2009, by and among Celldex Therapeutics, Inc., CuraGen Corporation and Cottrell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5"/>
              </w:rPr>
              <w:t>Merger Sub, Inc. incorporated by reference to Exhibit 2.1 of the Company’s Current Report on Form 8-K filed May 29, 2009 with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6"/>
              </w:rPr>
              <w:t>Third Restated Certificate of Incorporation of the Company, incorporated by reference to Exhibit 3.1 of the Company’s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3"/>
              </w:rPr>
              <w:t>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1"/>
              </w:rPr>
              <w:t>Company’s Registration 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6"/>
              </w:rPr>
              <w:t>of the Company’s Registration Statement on Form S-4 (Reg. No. 333-59215), filed July 16, 1998 with the Securities and Exchange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4"/>
              </w:rPr>
              <w:t>Third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of the Company’s Quarterly Report on Form 10-Q, filed May 10, 2002 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2"/>
              </w:rPr>
              <w:t>Fifth Certificate of Amendment of Third Restated Certificate of Incorporation of the Company, incorporated by reference to Exhibit 3.2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4"/>
              </w:rPr>
              <w:t>Sixth Certificate of Amendment of Third Restated Certificate of Incorporation of the Company, incorporated by reference to Exhibit 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of the Company’s Quarterly Report on Form 10-Q, filed November 10, 2008 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0"/>
              </w:rPr>
              <w:t>Amendment No. 2 to Shareholder Rights Agreement dated November 5, 2004, between the Company and Computershare Trust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N.A. (formerly EquiServe Trust Company, N.A.) as Rights Agent, incorporated by reference to Exhibit 10.1 of the Company’s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Registration Statement on Form 8-A1G/A, filed on March 7, 2008 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3"/>
              </w:rPr>
              <w:t>Amendment No. 1 to Sales Agreement, dated January 6, 2011, between Celldex Therapeutics, Inc. and Cantor Fitzgerald &amp; Co., 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2"/>
              </w:rPr>
              <w:t>September 20, 2012 incorporated by reference to Exhibit 10.1 of the Company’s Current Report on Form 8-K, filed September 24,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Certification of President and Chief Executive Officer</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Certification of Senior Vice President and Chief Financial Officer</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7"/>
              </w:rPr>
              <w:t>**32.1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Section 1350 Certifications</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3"/>
              </w:rPr>
              <w:t>101.1+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3"/>
              </w:rPr>
              <w:t>101.2+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3"/>
              </w:rPr>
              <w:t>101.3+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3"/>
              </w:rPr>
              <w:t>101.4+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3"/>
              </w:rPr>
              <w:t>101.5+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3"/>
              </w:rPr>
              <w:t>101.6+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-5524500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-5524500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420" w:hanging="681"/>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420" w:hanging="771"/>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1420" w:right="260" w:hanging="686"/>
        <w:spacing w:after="0" w:line="290" w:lineRule="auto"/>
        <w:tabs>
          <w:tab w:leader="none" w:pos="14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ectPr>
          <w:pgSz w:w="11900" w:h="16838" w:orient="portrait"/>
          <w:cols w:equalWidth="0" w:num="1">
            <w:col w:w="11460"/>
          </w:cols>
          <w:pgMar w:left="240" w:top="121" w:right="199" w:bottom="1440" w:gutter="0" w:footer="0" w:header="0"/>
        </w:sectPr>
      </w:pP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type w:val="continuous"/>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520" w:hanging="330"/>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520" w:right="480" w:hanging="330"/>
        <w:spacing w:after="0" w:line="264"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40" w:hanging="330"/>
        <w:spacing w:after="0" w:line="308"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0" w:hanging="330"/>
        <w:spacing w:after="0" w:line="264"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60" w:right="80" w:hanging="646"/>
        <w:spacing w:after="0" w:line="264" w:lineRule="auto"/>
        <w:tabs>
          <w:tab w:leader="none" w:pos="11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400" w:hanging="646"/>
        <w:spacing w:after="0" w:line="264" w:lineRule="auto"/>
        <w:tabs>
          <w:tab w:leader="none" w:pos="11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60" w:hanging="646"/>
        <w:spacing w:after="0" w:line="342" w:lineRule="auto"/>
        <w:tabs>
          <w:tab w:leader="none" w:pos="117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80" w:hanging="646"/>
        <w:spacing w:after="0" w:line="264" w:lineRule="auto"/>
        <w:tabs>
          <w:tab w:leader="none" w:pos="11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60" w:hanging="330"/>
        <w:spacing w:after="0" w:line="308"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820" w:hanging="646"/>
        <w:spacing w:after="0" w:line="342" w:lineRule="auto"/>
        <w:tabs>
          <w:tab w:leader="none" w:pos="1157"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500" w:hanging="646"/>
        <w:spacing w:after="0" w:line="277" w:lineRule="auto"/>
        <w:tabs>
          <w:tab w:leader="none" w:pos="11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2, 2012</w:t>
            </w:r>
          </w:p>
        </w:tc>
        <w:tc>
          <w:tcPr>
            <w:tcW w:w="2740" w:type="dxa"/>
            <w:vAlign w:val="bottom"/>
          </w:tcPr>
          <w:p>
            <w:pPr>
              <w:ind w:left="198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740" w:type="dxa"/>
            <w:vAlign w:val="bottom"/>
          </w:tcPr>
          <w:p>
            <w:pPr>
              <w:ind w:left="198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740" w:type="dxa"/>
            <w:vAlign w:val="bottom"/>
          </w:tcPr>
          <w:p>
            <w:pPr>
              <w:ind w:left="198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74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520" w:hanging="330"/>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500" w:right="480" w:hanging="310"/>
        <w:spacing w:after="0" w:line="264" w:lineRule="auto"/>
        <w:tabs>
          <w:tab w:leader="none" w:pos="5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00" w:right="440" w:hanging="310"/>
        <w:spacing w:after="0" w:line="308" w:lineRule="auto"/>
        <w:tabs>
          <w:tab w:leader="none" w:pos="512"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60" w:hanging="310"/>
        <w:spacing w:after="0" w:line="264" w:lineRule="auto"/>
        <w:tabs>
          <w:tab w:leader="none" w:pos="5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60" w:right="80" w:hanging="646"/>
        <w:spacing w:after="0" w:line="264" w:lineRule="auto"/>
        <w:tabs>
          <w:tab w:leader="none" w:pos="11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400" w:hanging="646"/>
        <w:spacing w:after="0" w:line="264" w:lineRule="auto"/>
        <w:tabs>
          <w:tab w:leader="none" w:pos="11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60" w:hanging="646"/>
        <w:spacing w:after="0" w:line="342" w:lineRule="auto"/>
        <w:tabs>
          <w:tab w:leader="none" w:pos="117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80" w:hanging="646"/>
        <w:spacing w:after="0" w:line="264" w:lineRule="auto"/>
        <w:tabs>
          <w:tab w:leader="none" w:pos="11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00" w:right="360" w:hanging="310"/>
        <w:spacing w:after="0" w:line="308" w:lineRule="auto"/>
        <w:tabs>
          <w:tab w:leader="none" w:pos="51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820" w:hanging="646"/>
        <w:spacing w:after="0" w:line="342" w:lineRule="auto"/>
        <w:tabs>
          <w:tab w:leader="none" w:pos="1157"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500" w:hanging="646"/>
        <w:spacing w:after="0" w:line="277" w:lineRule="auto"/>
        <w:tabs>
          <w:tab w:leader="none" w:pos="11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2, 2012</w:t>
            </w:r>
          </w:p>
        </w:tc>
        <w:tc>
          <w:tcPr>
            <w:tcW w:w="2720" w:type="dxa"/>
            <w:vAlign w:val="bottom"/>
          </w:tcPr>
          <w:p>
            <w:pPr>
              <w:ind w:left="20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780" w:type="dxa"/>
            <w:vAlign w:val="bottom"/>
          </w:tcPr>
          <w:p>
            <w:pPr>
              <w:spacing w:after="0"/>
              <w:rPr>
                <w:sz w:val="16"/>
                <w:szCs w:val="16"/>
                <w:color w:val="auto"/>
              </w:rPr>
            </w:pPr>
          </w:p>
        </w:tc>
        <w:tc>
          <w:tcPr>
            <w:tcW w:w="272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2720" w:type="dxa"/>
            <w:vAlign w:val="bottom"/>
          </w:tcPr>
          <w:p>
            <w:pPr>
              <w:ind w:left="200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4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3780" w:type="dxa"/>
            <w:vAlign w:val="bottom"/>
            <w:tcBorders>
              <w:bottom w:val="single" w:sz="8" w:color="010101"/>
            </w:tcBorders>
          </w:tcPr>
          <w:p>
            <w:pPr>
              <w:spacing w:after="0"/>
              <w:rPr>
                <w:sz w:val="24"/>
                <w:szCs w:val="24"/>
                <w:color w:val="auto"/>
              </w:rPr>
            </w:pPr>
          </w:p>
        </w:tc>
        <w:tc>
          <w:tcPr>
            <w:tcW w:w="272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2, 2012</w:t>
            </w:r>
          </w:p>
        </w:tc>
        <w:tc>
          <w:tcPr>
            <w:tcW w:w="2780" w:type="dxa"/>
            <w:vAlign w:val="bottom"/>
          </w:tcPr>
          <w:p>
            <w:pPr>
              <w:ind w:left="2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780" w:type="dxa"/>
            <w:vAlign w:val="bottom"/>
          </w:tcPr>
          <w:p>
            <w:pPr>
              <w:spacing w:after="0"/>
              <w:rPr>
                <w:sz w:val="16"/>
                <w:szCs w:val="16"/>
                <w:color w:val="auto"/>
              </w:rPr>
            </w:pPr>
          </w:p>
        </w:tc>
        <w:tc>
          <w:tcPr>
            <w:tcW w:w="278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780" w:type="dxa"/>
            <w:vAlign w:val="bottom"/>
          </w:tcPr>
          <w:p>
            <w:pPr>
              <w:spacing w:after="0"/>
              <w:rPr>
                <w:sz w:val="20"/>
                <w:szCs w:val="20"/>
                <w:color w:val="auto"/>
              </w:rPr>
            </w:pPr>
          </w:p>
        </w:tc>
        <w:tc>
          <w:tcPr>
            <w:tcW w:w="2780" w:type="dxa"/>
            <w:vAlign w:val="bottom"/>
          </w:tcPr>
          <w:p>
            <w:pPr>
              <w:ind w:left="2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November 2, 2012</w:t>
            </w:r>
          </w:p>
        </w:tc>
        <w:tc>
          <w:tcPr>
            <w:tcW w:w="2780" w:type="dxa"/>
            <w:vAlign w:val="bottom"/>
          </w:tcPr>
          <w:p>
            <w:pPr>
              <w:ind w:left="2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780" w:type="dxa"/>
            <w:vAlign w:val="bottom"/>
          </w:tcPr>
          <w:p>
            <w:pPr>
              <w:spacing w:after="0"/>
              <w:rPr>
                <w:sz w:val="16"/>
                <w:szCs w:val="16"/>
                <w:color w:val="auto"/>
              </w:rPr>
            </w:pPr>
          </w:p>
        </w:tc>
        <w:tc>
          <w:tcPr>
            <w:tcW w:w="278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16"/>
        </w:trPr>
        <w:tc>
          <w:tcPr>
            <w:tcW w:w="3780" w:type="dxa"/>
            <w:vAlign w:val="bottom"/>
          </w:tcPr>
          <w:p>
            <w:pPr>
              <w:spacing w:after="0"/>
              <w:rPr>
                <w:sz w:val="18"/>
                <w:szCs w:val="18"/>
                <w:color w:val="auto"/>
              </w:rPr>
            </w:pPr>
          </w:p>
        </w:tc>
        <w:tc>
          <w:tcPr>
            <w:tcW w:w="2780" w:type="dxa"/>
            <w:vAlign w:val="bottom"/>
          </w:tcPr>
          <w:p>
            <w:pPr>
              <w:ind w:left="2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7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upperLetter"/>
      <w:start w:val="2"/>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lvl w:ilvl="1">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lvl w:ilvl="1">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2019-12-09T09:35:41Z</dcterms:created>
  <dcterms:modified xsi:type="dcterms:W3CDTF">2019-12-09T09:35:41Z</dcterms:modified>
</cp:coreProperties>
</file>