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25" w:lineRule="exact"/>
        <w:rPr>
          <w:sz w:val="24"/>
          <w:szCs w:val="24"/>
          <w:color w:val="auto"/>
        </w:rPr>
      </w:pPr>
    </w:p>
    <w:p>
      <w:pPr>
        <w:ind w:left="3400" w:right="1080" w:hanging="3068"/>
        <w:spacing w:after="0" w:line="421" w:lineRule="auto"/>
        <w:tabs>
          <w:tab w:leader="none" w:pos="61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line="246" w:lineRule="exact"/>
        <w:rPr>
          <w:sz w:val="24"/>
          <w:szCs w:val="24"/>
          <w:color w:val="auto"/>
        </w:rPr>
      </w:pPr>
    </w:p>
    <w:p>
      <w:pPr>
        <w:ind w:left="3660" w:right="1080" w:hanging="3328"/>
        <w:spacing w:after="0" w:line="372" w:lineRule="auto"/>
        <w:tabs>
          <w:tab w:leader="none" w:pos="6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000-15006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CELLDEX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9920"/>
          </w:cols>
          <w:pgMar w:left="980" w:top="665" w:right="999" w:bottom="1440" w:gutter="0" w:footer="0" w:header="0"/>
        </w:sectPr>
      </w:pPr>
    </w:p>
    <w:p>
      <w:pPr>
        <w:spacing w:after="0" w:line="95" w:lineRule="exact"/>
        <w:rPr>
          <w:sz w:val="24"/>
          <w:szCs w:val="24"/>
          <w:color w:val="auto"/>
        </w:rPr>
      </w:pPr>
    </w:p>
    <w:p>
      <w:pPr>
        <w:jc w:val="center"/>
        <w:ind w:right="7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No. 13-3191702</w:t>
      </w:r>
    </w:p>
    <w:p>
      <w:pPr>
        <w:spacing w:after="0" w:line="26"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5600" w:space="720"/>
            <w:col w:w="3600"/>
          </w:cols>
          <w:pgMar w:left="980" w:top="665" w:right="99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Perryville III Building, 53 Frontage Road, Suite 220, Hampton, New Jersey 08827</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(908) 200-7500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Title of each class</w:t>
            </w:r>
          </w:p>
        </w:tc>
        <w:tc>
          <w:tcPr>
            <w:tcW w:w="2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Trading 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3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w:t>
            </w:r>
          </w:p>
        </w:tc>
        <w:tc>
          <w:tcPr>
            <w:tcW w:w="180" w:type="dxa"/>
            <w:vAlign w:val="bottom"/>
          </w:tcPr>
          <w:p>
            <w:pPr>
              <w:spacing w:after="0"/>
              <w:rPr>
                <w:sz w:val="17"/>
                <w:szCs w:val="17"/>
                <w:color w:val="auto"/>
              </w:rPr>
            </w:pPr>
          </w:p>
        </w:tc>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CLDX</w:t>
            </w:r>
          </w:p>
        </w:tc>
        <w:tc>
          <w:tcPr>
            <w:tcW w:w="16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8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w:t>
      </w:r>
    </w:p>
    <w:p>
      <w:pPr>
        <w:spacing w:after="0" w:line="45" w:lineRule="exact"/>
        <w:rPr>
          <w:sz w:val="24"/>
          <w:szCs w:val="24"/>
          <w:color w:val="auto"/>
        </w:rPr>
      </w:pPr>
    </w:p>
    <w:p>
      <w:pPr>
        <w:ind w:right="240"/>
        <w:spacing w:after="0" w:line="211" w:lineRule="exact"/>
        <w:rPr>
          <w:sz w:val="20"/>
          <w:szCs w:val="20"/>
          <w:color w:val="auto"/>
        </w:rPr>
      </w:pPr>
      <w:r>
        <w:rPr>
          <w:rFonts w:ascii="Arial" w:cs="Arial" w:eastAsia="Arial" w:hAnsi="Arial"/>
          <w:sz w:val="16"/>
          <w:szCs w:val="16"/>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left="340"/>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w:t>
      </w:r>
    </w:p>
    <w:p>
      <w:pPr>
        <w:spacing w:after="0" w:line="34" w:lineRule="exact"/>
        <w:rPr>
          <w:sz w:val="24"/>
          <w:szCs w:val="24"/>
          <w:color w:val="auto"/>
        </w:rPr>
      </w:pPr>
    </w:p>
    <w:p>
      <w:pPr>
        <w:ind w:right="200"/>
        <w:spacing w:after="0" w:line="211" w:lineRule="exact"/>
        <w:rPr>
          <w:sz w:val="20"/>
          <w:szCs w:val="20"/>
          <w:color w:val="auto"/>
        </w:rPr>
      </w:pPr>
      <w:r>
        <w:rPr>
          <w:rFonts w:ascii="Arial" w:cs="Arial" w:eastAsia="Arial" w:hAnsi="Arial"/>
          <w:sz w:val="16"/>
          <w:szCs w:val="16"/>
          <w:color w:val="auto"/>
        </w:rPr>
        <w:t xml:space="preserve">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6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5" w:right="999" w:bottom="1440" w:gutter="0" w:footer="0" w:header="0"/>
          <w:type w:val="continuous"/>
        </w:sectPr>
      </w:pPr>
    </w:p>
    <w:p>
      <w:pPr>
        <w:spacing w:after="0" w:line="33" w:lineRule="exact"/>
        <w:rPr>
          <w:sz w:val="24"/>
          <w:szCs w:val="24"/>
          <w:color w:val="auto"/>
        </w:rPr>
      </w:pPr>
    </w:p>
    <w:p>
      <w:pPr>
        <w:ind w:left="16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86" w:lineRule="exact"/>
        <w:rPr>
          <w:sz w:val="24"/>
          <w:szCs w:val="24"/>
          <w:color w:val="auto"/>
        </w:rPr>
      </w:pPr>
    </w:p>
    <w:p>
      <w:pPr>
        <w:ind w:left="166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3"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jc w:val="center"/>
        <w:ind w:right="14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2" w:lineRule="exact"/>
        <w:rPr>
          <w:sz w:val="24"/>
          <w:szCs w:val="24"/>
          <w:color w:val="auto"/>
        </w:rPr>
      </w:pPr>
    </w:p>
    <w:p>
      <w:pPr>
        <w:sectPr>
          <w:pgSz w:w="11900" w:h="16838" w:orient="portrait"/>
          <w:cols w:equalWidth="0" w:num="2">
            <w:col w:w="5800" w:space="720"/>
            <w:col w:w="3400"/>
          </w:cols>
          <w:pgMar w:left="980" w:top="665" w:right="999" w:bottom="1440" w:gutter="0" w:footer="0" w:header="0"/>
          <w:type w:val="continuous"/>
        </w:sectPr>
      </w:pPr>
    </w:p>
    <w:p>
      <w:pPr>
        <w:ind w:right="200" w:firstLine="324"/>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1340"/>
        <w:spacing w:after="0" w:line="26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July 29, 2022, 46,772,351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483870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64135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2"/>
            <w:shd w:val="clear" w:color="auto" w:fill="CCEEFF"/>
          </w:tcPr>
          <w:p>
            <w:pPr>
              <w:spacing w:after="0" w:line="156" w:lineRule="exact"/>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694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Unaudited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June 30, 2022 and December 31, 2021</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Loss for the Three and Six Months Ended June 30,</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40" w:type="dxa"/>
            <w:vAlign w:val="bottom"/>
            <w:tcBorders>
              <w:top w:val="single" w:sz="8" w:color="0000EE"/>
            </w:tcBorders>
            <w:gridSpan w:val="18"/>
          </w:tcPr>
          <w:p>
            <w:pPr>
              <w:ind w:left="1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2022 and 2021</w:t>
              </w:r>
            </w:hyperlink>
          </w:p>
        </w:tc>
        <w:tc>
          <w:tcPr>
            <w:tcW w:w="2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Six Months Ended June 30, 2022 and 2021</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Unaudited Condensed Consolidated Financial Statements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86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8680" w:type="dxa"/>
            <w:vAlign w:val="bottom"/>
            <w:gridSpan w:val="17"/>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86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Item 1. Legal Proceedings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1A. Risk Factors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86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Exhibit Index</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shd w:val="clear" w:color="auto" w:fill="CCEEFF"/>
          </w:tcPr>
          <w:p>
            <w:pPr>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Signatures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60" w:type="dxa"/>
            <w:vAlign w:val="bottom"/>
          </w:tcPr>
          <w:p>
            <w:pPr>
              <w:jc w:val="right"/>
              <w:ind w:right="171"/>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7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39,143</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328,416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369,107</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and other receivables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7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w:t>
            </w:r>
          </w:p>
        </w:tc>
      </w:tr>
      <w:tr>
        <w:trPr>
          <w:trHeight w:val="209"/>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367,979</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410,839</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3,551</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27,190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5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402,961</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444,654</w:t>
            </w: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Litigation settlement payable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Current portion of operating lease liabilities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1,746</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10"/>
        </w:trPr>
        <w:tc>
          <w:tcPr>
            <w:tcW w:w="7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16,528</w:t>
            </w: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operating lease liabilities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7,354</w:t>
            </w:r>
          </w:p>
        </w:tc>
      </w:tr>
      <w:tr>
        <w:trPr>
          <w:trHeight w:val="210"/>
        </w:trPr>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25,178</w:t>
            </w: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Commitments and contingent liabilities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2"/>
        </w:trPr>
        <w:tc>
          <w:tcPr>
            <w:tcW w:w="7100" w:type="dxa"/>
            <w:vAlign w:val="bottom"/>
          </w:tcPr>
          <w:p>
            <w:pPr>
              <w:ind w:left="220"/>
              <w:spacing w:after="0" w:line="201" w:lineRule="exact"/>
              <w:rPr>
                <w:sz w:val="20"/>
                <w:szCs w:val="20"/>
                <w:color w:val="auto"/>
              </w:rPr>
            </w:pPr>
            <w:r>
              <w:rPr>
                <w:rFonts w:ascii="Arial" w:cs="Arial" w:eastAsia="Arial" w:hAnsi="Arial"/>
                <w:sz w:val="18"/>
                <w:szCs w:val="18"/>
                <w:color w:val="auto"/>
                <w:w w:val="94"/>
              </w:rPr>
              <w:t>Convertible preferred stock, $.01 par value; 3,000,000 shares authorized; no shares issued</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7100" w:type="dxa"/>
            <w:vAlign w:val="bottom"/>
          </w:tcPr>
          <w:p>
            <w:pPr>
              <w:ind w:left="220"/>
              <w:spacing w:after="0"/>
              <w:rPr>
                <w:sz w:val="20"/>
                <w:szCs w:val="20"/>
                <w:color w:val="auto"/>
              </w:rPr>
            </w:pPr>
            <w:r>
              <w:rPr>
                <w:rFonts w:ascii="Arial" w:cs="Arial" w:eastAsia="Arial" w:hAnsi="Arial"/>
                <w:sz w:val="18"/>
                <w:szCs w:val="18"/>
                <w:color w:val="auto"/>
              </w:rPr>
              <w:t>and outstanding at June 30, 2022 and December 31, 2021</w:t>
            </w:r>
          </w:p>
        </w:tc>
        <w:tc>
          <w:tcPr>
            <w:tcW w:w="24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Common stock, $.001 par value; 297,000,000 shares authorized; 46,764,703 and 46,730,198</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shares issued and outstanding at June 30, 2022 and December 31, 2021, respectively</w:t>
            </w:r>
          </w:p>
        </w:tc>
        <w:tc>
          <w:tcPr>
            <w:tcW w:w="2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1,568,124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1,561,142</w:t>
            </w:r>
          </w:p>
        </w:tc>
      </w:tr>
      <w:tr>
        <w:trPr>
          <w:trHeight w:val="216"/>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16"/>
        </w:trPr>
        <w:tc>
          <w:tcPr>
            <w:tcW w:w="71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(1,202,661)</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(1,143,607)</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365,093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419,476</w:t>
            </w:r>
          </w:p>
        </w:tc>
      </w:tr>
      <w:tr>
        <w:trPr>
          <w:trHeight w:val="210"/>
        </w:trPr>
        <w:tc>
          <w:tcPr>
            <w:tcW w:w="71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402,961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444,654</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CELLDEX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Three Months</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Six Months</w:t>
            </w:r>
          </w:p>
        </w:tc>
        <w:tc>
          <w:tcPr>
            <w:tcW w:w="160" w:type="dxa"/>
            <w:vAlign w:val="bottom"/>
          </w:tcPr>
          <w:p>
            <w:pPr>
              <w:spacing w:after="0"/>
              <w:rPr>
                <w:sz w:val="14"/>
                <w:szCs w:val="14"/>
                <w:color w:val="auto"/>
              </w:rPr>
            </w:pPr>
          </w:p>
        </w:tc>
        <w:tc>
          <w:tcPr>
            <w:tcW w:w="108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4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8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June 30, 2022</w:t>
            </w: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June 30, 2021</w:t>
            </w:r>
          </w:p>
        </w:tc>
        <w:tc>
          <w:tcPr>
            <w:tcW w:w="1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2022</w:t>
            </w:r>
          </w:p>
        </w:tc>
        <w:tc>
          <w:tcPr>
            <w:tcW w:w="160" w:type="dxa"/>
            <w:vAlign w:val="bottom"/>
          </w:tcPr>
          <w:p>
            <w:pPr>
              <w:spacing w:after="0"/>
              <w:rPr>
                <w:sz w:val="14"/>
                <w:szCs w:val="14"/>
                <w:color w:val="auto"/>
              </w:rPr>
            </w:pPr>
          </w:p>
        </w:tc>
        <w:tc>
          <w:tcPr>
            <w:tcW w:w="108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June 30, 2021</w:t>
            </w: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3"/>
          </w:tcPr>
          <w:p>
            <w:pPr>
              <w:ind w:left="84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4,136</w:t>
            </w:r>
          </w:p>
        </w:tc>
      </w:tr>
      <w:tr>
        <w:trPr>
          <w:trHeight w:val="209"/>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w:t>
            </w:r>
          </w:p>
        </w:tc>
      </w:tr>
      <w:tr>
        <w:trPr>
          <w:trHeight w:val="210"/>
        </w:trPr>
        <w:tc>
          <w:tcPr>
            <w:tcW w:w="4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(Gain) loss on fair value remeasurement of contingent consideration</w:t>
      </w:r>
    </w:p>
    <w:p>
      <w:pPr>
        <w:spacing w:after="0" w:line="1" w:lineRule="exact"/>
        <w:rPr>
          <w:sz w:val="20"/>
          <w:szCs w:val="20"/>
          <w:color w:val="auto"/>
        </w:rPr>
      </w:pPr>
    </w:p>
    <w:p>
      <w:pPr>
        <w:ind w:right="1540"/>
        <w:spacing w:after="0" w:line="306" w:lineRule="auto"/>
        <w:rPr>
          <w:sz w:val="20"/>
          <w:szCs w:val="20"/>
          <w:color w:val="auto"/>
        </w:rPr>
      </w:pPr>
      <w:r>
        <w:rPr>
          <w:rFonts w:ascii="Arial" w:cs="Arial" w:eastAsia="Arial" w:hAnsi="Arial"/>
          <w:sz w:val="17"/>
          <w:szCs w:val="17"/>
          <w:color w:val="auto"/>
        </w:rPr>
        <w:t>Litigation settlement related loss Total operating expenses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jc w:val="right"/>
              <w:spacing w:after="0"/>
              <w:rPr>
                <w:sz w:val="20"/>
                <w:szCs w:val="20"/>
                <w:color w:val="auto"/>
              </w:rPr>
            </w:pPr>
            <w:r>
              <w:rPr>
                <w:rFonts w:ascii="Arial" w:cs="Arial" w:eastAsia="Arial" w:hAnsi="Arial"/>
                <w:sz w:val="18"/>
                <w:szCs w:val="18"/>
                <w:color w:val="auto"/>
              </w:rPr>
              <w:t>20,731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12,356</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37,786</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25,076</w:t>
            </w:r>
          </w:p>
        </w:tc>
        <w:tc>
          <w:tcPr>
            <w:tcW w:w="0" w:type="dxa"/>
            <w:vAlign w:val="bottom"/>
          </w:tcPr>
          <w:p>
            <w:pPr>
              <w:spacing w:after="0"/>
              <w:rPr>
                <w:sz w:val="1"/>
                <w:szCs w:val="1"/>
                <w:color w:val="auto"/>
              </w:rPr>
            </w:pP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color w:val="auto"/>
              </w:rPr>
              <w:t>7,154</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4,306</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14,066</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324"/>
        </w:trPr>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(6,326)</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24"/>
                <w:szCs w:val="24"/>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(6,862)</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36,559</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20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59,990</w:t>
            </w:r>
          </w:p>
        </w:tc>
        <w:tc>
          <w:tcPr>
            <w:tcW w:w="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-2800350</wp:posOffset>
            </wp:positionH>
            <wp:positionV relativeFrom="paragraph">
              <wp:posOffset>-839470</wp:posOffset>
            </wp:positionV>
            <wp:extent cx="629221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3716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-565150</wp:posOffset>
            </wp:positionV>
            <wp:extent cx="6292215"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7432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-153670</wp:posOffset>
            </wp:positionV>
            <wp:extent cx="629221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900" w:space="520"/>
            <w:col w:w="5500"/>
          </w:cols>
          <w:pgMar w:left="980" w:top="665" w:right="99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(13,440)</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(59,653)</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(13,373)</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(59,054)</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used in calculating basic and diluted net loss per</w:t>
            </w: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39,616</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46,749</w:t>
            </w: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share</w:t>
            </w:r>
          </w:p>
        </w:tc>
        <w:tc>
          <w:tcPr>
            <w:tcW w:w="3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Borders>
              <w:bottom w:val="single" w:sz="8" w:color="CCEEFF"/>
            </w:tcBorders>
            <w:vMerge w:val="continue"/>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vMerge w:val="continue"/>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(36,004)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(13,373)</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(59,054)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00"/>
              <w:spacing w:after="0"/>
              <w:rPr>
                <w:sz w:val="20"/>
                <w:szCs w:val="20"/>
                <w:color w:val="auto"/>
              </w:rPr>
            </w:pPr>
            <w:r>
              <w:rPr>
                <w:rFonts w:ascii="Arial" w:cs="Arial" w:eastAsia="Arial" w:hAnsi="Arial"/>
                <w:sz w:val="18"/>
                <w:szCs w:val="18"/>
                <w:color w:val="auto"/>
              </w:rPr>
              <w:t>Unrealized (loss) gain on marketable securities</w:t>
            </w:r>
          </w:p>
        </w:tc>
        <w:tc>
          <w:tcPr>
            <w:tcW w:w="3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(2,311)</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(61,365)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5" w:lineRule="auto"/>
        <w:rPr>
          <w:sz w:val="20"/>
          <w:szCs w:val="20"/>
          <w:color w:val="auto"/>
        </w:rPr>
      </w:pPr>
      <w:r>
        <w:rPr>
          <w:rFonts w:ascii="Arial" w:cs="Arial" w:eastAsia="Arial" w:hAnsi="Arial"/>
          <w:sz w:val="18"/>
          <w:szCs w:val="18"/>
          <w:b w:val="1"/>
          <w:bCs w:val="1"/>
          <w:color w:val="auto"/>
        </w:rPr>
        <w:t>CELLDEX THERAPEUTICS, INC. CONDENSED CONSOLIDATED STATEMENTS OF CASH FLOW (Unaudited)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 2022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(59,054)</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and premium of marketable securities,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Loss (gain) on sale or disposal of assets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fair value remeasurement of contingent consideration</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and other receivables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Litigation settlement payable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maturities of marketable securities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(69,847)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Proceeds from sale or disposal of assets</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stock from employee benefit plans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(10,742)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Non-cash investing activities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construction in progress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020" w:right="2380"/>
        <w:spacing w:after="0" w:line="266" w:lineRule="auto"/>
        <w:rPr>
          <w:sz w:val="20"/>
          <w:szCs w:val="20"/>
          <w:color w:val="auto"/>
        </w:rPr>
      </w:pPr>
      <w:r>
        <w:rPr>
          <w:rFonts w:ascii="Arial" w:cs="Arial" w:eastAsia="Arial" w:hAnsi="Arial"/>
          <w:sz w:val="18"/>
          <w:szCs w:val="18"/>
          <w:b w:val="1"/>
          <w:bCs w:val="1"/>
          <w:color w:val="auto"/>
        </w:rPr>
        <w:t>CELLDEX THERAPEUTICS, INC. Notes to Unaudited Condensed Consolidated Financial Statements June 30,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2021, which are included in the Company’s Annual Report on Form 10-K filed with the Securities and Exchange Commission on February 28, 2022.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9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results of operations for the interim periods are not necessarily indicative of the results of operations to be expected for any future interim period or the fiscal year ending December 31, 2022.</w:t>
      </w:r>
    </w:p>
    <w:p>
      <w:pPr>
        <w:spacing w:after="0" w:line="170" w:lineRule="exact"/>
        <w:rPr>
          <w:sz w:val="20"/>
          <w:szCs w:val="20"/>
          <w:color w:val="auto"/>
        </w:rPr>
      </w:pPr>
    </w:p>
    <w:p>
      <w:pPr>
        <w:ind w:right="120" w:firstLine="648"/>
        <w:spacing w:after="0" w:line="275" w:lineRule="auto"/>
        <w:rPr>
          <w:sz w:val="20"/>
          <w:szCs w:val="20"/>
          <w:color w:val="auto"/>
        </w:rPr>
      </w:pPr>
      <w:r>
        <w:rPr>
          <w:rFonts w:ascii="Arial" w:cs="Arial" w:eastAsia="Arial" w:hAnsi="Arial"/>
          <w:sz w:val="17"/>
          <w:szCs w:val="17"/>
          <w:color w:val="auto"/>
        </w:rPr>
        <w:t>At June 30, 2022, the Company had cash, cash equivalents and marketable securities of $356.8 million. The Company has had recurring losses and incurred a loss of $59.1 million for the six months ended June 30, 2022. Net cash used in operations for the six months ended June 30, 2022 was $46.8 million. The Company believes that the cash, cash equivalents and marketable securities at the filing date of this Form 10-Q will be sufficient to meet estimated working capital requirements and fund planned operations for at least the next twelve months from the date of issuance of these financial statements.</w:t>
      </w:r>
    </w:p>
    <w:p>
      <w:pPr>
        <w:spacing w:after="0" w:line="17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amounts due under the Settlement Agreement with Shareholder Representative Services LLC (“SRS”) (refer to Note 13), in the event that the Company achieves the milestones related to those payments. The Company, at its option, may decide to pay those milestone payments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we have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 Any prolonged negative impacts to our business could materially impact our operating results and could lead to impairments of our intangible in-process research and development (“IPR&amp;D”) assets with a carrying value of $27.2 million at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9"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on Form 10-Q for the three and six months ended June 30, 2022 are consistent with those discussed in Note 2 to the financial statements in our Annual Report on Form 10-K for the year ended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4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June 2016, the FASB issued guidance on the Measurement of Credit Losses on Financial Instruments. The guidance requires that credit losses be reported using an expected losses model rather than the incurred losses model that is currently used, and establishes additional disclosures related to credit risks. For available-for-sale debt securities with unrealized losses, the standard now requires allowances to be recorded instead of reducing the amortized cost of the investment. This standard will be effective for the Company on January 1, 2023. The adoption of this new guidance is not expected to have a material impact on the Company’s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the Company’s financial assets and liabilities subject to fair value measurements: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gridSpan w:val="2"/>
            <w:vMerge w:val="restart"/>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2"/>
              </w:rPr>
              <w:t>Level 2</w:t>
            </w:r>
          </w:p>
        </w:tc>
        <w:tc>
          <w:tcPr>
            <w:tcW w:w="6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2022</w:t>
            </w:r>
          </w:p>
        </w:tc>
        <w:tc>
          <w:tcPr>
            <w:tcW w:w="160" w:type="dxa"/>
            <w:vAlign w:val="bottom"/>
          </w:tcPr>
          <w:p>
            <w:pPr>
              <w:spacing w:after="0"/>
              <w:rPr>
                <w:sz w:val="14"/>
                <w:szCs w:val="14"/>
                <w:color w:val="auto"/>
              </w:rPr>
            </w:pPr>
          </w:p>
        </w:tc>
        <w:tc>
          <w:tcPr>
            <w:tcW w:w="200" w:type="dxa"/>
            <w:vAlign w:val="bottom"/>
            <w:tcBorders>
              <w:bottom w:val="single" w:sz="8" w:color="auto"/>
            </w:tcBorders>
            <w:gridSpan w:val="2"/>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7"/>
          </w:tcPr>
          <w:p>
            <w:pPr>
              <w:ind w:left="38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7,114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328,416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328,416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335,530</w:t>
            </w:r>
          </w:p>
        </w:tc>
        <w:tc>
          <w:tcPr>
            <w:tcW w:w="160" w:type="dxa"/>
            <w:vAlign w:val="bottom"/>
            <w:tcBorders>
              <w:bottom w:val="single" w:sz="8" w:color="CCEEFF"/>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335,530</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w:t>
            </w:r>
          </w:p>
        </w:tc>
        <w:tc>
          <w:tcPr>
            <w:tcW w:w="8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1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8"/>
          </w:tcPr>
          <w:p>
            <w:pPr>
              <w:ind w:left="360"/>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Money market funds and cash equivalents</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26,220</w:t>
            </w:r>
          </w:p>
        </w:tc>
        <w:tc>
          <w:tcPr>
            <w:tcW w:w="140" w:type="dxa"/>
            <w:vAlign w:val="bottom"/>
          </w:tcPr>
          <w:p>
            <w:pPr>
              <w:spacing w:after="0"/>
              <w:rPr>
                <w:sz w:val="18"/>
                <w:szCs w:val="18"/>
                <w:color w:val="auto"/>
              </w:rPr>
            </w:pPr>
          </w:p>
        </w:tc>
        <w:tc>
          <w:tcPr>
            <w:tcW w:w="9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26,220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Marketable securities</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369,107</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369,107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395,327</w:t>
            </w:r>
          </w:p>
        </w:tc>
        <w:tc>
          <w:tcPr>
            <w:tcW w:w="140" w:type="dxa"/>
            <w:vAlign w:val="bottom"/>
            <w:tcBorders>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395,327</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20"/>
              <w:spacing w:after="0"/>
              <w:rPr>
                <w:sz w:val="20"/>
                <w:szCs w:val="20"/>
                <w:color w:val="auto"/>
              </w:rPr>
            </w:pPr>
            <w:r>
              <w:rPr>
                <w:rFonts w:ascii="Arial" w:cs="Arial" w:eastAsia="Arial" w:hAnsi="Arial"/>
                <w:sz w:val="18"/>
                <w:szCs w:val="18"/>
                <w:color w:val="auto"/>
              </w:rPr>
              <w:t>Kolltan acquisition contingent consideration</w:t>
            </w:r>
          </w:p>
        </w:tc>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6,862</w:t>
            </w:r>
          </w:p>
        </w:tc>
        <w:tc>
          <w:tcPr>
            <w:tcW w:w="140" w:type="dxa"/>
            <w:vAlign w:val="bottom"/>
          </w:tcPr>
          <w:p>
            <w:pPr>
              <w:spacing w:after="0"/>
              <w:rPr>
                <w:sz w:val="18"/>
                <w:szCs w:val="18"/>
                <w:color w:val="auto"/>
              </w:rPr>
            </w:pPr>
          </w:p>
        </w:tc>
        <w:tc>
          <w:tcPr>
            <w:tcW w:w="9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reflects the activity for the Company’s contingent consideration liabilities measured at fair value using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for the six months ended June 30, 2022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Other Liabilities:</w:t>
            </w:r>
          </w:p>
        </w:tc>
      </w:tr>
      <w:tr>
        <w:trPr>
          <w:trHeight w:val="148"/>
        </w:trPr>
        <w:tc>
          <w:tcPr>
            <w:tcW w:w="8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Contingent</w:t>
            </w:r>
          </w:p>
        </w:tc>
      </w:tr>
      <w:tr>
        <w:trPr>
          <w:trHeight w:val="171"/>
        </w:trPr>
        <w:tc>
          <w:tcPr>
            <w:tcW w:w="8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Consideration</w:t>
            </w:r>
          </w:p>
        </w:tc>
      </w:tr>
      <w:tr>
        <w:trPr>
          <w:trHeight w:val="209"/>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16"/>
        </w:trPr>
        <w:tc>
          <w:tcPr>
            <w:tcW w:w="8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adjustments included in operating expenses</w:t>
            </w: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(6,862)</w:t>
            </w:r>
          </w:p>
        </w:tc>
      </w:tr>
      <w:tr>
        <w:trPr>
          <w:trHeight w:val="209"/>
        </w:trPr>
        <w:tc>
          <w:tcPr>
            <w:tcW w:w="8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valuation technique used to measure fair value of the Company’s Level 3 liabilities, which consist of contingent consideration related to the acquisition of Kolltan Pharmaceuticals, Inc. ("Kolltan") in 2016, was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71"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three and six months ended June 30, 2022, the Company recorded a $6.3 million and $6.9 million gain on fair value remeasurement of contingent consideration, respectively, primarily due to the Company's decision to deprioritize the CDX-1140 program. During the three and six months ended June 30, 2021, the Company recorded a $0.3 million and $0.7 million loss on fair value remeasurement of contingent consideration, respectively, primarily due to changes in discount rates and the passage of time.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have any transfers in or out of Level 3 assets or liabilities during the six months ended June 30, 2022.</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marketable debt securities, classified as available-for-sale: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152,518</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(1,494)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151,024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156,405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154,894</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149,304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(829)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148,475</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25,047</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175,024</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173,522</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331,429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15"/>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Gains</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w w:val="95"/>
              </w:rPr>
              <w:t>Losses</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ind w:right="95"/>
              <w:spacing w:after="0" w:line="119"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8"/>
        </w:trPr>
        <w:tc>
          <w:tcPr>
            <w:tcW w:w="46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and municipal obligations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80,674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80,541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U.S. government and municipal obligations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131,993</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131,676</w:t>
            </w: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20"/>
              <w:spacing w:after="0"/>
              <w:rPr>
                <w:sz w:val="20"/>
                <w:szCs w:val="20"/>
                <w:color w:val="auto"/>
              </w:rPr>
            </w:pPr>
            <w:r>
              <w:rPr>
                <w:rFonts w:ascii="Arial" w:cs="Arial" w:eastAsia="Arial" w:hAnsi="Arial"/>
                <w:sz w:val="18"/>
                <w:szCs w:val="18"/>
                <w:color w:val="auto"/>
              </w:rPr>
              <w:t>Maturing in one year or less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170,034</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170,006</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Maturing after one year through three years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67,425</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corporate debt securities</w:t>
            </w:r>
          </w:p>
        </w:tc>
        <w:tc>
          <w:tcPr>
            <w:tcW w:w="10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237,816</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237,431</w:t>
            </w:r>
          </w:p>
        </w:tc>
        <w:tc>
          <w:tcPr>
            <w:tcW w:w="0" w:type="dxa"/>
            <w:vAlign w:val="bottom"/>
          </w:tcPr>
          <w:p>
            <w:pPr>
              <w:spacing w:after="0"/>
              <w:rPr>
                <w:sz w:val="1"/>
                <w:szCs w:val="1"/>
                <w:color w:val="auto"/>
              </w:rPr>
            </w:pPr>
          </w:p>
        </w:tc>
      </w:tr>
      <w:tr>
        <w:trPr>
          <w:trHeight w:val="210"/>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369,809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369,107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 holds investment-grade marketable securities, and none were in a continuous unrealized loss position for more than twelve months as of June 30, 2022 and December 31, 2021. The unrealized losses are attributable to changes in interest rates and the Company does not believe any unrealized losses represent other-than-temporary impairments. Marketable securities include $1.1 million and $1.3 million in accrued interest at June 30, 2022 and December 31, 2021,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At June 30, 2022 and December 31, 2021, the carrying value of the Company’s indefinite-lived intangible assets was $27.2 million. Indefinite-lived intangible assets consist of acquired IPR&amp;D related to the development of the anti-KIT program, including barzolvolimab (also referred to as CDX-0159), which was recorded in connection with the Kolltan acquisition. Barzolvolimab is in Phase 2 development. As of June 30, 2022, the IPR&amp;D asset related to the anti-KIT program had not reached technological feasibility nor did the asset have alternative future uses.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include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r>
      <w:tr>
        <w:trPr>
          <w:trHeight w:val="128"/>
        </w:trPr>
        <w:tc>
          <w:tcPr>
            <w:tcW w:w="7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gridSpan w:val="4"/>
          </w:tcPr>
          <w:p>
            <w:pPr>
              <w:jc w:val="right"/>
              <w:ind w:right="874"/>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liabilities related to IPR&amp;D (Note 11)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From Sale of Tax Benefits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Contingent milestones (Note 3 and Note 13)</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20" w:type="dxa"/>
            <w:vAlign w:val="bottom"/>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revenue (Note 10)</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r>
      <w:tr>
        <w:trPr>
          <w:trHeight w:val="209"/>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8,908</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(1,554)</w:t>
            </w:r>
          </w:p>
        </w:tc>
        <w:tc>
          <w:tcPr>
            <w:tcW w:w="20" w:type="dxa"/>
            <w:vAlign w:val="bottom"/>
          </w:tcPr>
          <w:p>
            <w:pPr>
              <w:spacing w:after="0"/>
              <w:rPr>
                <w:sz w:val="18"/>
                <w:szCs w:val="18"/>
                <w:color w:val="auto"/>
              </w:rPr>
            </w:pPr>
          </w:p>
        </w:tc>
      </w:tr>
      <w:tr>
        <w:trPr>
          <w:trHeight w:val="210"/>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May 2016, the Company entered into a controlled equity offering sales agreement (the “Cantor Agreement”) with Cantor Fitzgerald &amp; Co. (“Cantor”) to allow the Company to issue and sell shares of its common stock from time to time through Cantor, acting as agent. At June 30, 2022, the Company had $50.0 million remaining in aggregate gross offering price available under the Company’s November 2020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changes in Stockholders’ Equity during the three and six months ended June 30, 2022 and 2021 are summarized below:</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Common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Stock Par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80" w:type="dxa"/>
            <w:vAlign w:val="bottom"/>
            <w:gridSpan w:val="10"/>
          </w:tcPr>
          <w:p>
            <w:pPr>
              <w:ind w:left="60"/>
              <w:spacing w:after="0" w:line="129" w:lineRule="exact"/>
              <w:rPr>
                <w:sz w:val="20"/>
                <w:szCs w:val="20"/>
                <w:color w:val="auto"/>
              </w:rPr>
            </w:pPr>
            <w:r>
              <w:rPr>
                <w:rFonts w:ascii="Arial" w:cs="Arial" w:eastAsia="Arial" w:hAnsi="Arial"/>
                <w:sz w:val="14"/>
                <w:szCs w:val="14"/>
                <w:b w:val="1"/>
                <w:bCs w:val="1"/>
                <w:color w:val="auto"/>
                <w:w w:val="87"/>
              </w:rPr>
              <w:t>(In thousands, except share amounts)</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December 31, 2021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46,730,198</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$ 1,561,142</w:t>
            </w:r>
          </w:p>
        </w:tc>
        <w:tc>
          <w:tcPr>
            <w:tcW w:w="28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1,894</w:t>
            </w: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 (1,143,607)</w:t>
            </w:r>
          </w:p>
        </w:tc>
        <w:tc>
          <w:tcPr>
            <w:tcW w:w="6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36"/>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419,476</w:t>
            </w:r>
          </w:p>
        </w:tc>
        <w:tc>
          <w:tcPr>
            <w:tcW w:w="0" w:type="dxa"/>
            <w:vAlign w:val="bottom"/>
          </w:tcPr>
          <w:p>
            <w:pPr>
              <w:spacing w:after="0"/>
              <w:rPr>
                <w:sz w:val="1"/>
                <w:szCs w:val="1"/>
                <w:color w:val="auto"/>
              </w:rPr>
            </w:pPr>
          </w:p>
        </w:tc>
      </w:tr>
      <w:tr>
        <w:trPr>
          <w:trHeight w:val="193"/>
        </w:trPr>
        <w:tc>
          <w:tcPr>
            <w:tcW w:w="3780" w:type="dxa"/>
            <w:vAlign w:val="bottom"/>
          </w:tcPr>
          <w:p>
            <w:pPr>
              <w:spacing w:after="0"/>
              <w:rPr>
                <w:sz w:val="20"/>
                <w:szCs w:val="20"/>
                <w:color w:val="auto"/>
              </w:rPr>
            </w:pPr>
            <w:r>
              <w:rPr>
                <w:rFonts w:ascii="Arial" w:cs="Arial" w:eastAsia="Arial" w:hAnsi="Arial"/>
                <w:sz w:val="16"/>
                <w:szCs w:val="16"/>
                <w:color w:val="auto"/>
                <w:w w:val="98"/>
              </w:rPr>
              <w:t>Shares issued under stock option and employee stock</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140"/>
              <w:spacing w:after="0"/>
              <w:rPr>
                <w:sz w:val="20"/>
                <w:szCs w:val="20"/>
                <w:color w:val="auto"/>
              </w:rPr>
            </w:pPr>
            <w:r>
              <w:rPr>
                <w:rFonts w:ascii="Arial" w:cs="Arial" w:eastAsia="Arial" w:hAnsi="Arial"/>
                <w:sz w:val="16"/>
                <w:szCs w:val="16"/>
                <w:color w:val="auto"/>
              </w:rPr>
              <w:t>purchase plans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24,150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40"/>
              <w:spacing w:after="0"/>
              <w:rPr>
                <w:sz w:val="20"/>
                <w:szCs w:val="20"/>
                <w:color w:val="auto"/>
              </w:rPr>
            </w:pPr>
            <w:r>
              <w:rPr>
                <w:rFonts w:ascii="Arial" w:cs="Arial" w:eastAsia="Arial" w:hAnsi="Arial"/>
                <w:sz w:val="16"/>
                <w:szCs w:val="16"/>
                <w:color w:val="auto"/>
              </w:rPr>
              <w:t>304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08"/>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3,153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3,153</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Unrealized loss on marketable securities</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(1,782)</w:t>
            </w:r>
          </w:p>
        </w:tc>
        <w:tc>
          <w:tcPr>
            <w:tcW w:w="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(1,782)</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(23,050)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(23,050)</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20"/>
                <w:szCs w:val="20"/>
                <w:color w:val="auto"/>
              </w:rPr>
            </w:pPr>
            <w:r>
              <w:rPr>
                <w:rFonts w:ascii="Arial" w:cs="Arial" w:eastAsia="Arial" w:hAnsi="Arial"/>
                <w:sz w:val="16"/>
                <w:szCs w:val="16"/>
                <w:b w:val="1"/>
                <w:bCs w:val="1"/>
                <w:color w:val="auto"/>
              </w:rPr>
              <w:t>Consolidated balance at March 31, 2022</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46,754,348</w:t>
            </w: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w w:val="92"/>
              </w:rPr>
              <w:t>$ 1,564,599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 (1,166,657)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3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398,101</w:t>
            </w:r>
          </w:p>
        </w:tc>
        <w:tc>
          <w:tcPr>
            <w:tcW w:w="0" w:type="dxa"/>
            <w:vAlign w:val="bottom"/>
          </w:tcPr>
          <w:p>
            <w:pPr>
              <w:spacing w:after="0"/>
              <w:rPr>
                <w:sz w:val="1"/>
                <w:szCs w:val="1"/>
                <w:color w:val="auto"/>
              </w:rPr>
            </w:pPr>
          </w:p>
        </w:tc>
      </w:tr>
      <w:tr>
        <w:trPr>
          <w:trHeight w:val="19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w w:val="98"/>
              </w:rPr>
              <w:t>Shares issued under stock option and employee stock</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plans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shd w:val="clear" w:color="auto" w:fill="CCEEFF"/>
          </w:tcPr>
          <w:p>
            <w:pPr>
              <w:jc w:val="right"/>
              <w:ind w:right="40"/>
              <w:spacing w:after="0"/>
              <w:rPr>
                <w:sz w:val="20"/>
                <w:szCs w:val="20"/>
                <w:color w:val="auto"/>
              </w:rPr>
            </w:pPr>
            <w:r>
              <w:rPr>
                <w:rFonts w:ascii="Arial" w:cs="Arial" w:eastAsia="Arial" w:hAnsi="Arial"/>
                <w:sz w:val="16"/>
                <w:szCs w:val="16"/>
                <w:color w:val="auto"/>
              </w:rPr>
              <w:t>71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40"/>
              <w:spacing w:after="0"/>
              <w:rPr>
                <w:sz w:val="20"/>
                <w:szCs w:val="20"/>
                <w:color w:val="auto"/>
              </w:rPr>
            </w:pPr>
            <w:r>
              <w:rPr>
                <w:rFonts w:ascii="Arial" w:cs="Arial" w:eastAsia="Arial" w:hAnsi="Arial"/>
                <w:sz w:val="16"/>
                <w:szCs w:val="16"/>
                <w:color w:val="auto"/>
              </w:rPr>
              <w:t>3,454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3,454</w:t>
            </w:r>
          </w:p>
        </w:tc>
        <w:tc>
          <w:tcPr>
            <w:tcW w:w="0" w:type="dxa"/>
            <w:vAlign w:val="bottom"/>
          </w:tcPr>
          <w:p>
            <w:pPr>
              <w:spacing w:after="0"/>
              <w:rPr>
                <w:sz w:val="1"/>
                <w:szCs w:val="1"/>
                <w:color w:val="auto"/>
              </w:rPr>
            </w:pPr>
          </w:p>
        </w:tc>
      </w:tr>
      <w:tr>
        <w:trPr>
          <w:trHeight w:val="203"/>
        </w:trPr>
        <w:tc>
          <w:tcPr>
            <w:tcW w:w="3780" w:type="dxa"/>
            <w:vAlign w:val="bottom"/>
            <w:shd w:val="clear" w:color="auto" w:fill="CCEEFF"/>
          </w:tcPr>
          <w:p>
            <w:pPr>
              <w:spacing w:after="0"/>
              <w:rPr>
                <w:sz w:val="20"/>
                <w:szCs w:val="20"/>
                <w:color w:val="auto"/>
              </w:rPr>
            </w:pPr>
            <w:r>
              <w:rPr>
                <w:rFonts w:ascii="Arial" w:cs="Arial" w:eastAsia="Arial" w:hAnsi="Arial"/>
                <w:sz w:val="16"/>
                <w:szCs w:val="16"/>
                <w:color w:val="auto"/>
              </w:rPr>
              <w:t>Unrealized loss on marketable securities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(529)</w:t>
            </w:r>
          </w:p>
        </w:tc>
        <w:tc>
          <w:tcPr>
            <w:tcW w:w="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6"/>
                <w:szCs w:val="16"/>
                <w:color w:val="auto"/>
              </w:rPr>
              <w:t>(36,004)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(36,004)</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Consolidated balance at June 30, 2022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46,764,703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$ 1,568,124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 (1,202,661)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365,093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Common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1160" w:type="dxa"/>
            <w:vAlign w:val="bottom"/>
            <w:gridSpan w:val="5"/>
          </w:tcPr>
          <w:p>
            <w:pPr>
              <w:ind w:left="10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5"/>
              </w:rPr>
              <w:t>Stock Par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1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gridSpan w:val="10"/>
          </w:tcPr>
          <w:p>
            <w:pPr>
              <w:jc w:val="center"/>
              <w:spacing w:after="0" w:line="129" w:lineRule="exact"/>
              <w:rPr>
                <w:sz w:val="20"/>
                <w:szCs w:val="20"/>
                <w:color w:val="auto"/>
              </w:rPr>
            </w:pPr>
            <w:r>
              <w:rPr>
                <w:rFonts w:ascii="Arial" w:cs="Arial" w:eastAsia="Arial" w:hAnsi="Arial"/>
                <w:sz w:val="14"/>
                <w:szCs w:val="14"/>
                <w:b w:val="1"/>
                <w:bCs w:val="1"/>
                <w:color w:val="auto"/>
                <w:w w:val="87"/>
              </w:rPr>
              <w:t>(In thousands, except share amounts)</w:t>
            </w:r>
          </w:p>
        </w:tc>
        <w:tc>
          <w:tcPr>
            <w:tcW w:w="100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December 31, 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39,603,771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$ 1,279,824</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 (1,073,096)</w:t>
            </w:r>
          </w:p>
        </w:tc>
        <w:tc>
          <w:tcPr>
            <w:tcW w:w="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209,357</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w w:val="97"/>
              </w:rPr>
              <w:t>Shares issued under stock option and employee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stock purchase plans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10,867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Unrealized loss on marketable securities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(16,538)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b w:val="1"/>
                <w:bCs w:val="1"/>
                <w:color w:val="auto"/>
              </w:rPr>
              <w:t>Consolidated balance at March 31, 2021</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39,614,638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8"/>
              </w:rPr>
              <w:t>$ 1,281,173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1"/>
              </w:rPr>
              <w:t>$ (1,089,634)</w:t>
            </w:r>
          </w:p>
        </w:tc>
        <w:tc>
          <w:tcPr>
            <w:tcW w:w="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194,166</w:t>
            </w:r>
          </w:p>
        </w:tc>
        <w:tc>
          <w:tcPr>
            <w:tcW w:w="0" w:type="dxa"/>
            <w:vAlign w:val="bottom"/>
          </w:tcPr>
          <w:p>
            <w:pPr>
              <w:spacing w:after="0"/>
              <w:rPr>
                <w:sz w:val="1"/>
                <w:szCs w:val="1"/>
                <w:color w:val="auto"/>
              </w:rPr>
            </w:pPr>
          </w:p>
        </w:tc>
      </w:tr>
      <w:tr>
        <w:trPr>
          <w:trHeight w:val="202"/>
        </w:trPr>
        <w:tc>
          <w:tcPr>
            <w:tcW w:w="3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under stock option and employee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purchase plans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marketable securities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60"/>
              <w:spacing w:after="0"/>
              <w:rPr>
                <w:sz w:val="20"/>
                <w:szCs w:val="20"/>
                <w:color w:val="auto"/>
              </w:rPr>
            </w:pPr>
            <w:r>
              <w:rPr>
                <w:rFonts w:ascii="Arial" w:cs="Arial" w:eastAsia="Arial" w:hAnsi="Arial"/>
                <w:sz w:val="18"/>
                <w:szCs w:val="18"/>
                <w:color w:val="auto"/>
              </w:rPr>
              <w:t>(13,373)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(13,373)</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balance at June 30, 2021</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39,616,696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$ 1,282,657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1"/>
              </w:rPr>
              <w:t>$ (1,103,007)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182,282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for the six months ended June 30, 2022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Term (In Years)</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4,077,667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1,570,900</w:t>
            </w:r>
          </w:p>
        </w:tc>
        <w:tc>
          <w:tcPr>
            <w:tcW w:w="1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22.79</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Canceled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(28,444)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36.24</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June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June 30, 2022</w:t>
            </w: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2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5,428,921</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28.25</w:t>
            </w:r>
          </w:p>
        </w:tc>
        <w:tc>
          <w:tcPr>
            <w:tcW w:w="200" w:type="dxa"/>
            <w:vAlign w:val="bottom"/>
            <w:vMerge w:val="continue"/>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June 30,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2,135,506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Shares available for grant under the 2021 Plan</w:t>
            </w:r>
          </w:p>
        </w:tc>
        <w:tc>
          <w:tcPr>
            <w:tcW w:w="920" w:type="dxa"/>
            <w:vAlign w:val="bottom"/>
          </w:tcPr>
          <w:p>
            <w:pPr>
              <w:jc w:val="right"/>
              <w:spacing w:after="0"/>
              <w:rPr>
                <w:sz w:val="20"/>
                <w:szCs w:val="20"/>
                <w:color w:val="auto"/>
              </w:rPr>
            </w:pPr>
            <w:r>
              <w:rPr>
                <w:rFonts w:ascii="Arial" w:cs="Arial" w:eastAsia="Arial" w:hAnsi="Arial"/>
                <w:sz w:val="18"/>
                <w:szCs w:val="18"/>
                <w:color w:val="auto"/>
              </w:rPr>
              <w:t>1,761,761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weighted average grant-date fair value of stock options granted during the three and six ended June 30, 2022 was $17.20 and $17.29, respectively.</w:t>
      </w:r>
    </w:p>
    <w:p>
      <w:pPr>
        <w:spacing w:after="0" w:line="170" w:lineRule="exact"/>
        <w:rPr>
          <w:sz w:val="20"/>
          <w:szCs w:val="20"/>
          <w:color w:val="auto"/>
        </w:rPr>
      </w:pPr>
    </w:p>
    <w:p>
      <w:pPr>
        <w:jc w:val="both"/>
        <w:ind w:right="240" w:firstLine="648"/>
        <w:spacing w:after="0" w:line="301" w:lineRule="auto"/>
        <w:rPr>
          <w:sz w:val="20"/>
          <w:szCs w:val="20"/>
          <w:color w:val="auto"/>
        </w:rPr>
      </w:pPr>
      <w:r>
        <w:rPr>
          <w:rFonts w:ascii="Arial" w:cs="Arial" w:eastAsia="Arial" w:hAnsi="Arial"/>
          <w:sz w:val="16"/>
          <w:szCs w:val="16"/>
          <w:color w:val="auto"/>
        </w:rPr>
        <w:t>The aggregate intrinsic value of stock options vested and expected to vest at June 30, 2022 was $48.6 million. The aggregate intrinsic value of stock options exercisable at June 30, 2022 was $26.2 million. As of June 30, 2022, total compensation cost related to non-vested employee, consultant and non-employee director stock options not yet recognized was approximately $51.2 million, net of estimated forfeitures, which is expected to be recognized as expense over a weighted average period of 3.0 years.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Stock-based compensation expense for the three and six months ended June 30, 2022 and 2021 was recorded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4"/>
                <w:szCs w:val="14"/>
                <w:color w:val="auto"/>
              </w:rPr>
            </w:pPr>
          </w:p>
        </w:tc>
        <w:tc>
          <w:tcPr>
            <w:tcW w:w="190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r>
      <w:tr>
        <w:trPr>
          <w:trHeight w:val="128"/>
        </w:trPr>
        <w:tc>
          <w:tcPr>
            <w:tcW w:w="4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20" w:type="dxa"/>
            <w:vAlign w:val="bottom"/>
            <w:gridSpan w:val="4"/>
          </w:tcPr>
          <w:p>
            <w:pPr>
              <w:jc w:val="right"/>
              <w:ind w:right="475"/>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00" w:type="dxa"/>
            <w:vAlign w:val="bottom"/>
            <w:gridSpan w:val="4"/>
          </w:tcPr>
          <w:p>
            <w:pPr>
              <w:jc w:val="right"/>
              <w:ind w:right="495"/>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w:t>
            </w:r>
          </w:p>
        </w:tc>
      </w:tr>
      <w:tr>
        <w:trPr>
          <w:trHeight w:val="216"/>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r>
      <w:tr>
        <w:trPr>
          <w:trHeight w:val="209"/>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r>
      <w:tr>
        <w:trPr>
          <w:trHeight w:val="20"/>
        </w:trPr>
        <w:tc>
          <w:tcPr>
            <w:tcW w:w="4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values of employee, consultant and non-employee director stock options granted during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were valued using the Black-Scholes option pricing model with the following assumptions: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6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900" w:type="dxa"/>
            <w:vAlign w:val="bottom"/>
            <w:gridSpan w:val="3"/>
          </w:tcPr>
          <w:p>
            <w:pPr>
              <w:ind w:left="120"/>
              <w:spacing w:after="0"/>
              <w:rPr>
                <w:sz w:val="20"/>
                <w:szCs w:val="20"/>
                <w:color w:val="auto"/>
              </w:rPr>
            </w:pPr>
            <w:r>
              <w:rPr>
                <w:rFonts w:ascii="Arial" w:cs="Arial" w:eastAsia="Arial" w:hAnsi="Arial"/>
                <w:sz w:val="14"/>
                <w:szCs w:val="14"/>
                <w:b w:val="1"/>
                <w:bCs w:val="1"/>
                <w:color w:val="auto"/>
                <w:w w:val="97"/>
              </w:rPr>
              <w:t>Six months ended June 30,</w:t>
            </w:r>
          </w:p>
        </w:tc>
      </w:tr>
      <w:tr>
        <w:trPr>
          <w:trHeight w:val="142"/>
        </w:trPr>
        <w:tc>
          <w:tcPr>
            <w:tcW w:w="59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1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 – 91%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 – 98%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 – 97%</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97 – 98%</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Expected option term</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6.0 Years</w:t>
            </w: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6.0 Years</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6.0 Years</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6.0 Years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2.7 – 3.6%</w:t>
            </w:r>
          </w:p>
        </w:tc>
        <w:tc>
          <w:tcPr>
            <w:tcW w:w="10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0"/>
              </w:rPr>
              <w:t>1.2 – 1.3%</w:t>
            </w: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1.7 – 3.6%</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0.8 – 1.3%</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None</w:t>
            </w: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None</w:t>
            </w: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None</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changes in accumulated other comprehensive income, which is reported as a component of stockholders’ equity, for the six months ended June 30, 2022 are summarized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Loss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Currency Items</w:t>
            </w: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amounts were reclassified out of accumulated other comprehensive income during the six months ended June 30, 2022.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and Grants Revenue</w:t>
      </w:r>
    </w:p>
    <w:p>
      <w:pPr>
        <w:spacing w:after="0" w:line="225" w:lineRule="exact"/>
        <w:rPr>
          <w:sz w:val="20"/>
          <w:szCs w:val="20"/>
          <w:color w:val="auto"/>
        </w:rPr>
      </w:pPr>
    </w:p>
    <w:p>
      <w:pPr>
        <w:ind w:right="260" w:firstLine="648"/>
        <w:spacing w:after="0" w:line="301" w:lineRule="auto"/>
        <w:rPr>
          <w:sz w:val="20"/>
          <w:szCs w:val="20"/>
          <w:color w:val="auto"/>
        </w:rPr>
      </w:pPr>
      <w:r>
        <w:rPr>
          <w:rFonts w:ascii="Arial" w:cs="Arial" w:eastAsia="Arial" w:hAnsi="Arial"/>
          <w:sz w:val="16"/>
          <w:szCs w:val="16"/>
          <w:color w:val="auto"/>
        </w:rPr>
        <w:t>The Company has entered into agreements with Rockefeller University and Gilead Sciences pursuant to which the Company performs manufacturing and research and development services on a time-and-materials basis or at a negotiated fixed-price. The Company recognized $0.1 million and $0.2 million in revenue under these agreements during the three and six months ended June 30, 2022, respectively, and $3.2 million and $3.8 million during the three and six months ended June 30, 2021,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25"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At June 30, 2022 and December 31, 2021, the Company’s right to consideration under all contracts was considered unconditional, and as such, there were no recorded contract assets. At June 30, 2022, the Company had $0.5 million in contract liabilities recorded, which is expected to be recognized during the next 12 months as manufacturing and research and development services are performed. At December 31, 2021, the Company had $0.4 million in contract liabilities recorded. Revenue recognized from contract liabilities as of December 31, 2021 during the three and six months ended June 30, 2022 was $0.1 million and $0.2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 benefits of federal, state and foreign deferred tax assets and, as such, has maintained a full valuation allowance on its deferred tax assets as of June 30, 2022 and December 31, 2021.</w:t>
      </w:r>
    </w:p>
    <w:p>
      <w:pPr>
        <w:spacing w:after="0" w:line="187"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net deferred tax liability of $1.6 million at June 30, 2022 and December 31, 2021 relates to the temporary differences associated with the IPR&amp;D intangible assets acquired in previous business combinations and is not deductible for tax purposes.</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Loss Per Share</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2021</w:t>
            </w:r>
          </w:p>
        </w:tc>
      </w:tr>
      <w:tr>
        <w:trPr>
          <w:trHeight w:val="209"/>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5,590,213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4,344,622</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5,590,213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4,344,622</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Kolltan Acquisition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8"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October 2019, the Company received a letter from Shareholder Representative Services LLC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7"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On June 20, 2022, the Company entered into a binding settlement term sheet (the “Term Sheet”) with SRS, related to the Litigation, which, upon execution of a definitive settlement agreement and the payment of the Initial Payment (as defined below), would result in the joint dismissal, with prejudice, of all claims and counterclaims in the Litigation. The definitive settlement agreement between the Company and SRS was executed on July 15, 2022 (the “Settlement Agreement”) and the Company and SRS jointly filed a Stipulation of Dismissal with prejudice relating to the Litigation on July 19, 2022.</w:t>
      </w:r>
    </w:p>
    <w:p>
      <w:pPr>
        <w:spacing w:after="0" w:line="176"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Pursuant to the terms of the Term Sheet and the Settlement Agreement, all milestone payments provided for by the Merger Agreement are replaced in their entirety with the following payments, each of which is payable only once:</w:t>
      </w:r>
    </w:p>
    <w:p>
      <w:pPr>
        <w:spacing w:after="0" w:line="146" w:lineRule="exact"/>
        <w:rPr>
          <w:sz w:val="20"/>
          <w:szCs w:val="20"/>
          <w:color w:val="auto"/>
        </w:rPr>
      </w:pPr>
    </w:p>
    <w:p>
      <w:pPr>
        <w:ind w:left="1000" w:hanging="317"/>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paid $15,000,000 upon execution of the Settlement Agreement (the “Initial Payment”).</w:t>
      </w:r>
    </w:p>
    <w:p>
      <w:pPr>
        <w:spacing w:after="0" w:line="225"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shall pay $15,000,000 upon the Successful Completion (as defined in the Term Sheet) of a Phase 2 Clinical Trial (as defined in the Merger Agreement) of CDX-0159, subject to the $2,500,000 contractual credit as set forth in the Merger Agreement.</w:t>
      </w:r>
    </w:p>
    <w:p>
      <w:pPr>
        <w:spacing w:after="0" w:line="183"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shall pay $52,500,000 upon the first United States Food and Drug Administration or European Medicines Agency, or, in each case, any successor organization, regulatory approval of a Surviving Company Product (as defined the Term Sheet).</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above payment obligations replace, in their entirety, the contingent consideration in the form of development, regulatory approval and sales-based milestones of up to $172.5 million contained in the Merger Agreement.</w:t>
      </w:r>
    </w:p>
    <w:p>
      <w:pPr>
        <w:spacing w:after="0" w:line="146"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elected to pay the Initial Payment in cash. A litigation settlement payable of $15.0 million has been recorded as of June 30, 2022 related to the Initial Payment. Any future milestone payments related to the CDX-0159 program, which was subject to the Litigation, will be recorded when and if payment becomes probable and reasonably estimable in accordance with the loss contingency model under ASC 450. Milestones related to the remaining Surviving Company Products are measured at fair value (refer to Note 3). When and if any of the remaining payments described above become due, they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Safe Harbor Statement under the Private Securities Litigation Reform Act of 1995: </w:t>
      </w:r>
      <w:r>
        <w:rPr>
          <w:rFonts w:ascii="Arial" w:cs="Arial" w:eastAsia="Arial" w:hAnsi="Arial"/>
          <w:sz w:val="17"/>
          <w:szCs w:val="17"/>
          <w:color w:val="auto"/>
        </w:rPr>
        <w:t>This report on Form 10-Q contains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product candidates, which are still in an early development stage;</w:t>
      </w:r>
    </w:p>
    <w:p>
      <w:pPr>
        <w:spacing w:after="0" w:line="225" w:lineRule="exact"/>
        <w:rPr>
          <w:rFonts w:ascii="Arial" w:cs="Arial" w:eastAsia="Arial" w:hAnsi="Arial"/>
          <w:sz w:val="18"/>
          <w:szCs w:val="18"/>
          <w:color w:val="auto"/>
        </w:rPr>
      </w:pPr>
    </w:p>
    <w:p>
      <w:pPr>
        <w:ind w:left="1000" w:right="10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complete research and further development, including preclinical and clinical studies, and, if we obtain regulatory approval, commercialization of our drug candidates and the growth of the markets for those drug candidates;</w:t>
      </w:r>
    </w:p>
    <w:p>
      <w:pPr>
        <w:spacing w:after="0" w:line="183"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timing for preclinical development, regulatory submissions, commencement and completion of clinical trials and product approvals;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or on the economy generally;</w:t>
      </w:r>
    </w:p>
    <w:p>
      <w:pPr>
        <w:spacing w:after="0" w:line="225" w:lineRule="exact"/>
        <w:rPr>
          <w:rFonts w:ascii="Arial" w:cs="Arial" w:eastAsia="Arial" w:hAnsi="Arial"/>
          <w:sz w:val="18"/>
          <w:szCs w:val="18"/>
          <w:color w:val="auto"/>
        </w:rPr>
      </w:pPr>
    </w:p>
    <w:p>
      <w:pPr>
        <w:ind w:left="1000" w:right="6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the COVID-19 pandemic will affect the timing of the completion of our planned and/or currently ongoing preclinical/clinical trials;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negotiate strategic partnerships, where appropriate, for our drug candidates;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multiple clinical trials for a variety of drug candidates at different stages of development;</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scope and results of ongoing preclinical and clinical testing;</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of the attributes of our product and development candidates, including pharmaceutical properties, efficacy, safety and dosing regimens;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timing and uncertainty of obtaining regulatory approvals for our drug candidates;</w:t>
      </w:r>
    </w:p>
    <w:p>
      <w:pPr>
        <w:spacing w:after="0" w:line="225"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management services provided by our clinical research organization partners;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delivery and quality of clinical and commercial-grade materials produced by our own manufacturing facility or supplied by contract manufacturers, suppliers and partners;</w:t>
      </w:r>
    </w:p>
    <w:p>
      <w:pPr>
        <w:spacing w:after="0" w:line="170"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and commercialize products before competitors that are superior to the alternatives developed by such competitors;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140" w:hanging="317"/>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83"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paying the future milestones, if any, under the Settlement Agreement with SRS;</w:t>
      </w:r>
    </w:p>
    <w:p>
      <w:pPr>
        <w:spacing w:after="0" w:line="225" w:lineRule="exact"/>
        <w:rPr>
          <w:rFonts w:ascii="Arial" w:cs="Arial" w:eastAsia="Arial" w:hAnsi="Arial"/>
          <w:sz w:val="18"/>
          <w:szCs w:val="18"/>
          <w:color w:val="auto"/>
        </w:rPr>
      </w:pPr>
    </w:p>
    <w:p>
      <w:pPr>
        <w:ind w:left="1000" w:right="100" w:hanging="317"/>
        <w:spacing w:after="0" w:line="25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license out programs earlier than expected, raise funds at significant discount or on other unfavorable terms, if at all, or sell all or part of our business;</w:t>
      </w:r>
    </w:p>
    <w:p>
      <w:pPr>
        <w:spacing w:after="0" w:line="187" w:lineRule="exact"/>
        <w:rPr>
          <w:rFonts w:ascii="Arial" w:cs="Arial" w:eastAsia="Arial" w:hAnsi="Arial"/>
          <w:sz w:val="18"/>
          <w:szCs w:val="18"/>
          <w:color w:val="auto"/>
        </w:rPr>
      </w:pPr>
    </w:p>
    <w:p>
      <w:pPr>
        <w:ind w:left="1000" w:right="24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our ability to avoid intellectual property litigation, which can be costly and divert management time and attention;</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develop and commercialize products without infringing the intellectual property rights of third parties; and</w:t>
      </w:r>
    </w:p>
    <w:p>
      <w:pPr>
        <w:spacing w:after="0" w:line="236" w:lineRule="exact"/>
        <w:rPr>
          <w:rFonts w:ascii="Arial" w:cs="Arial" w:eastAsia="Arial" w:hAnsi="Arial"/>
          <w:sz w:val="17"/>
          <w:szCs w:val="17"/>
          <w:color w:val="auto"/>
        </w:rPr>
      </w:pPr>
    </w:p>
    <w:p>
      <w:pPr>
        <w:ind w:left="1000" w:right="200" w:hanging="317"/>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2021 and other reports that we file with the Securities and Exchange Commission</w:t>
      </w:r>
      <w:r>
        <w:rPr>
          <w:rFonts w:ascii="Arial" w:cs="Arial" w:eastAsia="Arial" w:hAnsi="Arial"/>
          <w:sz w:val="18"/>
          <w:szCs w:val="18"/>
          <w:i w:val="1"/>
          <w:iCs w:val="1"/>
          <w:color w:val="auto"/>
        </w:rPr>
        <w:t>.</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 biopharmaceutical company dedicated to developing therapeutic monoclonal and bispecific antibodies that address diseases for which available treatments are inadequate. Our drug candidates include antibody-based therapeutics which have the ability to engage the human immune system and/or directly affect critical pathways to improve the lives of patients with inflammatory diseases and many forms of cancer.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Barzolvolimab (also referred to as CDX-0159), a monoclonal antibody that specifically binds the KIT receptor and potently inhibits its activity, is currently being studied across multiple mast cell driven diseases including:</w:t>
      </w:r>
    </w:p>
    <w:p>
      <w:pPr>
        <w:spacing w:after="0" w:line="170" w:lineRule="exact"/>
        <w:rPr>
          <w:rFonts w:ascii="Arial" w:cs="Arial" w:eastAsia="Arial" w:hAnsi="Arial"/>
          <w:sz w:val="18"/>
          <w:szCs w:val="18"/>
          <w:color w:val="auto"/>
        </w:rPr>
      </w:pPr>
    </w:p>
    <w:p>
      <w:pPr>
        <w:ind w:left="1660" w:right="120" w:hanging="329"/>
        <w:spacing w:after="0" w:line="257" w:lineRule="auto"/>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Chronic Urticarias: In June and July 2022 respectively, we announced that enrollment had opened and the first patients had been dosed in Phase 2 studies in chronic spontaneous urticaria (CSU) and chronic inducible urticaria (CIndU). Positive interim data from the ongoing Phase 1b study in CSU were reported in July 2022. Positive interim data from the Phase 1b study in CIndU were reported in July and September 2021 in patients with cold urticaria and symptomatic dermographism;</w:t>
      </w:r>
    </w:p>
    <w:p>
      <w:pPr>
        <w:spacing w:after="0" w:line="187" w:lineRule="exact"/>
        <w:rPr>
          <w:rFonts w:ascii="Arial" w:cs="Arial" w:eastAsia="Arial" w:hAnsi="Arial"/>
          <w:sz w:val="18"/>
          <w:szCs w:val="18"/>
          <w:color w:val="auto"/>
        </w:rPr>
      </w:pPr>
    </w:p>
    <w:p>
      <w:pPr>
        <w:ind w:left="1660" w:right="20" w:hanging="329"/>
        <w:spacing w:after="0" w:line="277" w:lineRule="auto"/>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Prurigo Nodularis (PN): In December 2021 we announced that the first patient had been dosed in a Phase 1b study in PN; and</w:t>
      </w:r>
    </w:p>
    <w:p>
      <w:pPr>
        <w:spacing w:after="0" w:line="170" w:lineRule="exact"/>
        <w:rPr>
          <w:rFonts w:ascii="Arial" w:cs="Arial" w:eastAsia="Arial" w:hAnsi="Arial"/>
          <w:sz w:val="18"/>
          <w:szCs w:val="18"/>
          <w:color w:val="auto"/>
        </w:rPr>
      </w:pPr>
    </w:p>
    <w:p>
      <w:pPr>
        <w:ind w:left="1660" w:hanging="329"/>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Eosinophilic Esophagitis (EoE): We plan to initiate a Phase 2 study in EoE by the end of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1000" w:right="140" w:hanging="317"/>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CDX-527, a bispecific antibody that uses our proprietary highly active anti-PD-L1 and CD27 human antibodies to couple CD27 co-stimulation with blockade of the PD-L1/PD-1 pathway, for which we initiated a Phase 1 study in advanced solid tumors in August 2020.</w:t>
      </w:r>
    </w:p>
    <w:p>
      <w:pPr>
        <w:spacing w:after="0" w:line="184"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We routinely work with external parties to collaboratively advance our drug candidates. In addition to Celldex-led studies, we also have an Investigator Initiated Research (IIR) program with multiple studies ongoing with our drug candidates.</w:t>
      </w:r>
    </w:p>
    <w:p>
      <w:pPr>
        <w:spacing w:after="0" w:line="14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 Currently, all programs are fully owned by us.</w:t>
      </w:r>
    </w:p>
    <w:p>
      <w:pPr>
        <w:spacing w:after="0" w:line="188"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for total development costs to exceed $100 million for each drug candidate. We estimate that clinical trials of the type we generally conduct are typically completed over the following timelines: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ind w:left="3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8"/>
        </w:trPr>
        <w:tc>
          <w:tcPr>
            <w:tcW w:w="8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Completion</w:t>
            </w:r>
          </w:p>
        </w:tc>
        <w:tc>
          <w:tcPr>
            <w:tcW w:w="0" w:type="dxa"/>
            <w:vAlign w:val="bottom"/>
          </w:tcPr>
          <w:p>
            <w:pPr>
              <w:spacing w:after="0"/>
              <w:rPr>
                <w:sz w:val="1"/>
                <w:szCs w:val="1"/>
                <w:color w:val="auto"/>
              </w:rPr>
            </w:pPr>
          </w:p>
        </w:tc>
      </w:tr>
      <w:tr>
        <w:trPr>
          <w:trHeight w:val="171"/>
        </w:trPr>
        <w:tc>
          <w:tcPr>
            <w:tcW w:w="8660" w:type="dxa"/>
            <w:vAlign w:val="bottom"/>
            <w:gridSpan w:val="2"/>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w w:val="90"/>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Phase 2</w:t>
            </w:r>
          </w:p>
        </w:tc>
        <w:tc>
          <w:tcPr>
            <w:tcW w:w="1260" w:type="dxa"/>
            <w:vAlign w:val="bottom"/>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Phase 3</w:t>
            </w:r>
          </w:p>
        </w:tc>
        <w:tc>
          <w:tcPr>
            <w:tcW w:w="1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1 - 5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70" w:lineRule="exact"/>
        <w:rPr>
          <w:sz w:val="20"/>
          <w:szCs w:val="20"/>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ultimately participate in the trial;</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 that seems appropriate in view of results;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 subjects;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drug candidate.</w:t>
      </w:r>
    </w:p>
    <w:p>
      <w:pPr>
        <w:spacing w:after="0" w:line="225"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65"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64"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9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past five years through December 31, 2021, we incurred an aggregate of $301.1 million in research and development expenses. The following table indicates the amount incurred for each of our significant research programs and for other identified research and development activities during the six months ended June 30, 2022 and 2021. The amounts disclosed in the following table reflect direct research and development costs, license fees associated with the underlying technology and an allocation of indirect research and development costs to each program.</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6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3"/>
              </w:rPr>
              <w:t>Ended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71"/>
        </w:trPr>
        <w:tc>
          <w:tcPr>
            <w:tcW w:w="6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June 30, 2022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June 30, 2021</w:t>
            </w:r>
          </w:p>
        </w:tc>
      </w:tr>
      <w:tr>
        <w:trPr>
          <w:trHeight w:val="128"/>
        </w:trPr>
        <w:tc>
          <w:tcPr>
            <w:tcW w:w="6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760" w:type="dxa"/>
            <w:vAlign w:val="bottom"/>
            <w:gridSpan w:val="4"/>
          </w:tcPr>
          <w:p>
            <w:pPr>
              <w:jc w:val="right"/>
              <w:ind w:right="937"/>
              <w:spacing w:after="0" w:line="129"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Barzolvolimab/Anti-KIT Program</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10,973</w:t>
            </w:r>
          </w:p>
        </w:tc>
      </w:tr>
      <w:tr>
        <w:trPr>
          <w:trHeight w:val="216"/>
        </w:trPr>
        <w:tc>
          <w:tcPr>
            <w:tcW w:w="6980" w:type="dxa"/>
            <w:vAlign w:val="bottom"/>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1140 and CDX-301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2,845</w:t>
            </w:r>
          </w:p>
        </w:tc>
      </w:tr>
      <w:tr>
        <w:trPr>
          <w:trHeight w:val="216"/>
        </w:trPr>
        <w:tc>
          <w:tcPr>
            <w:tcW w:w="6980" w:type="dxa"/>
            <w:vAlign w:val="bottom"/>
            <w:shd w:val="clear" w:color="auto" w:fill="CCEEFF"/>
          </w:tcPr>
          <w:p>
            <w:pPr>
              <w:ind w:left="120"/>
              <w:spacing w:after="0" w:line="207" w:lineRule="exact"/>
              <w:rPr>
                <w:sz w:val="20"/>
                <w:szCs w:val="20"/>
                <w:color w:val="auto"/>
              </w:rPr>
            </w:pPr>
            <w:r>
              <w:rPr>
                <w:rFonts w:ascii="Arial" w:cs="Arial" w:eastAsia="Arial" w:hAnsi="Arial"/>
                <w:sz w:val="18"/>
                <w:szCs w:val="18"/>
                <w:color w:val="auto"/>
              </w:rPr>
              <w:t>CDX</w:t>
            </w:r>
            <w:r>
              <w:rPr>
                <w:rFonts w:ascii="MS PGothic" w:cs="MS PGothic" w:eastAsia="MS PGothic" w:hAnsi="MS PGothic"/>
                <w:sz w:val="18"/>
                <w:szCs w:val="18"/>
                <w:color w:val="auto"/>
              </w:rPr>
              <w:t>‑</w:t>
            </w: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Programs</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w:t>
            </w:r>
          </w:p>
        </w:tc>
      </w:tr>
      <w:tr>
        <w:trPr>
          <w:trHeight w:val="210"/>
        </w:trPr>
        <w:tc>
          <w:tcPr>
            <w:tcW w:w="6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R&amp;D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37,786</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COVID-19 pandemic continues to have a major impact in the US and around the world. The availability of vaccines holds promise for the future, though new variants of the virus and potential waning immunity from vaccines may result in continued impact from this pandemic in the future, which could adversely impact our operations. To date, we have managed delays and disruptions without significant impact in planned and ongoing preclinical and clinical trials, manufacturing or shipping. Potential impacts to our business include delays in planned and ongoing preclinical and clinical trials including enrollment of patients, disruptions in time and resources provided by independent clinical investigators, contract research organizations, and other third-party service providers, temporary closures of our facilities, disruptions or restrictions on our employees’ ability to travel, and delays in manufacturing and/or shipments to and from third-party suppliers and contract manufacturers for APIs and drug product.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Barzolvolimab (also referred to as CDX-0159)</w:t>
      </w:r>
    </w:p>
    <w:p>
      <w:pPr>
        <w:spacing w:after="0" w:line="225"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We believe that by targeting KIT, barzolvolimab may be able to inhibit mast cell activity and decrease mast cell numbers to provide potential clinical benefit in mast cell related diseases.</w:t>
      </w:r>
    </w:p>
    <w:p>
      <w:pPr>
        <w:spacing w:after="0" w:line="17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In certain inflammatory diseases, such as chronic spontaneous urticaria (CSU), also known as chronic idiopathic urticaria (CIU) and chronic inducible urticaria (CIndU), mast cell degranulation plays a central role in the onset and progression of the disease. In June 2020, we completed a randomized, double-blind, placebo-controlled, single ascending dose escalation Phase 1a study of barzolvolimab in healthy subjects (n=32; 8 subjects per cohort, 6 barzolvolimab; 2 placebo). Subjects received a single intravenous infusion of barzolvolimab at 0.3, 1.0, 3.0, or 9.0 mg/kg or placebo. The objectives of the study included safety and tolerability, pharmacokinetics (PK) and pharmacodynamics (tryptase and stem cell factor) and immunogenicity. Tryptase is an enzyme synthesized and secreted almost exclusively by mast cells and decreases in plasma tryptase levels are believed to reflect a systemic reduction in mast cell burden in both healthy volunteers and in disease. Data from the study were featured in a late breaking presentation at the European Academy of Allergy and Clinical Immunology (EAACI) Annual Congress 2020 in June. Barzolvolimab demonstrated a favorable safety profile as well as profound and durable reductions of plasma tryptase, consistent with systemic mast cell suppression.</w:t>
      </w:r>
    </w:p>
    <w:p>
      <w:pPr>
        <w:spacing w:after="0" w:line="16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These data supported expansion of the barzolvolimab program into mast cell driven diseases, including initially in CSU and CIndU, diseases where mast cell degranulation plays a central role in the onset and progression of the disease. The prevalence of CSU and CIndU is approximately 0.5-1% of the total population or up to 1 to 3 million patients in the United States alone (Weller et al. 2010. Hautarzt. 61(8), Bartlett et al. 2018. DermNet. Org). CSU presents as itchy hives, angioedema or both for at least six weeks without a specific trigger; multiple episodes can play out over years or even decades. About 50% of patients with CSU achieve symptomatic control with antihistamines or leukotriene receptor antagonists. Omalizumab, an IgE inhibitor, provides relief for roughly half of the remaining antihistamine/leukotriene refractory patients. Consequently, there is a need for additional therapies. CIndUs are forms of urticaria that have an attributable cause or trigger associated with them, typically resulting in hives or wheals. We are exploring cold-induced, dermographism (scratch-induced) and cholinergic (exercise-induced) urticarias. In June and July 2022 respectively, we announced the initiation of Phase 2 studies in both CSU and CIndU.</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October 2020, we announced that enrollment had opened and the first patient had been dosed in a Phase 1b multi-center study of barzolvolimab in CSU. This study is a randomized, double-blind, placebo-controlled clinical trial designed to assess the safety of multiple ascending doses of barzolvolimab in up to 40 patients with CSU who remain symptomatic despite treatment with antihistamines. Secondary and exploratory objectives include pharmacokinetic and pharmacodynamic assessments, including measurement of tryptase and stem cell factor levels and clinical activity outcomes (impact on urticaria symptoms, disease control, clinical response) as well as quality of life assessments. Barzolvolimab is administered intravenously (0.5, 1.5, 3 and 4.5 mg/kg at varying dosing schedules) as add on treatment to H1-antihistamines, either alone or in combination with H2-antihistamines and/or leukotriene receptor agonists.</w:t>
      </w:r>
    </w:p>
    <w:p>
      <w:pPr>
        <w:spacing w:after="0" w:line="19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June 2022, we reported positive interim data from the CSU study. As of the data cut-off on May 23, 2022, 34 patients with CSU were enrolled and treated [26 barzolvolimab (n=9 in 0.5 mg/kg; n=8 in 1.5 mg/kg; n=9 in 3.0 mg/kg) and 8 placebo]. The 0.5 mg/kg and 1.5 mg/kg cohorts had completed study participation through 24 weeks; 7 of 12 patients in the 3.0 mg/kg cohort had completed week 12; enrollment in the 4.5 mg/kg cohort was ongoing. Adverse events through data cutoff and hematology data through week 12 were included for all dose groups; clinical activity and tryptase data were included through week 12 for 0.5 mg/kg and 1.5 mg/kg, and through week 8 for 3 mg/kg (ongoing; reflecting the administration of only one dose). Data shows that barzolvolimab results in rapid, marked and durable responses in patients with moderate to severe CSU refractory to antihistamines, including patients with prior omalizumab treatment.</w:t>
      </w:r>
    </w:p>
    <w:p>
      <w:pPr>
        <w:spacing w:after="0" w:line="192" w:lineRule="exact"/>
        <w:rPr>
          <w:sz w:val="20"/>
          <w:szCs w:val="20"/>
          <w:color w:val="auto"/>
        </w:rPr>
      </w:pPr>
    </w:p>
    <w:p>
      <w:pPr>
        <w:ind w:left="1000" w:right="160" w:hanging="317"/>
        <w:spacing w:after="0" w:line="286"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Mean reduction from baseline in urticaria activity (Urticaria Activity Score over 7 days or UAS7) of 66.6% in all patients in the 1.5 mg/kg dose group (n=8) at week 12 and 75.1% in all patients in the 3.0 mg/kg dose group (n=9) at week 8 (reflects one dose; ongoing), demonstrating clinically meaningful symptom improvements for patients.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1000" w:right="22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Complete response (UAS7=0) of 57.1% in the 1.5 mg/kg dose group at week 12 and 44.4% at week 8 (reflects one dose; ongoing) in the 3 mg/kg dose group which is a key therapeutic goal.</w:t>
      </w:r>
    </w:p>
    <w:p>
      <w:pPr>
        <w:spacing w:after="0" w:line="170" w:lineRule="exact"/>
        <w:rPr>
          <w:rFonts w:ascii="Arial" w:cs="Arial" w:eastAsia="Arial" w:hAnsi="Arial"/>
          <w:sz w:val="18"/>
          <w:szCs w:val="18"/>
          <w:color w:val="auto"/>
        </w:rPr>
      </w:pPr>
    </w:p>
    <w:p>
      <w:pPr>
        <w:ind w:left="1000" w:right="22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75% well-controlled disease by Urticaria Control Test (UCT) in the 1.5 mg/kg dose group at week 12 and 83.3% in the 3 mg/kg dose group at week 8 (reflects one dose; ongoing).</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with prior omalizumab therapy had similar symptom improvement as all patients.</w:t>
      </w:r>
    </w:p>
    <w:p>
      <w:pPr>
        <w:spacing w:after="0" w:line="225" w:lineRule="exact"/>
        <w:rPr>
          <w:rFonts w:ascii="Arial" w:cs="Arial" w:eastAsia="Arial" w:hAnsi="Arial"/>
          <w:sz w:val="18"/>
          <w:szCs w:val="18"/>
          <w:color w:val="auto"/>
        </w:rPr>
      </w:pPr>
    </w:p>
    <w:p>
      <w:pPr>
        <w:jc w:val="both"/>
        <w:ind w:left="1000" w:right="220" w:hanging="317"/>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three doses of barzolvolimab markedly improved urticaria symptoms and disease control, with rapid improvement in itch and hives. As predicted, the lowest dose of 0.5 mg/kg resulted in suboptimal clinical activity compared to the higher doses.</w:t>
      </w:r>
    </w:p>
    <w:p>
      <w:pPr>
        <w:spacing w:after="0" w:line="183"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Rapid onset of responses after initial dosing and sustained durability were observed; onset as early as 1 week after the first dose.</w:t>
      </w:r>
    </w:p>
    <w:p>
      <w:pPr>
        <w:spacing w:after="0" w:line="170" w:lineRule="exact"/>
        <w:rPr>
          <w:rFonts w:ascii="Arial" w:cs="Arial" w:eastAsia="Arial" w:hAnsi="Arial"/>
          <w:sz w:val="18"/>
          <w:szCs w:val="18"/>
          <w:color w:val="auto"/>
        </w:rPr>
      </w:pPr>
    </w:p>
    <w:p>
      <w:pPr>
        <w:ind w:left="1000" w:right="36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Tryptase suppression, indicative of mast cell depletion, paralleled symptom improvement, demonstrating the impact of mast cell depletion on CSU disease activity.</w:t>
      </w:r>
    </w:p>
    <w:p>
      <w:pPr>
        <w:spacing w:after="0" w:line="170" w:lineRule="exact"/>
        <w:rPr>
          <w:rFonts w:ascii="Arial" w:cs="Arial" w:eastAsia="Arial" w:hAnsi="Arial"/>
          <w:sz w:val="18"/>
          <w:szCs w:val="18"/>
          <w:color w:val="auto"/>
        </w:rPr>
      </w:pPr>
    </w:p>
    <w:p>
      <w:pPr>
        <w:ind w:left="1000" w:right="120" w:hanging="317"/>
        <w:spacing w:after="0" w:line="293"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Barzolvolimab was well tolerated with a favorable safety profile; effects of multiple dose administration were consistent with observations in single dose studies. Most AEs were mild or moderate in severity and resolved while on study, with none leading to treatment discontinuation. The most common treatment emergent adverse events were urinary tract infections, headache, neutropenia and back pain. UTIs, headache and backpain were all reported as unrelated to treatment. Changes in hematologic parameters were consistent with observations in single dose studies, with no pattern of further decreases with multiple doses; hematologic values generally remained within the normal range.</w:t>
      </w:r>
    </w:p>
    <w:p>
      <w:pPr>
        <w:spacing w:after="0" w:line="164"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June 2022, we announced that the first patient has been dosed in a Phase 2 study in patients with CSU who remain symptomatic despite antihistamine therapy. The study will be conducted at more than 75 sites across 10 or more countries. The study is a randomized, double-blind, placebo-controlled, parallel group Phase 2 study evaluating the efficacy and safety profile of multiple dose regimens of barzolvolimab to determine the optimal dosing strategy. Approximately 168 patients will be randomly assigned on a 1:1:1:1 ratio to receive subcutaneous injections of barzolvolimab at 75 mg every 4 weeks, 150 mg every 4 weeks, 300 mg every 8 weeks or placebo during a 16-week placebo-controlled treatment phase. Patients will then enter a 36-week active treatment phase, in which patients not already randomized to barzolvolimab at 150 mg every 4 weeks or 300 mg every 8 weeks will be randomized 1:1 to receive one of these two dose regimens; patients already randomized to these treatment arms will remain on the same regimen as during the placebo-controlled treatment phase. Following the treatment period, patients will enter a 24-week follow up phase. The primary endpoint of the study is mean change in baseline to Week 12 in UAS7 (Urticaria Activity Score over 7 days). Secondary endpoints include safety and other assessments of clinical activity including ISS7 (Itch Severity Score over 7 days), HSS7 (Hive Severity Score over 7 days) and AAS7 (Angioedema Activity Score over 7 days).</w:t>
      </w:r>
    </w:p>
    <w:p>
      <w:pPr>
        <w:spacing w:after="0" w:line="17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December 2020, we announced that enrollment had opened and the first patient had been dosed in a Phase 1b study in CIndU being conducted in Germany in patients who are refractory to antihistamines. This study is an open label clinical trial designed to evaluate the safety of a single dose (3 mg/kg) of barzolvolimab in patients with cold urticaria (n=10) or symptomatic dermographism (n=10). In March and June 2021, respectively, we added a third cohort (single dose, 3 mg/kg) in patients with cholinergic urticaria (n=10) and a fourth cohort at a lower dose (single dose, 1.5 mg/kg) in cold urticaria. Patient’s symptoms are induced via provocation testing that resembles real life triggering situations. Secondary and exploratory objectives include pharmacokinetic and pharmacodynamic assessments, including changes from baseline provocation thresholds, measurement of tryptase and stem cell factor levels, clinical activity outcomes (impact on urticaria symptoms, disease control, clinical response), quality of life assessments and measurement of tissue mast cells through skin biopsies. Barzolvolimab is administered intravenously on Day 1 as add on treatment to H1-antihistamines.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July 2021, we reported positive interim data from the cold urticaria and symptomatic dermographism cohorts. As of the data cut-off on June 11, 2021, 20 patients had received a single intravenous infusion of barzolvolimab at 3 mg/kg, including 11 patients with cold urticaria and 9 patients with symptomatic dermographism. Patients had high disease activity as assessed by provocation threshold testing. In patients with cold urticaria and symptomatic dermographism baseline critical temperature thresholds were 18.9°C/66°F (range: 5-27°C/41-80.6°F) and FricTest® thresholds were 3.8 (range: 3-4) of 4 pins. Safety results were reported for all 20 patients; activity results were reported for the 19 patients who received a full dose of barzolvolimab. 14 of 19 patients completed the 12-week study observation period and five were ongoing (range of 2-8 weeks) as of June 11, 2021.</w:t>
      </w:r>
    </w:p>
    <w:p>
      <w:pPr>
        <w:spacing w:after="0" w:line="177" w:lineRule="exact"/>
        <w:rPr>
          <w:sz w:val="20"/>
          <w:szCs w:val="20"/>
          <w:color w:val="auto"/>
        </w:rPr>
      </w:pPr>
    </w:p>
    <w:p>
      <w:pPr>
        <w:ind w:left="1000" w:right="100" w:hanging="317"/>
        <w:spacing w:after="0" w:line="296"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All 19/19 (100)% patients experienced a clinical response as assessed by provocation threshold testing; 18/19 (95)% experienced a complete response and 1/19 (5)% experienced a partial response.10/10 (100)% patients with cold urticaria experienced a complete response. 8/9 (89)% patients with symptomatic dermographism experienced a complete response and 1/9 (11)% experienced a partial response. Compete responses were observed in all 3 patients (1 cold urticaria; 2 symptomatic dermographism) with prior Xolair® (omalizumab) experience, including two who were Xolair refractory.</w:t>
      </w:r>
    </w:p>
    <w:p>
      <w:pPr>
        <w:spacing w:after="0" w:line="161" w:lineRule="exact"/>
        <w:rPr>
          <w:rFonts w:ascii="Arial" w:cs="Arial" w:eastAsia="Arial" w:hAnsi="Arial"/>
          <w:sz w:val="16"/>
          <w:szCs w:val="16"/>
          <w:color w:val="auto"/>
        </w:rPr>
      </w:pPr>
    </w:p>
    <w:p>
      <w:pPr>
        <w:jc w:val="both"/>
        <w:ind w:left="1000" w:right="540" w:hanging="317"/>
        <w:spacing w:after="0" w:line="31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Rapid onset of responses after dosing and sustained durability were observed. Most patients with cold urticaria and symptomatic dermographism experienced a complete response by week 1 and by week 4, respectively. The median duration of response for patients was 77+ days for cold urticaria and 57+ days for symptomatic dermographism.</w:t>
      </w:r>
    </w:p>
    <w:p>
      <w:pPr>
        <w:spacing w:after="0" w:line="148" w:lineRule="exact"/>
        <w:rPr>
          <w:rFonts w:ascii="Arial" w:cs="Arial" w:eastAsia="Arial" w:hAnsi="Arial"/>
          <w:sz w:val="16"/>
          <w:szCs w:val="16"/>
          <w:color w:val="auto"/>
        </w:rPr>
      </w:pPr>
    </w:p>
    <w:p>
      <w:pPr>
        <w:ind w:left="1000" w:right="48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Improvements in disease activity as reported by physician’s and patient’s global assessment of disease severity were consistent with the complete responses as measured by provocation testing.</w:t>
      </w:r>
    </w:p>
    <w:p>
      <w:pPr>
        <w:spacing w:after="0" w:line="170" w:lineRule="exact"/>
        <w:rPr>
          <w:rFonts w:ascii="Arial" w:cs="Arial" w:eastAsia="Arial" w:hAnsi="Arial"/>
          <w:sz w:val="18"/>
          <w:szCs w:val="18"/>
          <w:color w:val="auto"/>
        </w:rPr>
      </w:pPr>
    </w:p>
    <w:p>
      <w:pPr>
        <w:ind w:left="1000" w:hanging="317"/>
        <w:spacing w:after="0" w:line="25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single 3 mg/kg dose of barzolvolimab resulted in rapid, marked and durable suppression of serum tryptase and depletion of skin mast cells (87% depletion) as measured through biopsy. The kinetics of serum tryptase and skin mast cell depletion mirrored clinical activity. This confirmed that serum tryptase level is a robust pharmacodynamic biomarker for assessing mast cell burden and clinical activity in inducible urticaria and potentially in other diseases with mast cell driven involvement.</w:t>
      </w:r>
    </w:p>
    <w:p>
      <w:pPr>
        <w:spacing w:after="0" w:line="187" w:lineRule="exact"/>
        <w:rPr>
          <w:rFonts w:ascii="Arial" w:cs="Arial" w:eastAsia="Arial" w:hAnsi="Arial"/>
          <w:sz w:val="18"/>
          <w:szCs w:val="18"/>
          <w:color w:val="auto"/>
        </w:rPr>
      </w:pPr>
    </w:p>
    <w:p>
      <w:pPr>
        <w:ind w:left="1000" w:right="20" w:hanging="317"/>
        <w:spacing w:after="0" w:line="291"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Barzolvolimab was generally well tolerated. The most common adverse events were hair color changes, mild infusion reactions, and transient changes in taste perception. Hair color changes (generally small areas of hair color lightening) and taste disorders (generally partial changes of ability to taste salt) are consistent with inhibiting KIT signaling in other cell types and are expected to be fully reversible. As previously reported in March 2021, a single severe infusion reaction of brief loss of consciousness was observed in a patient with a history of fainting. The patient rapidly recovered. Importantly, no evidence of mast cell activation as measured by serum tryptase monitoring was observed. There was no evidence of clinically significant decreases in hematology parameters—an important finding for a KIT inhibitor.</w:t>
      </w:r>
    </w:p>
    <w:p>
      <w:pPr>
        <w:spacing w:after="0" w:line="166" w:lineRule="exact"/>
        <w:rPr>
          <w:rFonts w:ascii="Arial" w:cs="Arial" w:eastAsia="Arial" w:hAnsi="Arial"/>
          <w:sz w:val="16"/>
          <w:szCs w:val="16"/>
          <w:color w:val="auto"/>
        </w:rPr>
      </w:pPr>
    </w:p>
    <w:p>
      <w:pPr>
        <w:ind w:left="1000" w:hanging="317"/>
        <w:spacing w:after="0" w:line="263"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patient with symptomatic dermographism enrolled in the study also had a diagnosis of prurigo nodularis (PN). After a single dose of barzolvolimab, this patient experienced both a complete response of symptomatic dermographism and notable improvement of the PN.</w:t>
      </w:r>
    </w:p>
    <w:p>
      <w:pPr>
        <w:spacing w:after="0" w:line="184" w:lineRule="exact"/>
        <w:rPr>
          <w:sz w:val="20"/>
          <w:szCs w:val="20"/>
          <w:color w:val="auto"/>
        </w:rPr>
      </w:pPr>
    </w:p>
    <w:p>
      <w:pPr>
        <w:jc w:val="both"/>
        <w:ind w:right="240" w:firstLine="648"/>
        <w:spacing w:after="0" w:line="311" w:lineRule="auto"/>
        <w:rPr>
          <w:sz w:val="20"/>
          <w:szCs w:val="20"/>
          <w:color w:val="auto"/>
        </w:rPr>
      </w:pPr>
      <w:r>
        <w:rPr>
          <w:rFonts w:ascii="Arial" w:cs="Arial" w:eastAsia="Arial" w:hAnsi="Arial"/>
          <w:sz w:val="16"/>
          <w:szCs w:val="16"/>
          <w:color w:val="auto"/>
        </w:rPr>
        <w:t>In September 2021, we reported additional positive data from the study on measurements of symptom control and quality of life. A single dose of barzolvolimab (3 mg/kg) resulted in a rapid and sustained improvement in urticaria control and greatly reduced disease impact on quality of life, as measured by the Urticaria Control Test (UCT) and Dermatology Life Quality Index (DLQI).</w:t>
      </w:r>
    </w:p>
    <w:p>
      <w:pPr>
        <w:spacing w:after="0" w:line="14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July 2022 we announced that the first patient has been dosed in a Phase 2 study in patients with CIndU who remain symptomatic despite antihistamine therapy. The study will be conducted at more than 75 sites across 10 or more countries. The randomized, double-blind, placebo-controlled, parallel group Phase 2 study is evaluating the efficacy and safety profile of multiple dose regimens of barzolvolimab in patients with CIndU to determine the optimal dosing strategy. Approximately 180 patients in 2 cohorts (differentiated by CIndU subtype) including 90 patients with cold urticaria and 90 patients with symptomatic dermographism will be randomly assigned on a 1:1:1 ratio to receive subcutaneous injections of barzolvolimab at 150 mg every 4 weeks, 300 mg every 8 weeks or placebo during a 20-week treatment phase. Patients will then enter a follow-up phase for an additional 24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w:t>
      </w:r>
    </w:p>
    <w:p>
      <w:pPr>
        <w:sectPr>
          <w:pgSz w:w="11900" w:h="16838" w:orient="portrait"/>
          <w:cols w:equalWidth="0" w:num="1">
            <w:col w:w="9840"/>
          </w:cols>
          <w:pgMar w:left="980" w:top="66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are currently no FDA approved therapies for PN, representing an area of significant unmet need. Industry sources estimate there are approximately 154,000 patients in the United States with PN who have undergone treatment within the last 12 months and, of these, approximately 75,000 would be biologic-eligible. In December 2021, the first patient was dosed in a Phase 1b multi-center, randomized, double-blind, placebo-controlled study designed to assess the safety and treatment effects across multiple dosing cohorts of barzolvolimab in up to 30 patients with PN.</w:t>
      </w:r>
    </w:p>
    <w:p>
      <w:pPr>
        <w:spacing w:after="0" w:line="178"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Manufacturing activities to support the introduction of the barzolvolimab subcutaneous formulation into the clinical program have been completed and, in September 2021, we initiated dosing in a randomized, double-blind, placebo-controlled, Phase 1 study designed to evaluate the safety of single ascending doses of the subcutaneous formulation of barzolvolimab in healthy volunteers. In February 2022, we reported that subcutaneous administration of barzolvolimab was well tolerated and that multiple dose levels have been identified that possess promising pharmacokinetic and pharmacodynamic properties. Importantly, subcutaneous delivery of barzolvolimab resulted in dose-dependent, rapid and sustained decreases in serum tryptase compared with placebo and achieved sufficient exposure to produce tryptase suppression levels comparable with the levels that generated impressive clinical activity observed in the Phase 1 CIndU intravenous study. The Phase 2 multi-dose studies in urticaria are designed to evaluate 75mg and 150mg administered every 4 weeks and 300mg administered every 8 weeks. These doses support a 0.5 to 2 ml injection volume, allowing for a single injection as barzolvolimab advances towards potential commercialization. In 2022, we initiated transfer of our current barzolvolimab manufacturing process to a contract manufacturing organization to support late-stage trials and to prepare for potential commercialization.</w:t>
      </w:r>
    </w:p>
    <w:p>
      <w:pPr>
        <w:spacing w:after="0" w:line="179"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February 2022, we also reported interim data after completing the in-life dosing portion of our six-month chronic toxicology study in non-human primates; a subset of the animals will continue to be followed beyond clearance of the barzolvolimab antibody to study completion. As expected and consistent with other KIT-targeting agents, impact on spermatogenesis was observed which is anticipated to be fully reversible upon clearance of the antibody. There were no other clinically adverse findings reported in the study. We believe these data strongly support our Phase 2 studies in urticaria and in future indications.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February 2022, we announced that we will be expanding clinical development of barzolvolimab into eosinophilic esophagitis (EoE), the most common type of eosinophilic gastrointestinal disease. EoE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are limited treatment options for EoE. Individuals often participate in an elimination diet to identify potential food allergens that may contribute to EoE, avoid difficult to swallow foods and undergo esophageal dilation. While not approved for EoE, proton pump inhibitors and the swallowing of topical corticosteroids are also used to address the disease.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pacing w:after="0" w:line="17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continue to assess potential opportunities for barzolvolimab in other diseases where mast cells play an important role, such as dermatologic, respiratory, allergic, gastrointestinal and ophthalmic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CDX-527</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CDX-527 is the first candidate from our bispecific antibody platform. Bispecifics provide opportunities to engage two independent pathways involved in controlling immune responses to tumors. CDX-527 uses our proprietary highly active anti-PD-L1 and CD27 human antibodies to couple CD27 co-stimulation with blockade of the PD-L1/PD-1 pathway to help prime and activate anti-tumor T cell responses through CD27 costimulation, while preventing PD-1 inhibitory signals that subvert the immune response.</w:t>
      </w:r>
    </w:p>
    <w:p>
      <w:pPr>
        <w:spacing w:after="0" w:line="15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prior clinical experience with combining CD27 activation and PD-1 blockade provide the rationale for linking these two pathways into one molecule. Preclinical data presented at the SITC 34th Annual Meeting in November 2019 demonstrated that CDX-527 is more potent at T cell activation and anti-tumor immunity than the combination of parental monoclonal antibodies.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August 2020, we announced the initiation of a Phase 1 dose-escalation study. The study includes up to approximately 40 patients with advanced or metastatic solid tumors that have progressed during or after standard of care therapy to be followed by tumor-specific expansion cohorts. The study is designed to determine the maximum tolerated dose, or MTD, during a dose-escalation phase and to recommend a dose level for further study in the subsequent expansion phase. The expansion is designed to further evaluate the tolerability, and biologic and anti-tumor effects of selected dose level(s) of CDX-527 in specific tumor types. Enrollment to the dose escalation portion of the study has been completed and an expansion cohort in ovarian cancer is enrolling patients.</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Interim data were presented at the American Society of Clinical Oncology (ASCO) 2021 Annual Meeting in June that demonstrated a good safety profile along with promising pharmacodynamic and pharmacokinetic activity, which are important key hurdles for the development of bispecific antibodies. As of the data cut-off (April 16, 2021), 11 patients were enrolled in the first 5 dose escalation cohorts, 0.03 mg/kg through 3 mg/kg.CDX-527 was well tolerated, with no dose-limiting toxicities or treatment related serious adverse events observed. Pharmacokinetics and receptor occupancy demonstrated good exposure starting at the 1 mg/kg dose and no evidence of significant anti-drug antibodies impact. Pharmacodynamic parameters demonstrated biological activity consistent with immune activation including: transient increase in pro inflammatory cytokines/chemokines, upregulation of activation marker on T cells and particularly NK cells and a decrease in regulatory T cells.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CDX-1140</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CDX-1140 is a fully human agonist monoclonal antibody targeted to CD40, a key activator of immune response, which is found on dendritic cells, macrophages and B cells and is also expressed on many cancer cells. Potent CD40 agonist antibodies have shown encouraging results in early clinical studies; however, systemic toxicity associated with broad CD40 activation has limited their dosing concentrations to levels that may not be optimal for engaging CD40 expressing cells in the tumor microenvironment. CDX-1140 has unique properties relative to other CD40 agonist antibodies: potent agonist activity is independent of Fc receptor interaction, contributing to more consistent, controlled immune activation; CD40L binding is not blocked, leading to potential synergistic effects of agonist activity near activated T cells in lymph nodes and tumors; and the antibody does not promote cytokine production in whole blood assays. CDX-1140 has shown direct anti-tumor activity in preclinical models of lymphoma. Preclinical studies of CDX-1140 clearly demonstrate strong immune activation effects and low systemic toxicity and supported the design of the Phase 1 study to identify the dose for characterizing single-agent and combination activity.</w:t>
      </w:r>
    </w:p>
    <w:p>
      <w:pPr>
        <w:spacing w:after="0" w:line="18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Phase 1 study was initiated in November 2017 in patients with recurrent, locally advanced or metastatic solid tumors and B cell lymphomas. The study was designed to determine the maximum tolerated dose, or MTD, during a dose-escalation phase and to recommend a dose level for further study in a subsequent expansion phase. Secondary objectives include assessments of safety and tolerability, pharmacodynamics, pharmacokinetics, immunogenicity and additional measures of anti-tumor activity, including clinical benefit rate.</w:t>
      </w:r>
    </w:p>
    <w:p>
      <w:pPr>
        <w:spacing w:after="0" w:line="18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November 2021, we provided an update on the ongoing Phase 1 study. Emerging data from the safety run-in cohort of CDX-1140 with gemcitabine/nab-paclitaxel in patients with previously untreated metastatic pancreatic adenocarcinoma and external CD40 agonist data reported using the same regimen, suggest that simultaneous treatment with chemotherapy and CD40 activation may not be optimal. The combination of CDX-1140 with pembrolizumab had completed the safety run-in phase and expansion cohorts in patients with checkpoint-refractory/resistant squamous cell head and neck cancer and non-small cell lung cancer were enrolled. When we reviewed updated data from this study in June of 2022, evidence of clinical benefit was most evident in patients with SCCHN, all of whom had progressive disease on prior anti-PD-1/L1 based therapies. Despite evidence of clinical benefit, questions remain to be answered about CDX-1140, and the broader CD40 agonist class, regarding the best clinical settings, regimens, and possible combinations before advancing into additional Celldex sponsored studies. Given our pipeline priorities and resource requirements, we will not progress further Company-sponsored studies at this time and are exploring alternative means of answering these questions, including through investigator sponsored studies.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2021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2022 Compared with Three Months Ended June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5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5"/>
          </w:tcPr>
          <w:p>
            <w:pPr>
              <w:jc w:val="right"/>
              <w:ind w:right="53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Product development and licensing agreements</w:t>
            </w:r>
          </w:p>
        </w:tc>
        <w:tc>
          <w:tcPr>
            <w:tcW w:w="5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5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(95)%</w:t>
            </w:r>
          </w:p>
        </w:tc>
      </w:tr>
      <w:tr>
        <w:trPr>
          <w:trHeight w:val="197"/>
        </w:trPr>
        <w:tc>
          <w:tcPr>
            <w:tcW w:w="5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20,731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8,375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68 %</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66 %</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w w:val="97"/>
              </w:rPr>
              <w:t>(Gain) loss on fair value remeasurement of contingent consideration</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(6,584)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related loss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r>
      <w:tr>
        <w:trPr>
          <w:trHeight w:val="210"/>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16,920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19,639</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116 %</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171 %</w:t>
            </w: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485 %</w:t>
            </w:r>
          </w:p>
        </w:tc>
      </w:tr>
      <w:tr>
        <w:trPr>
          <w:trHeight w:val="210"/>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(13,373)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22,631</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169 %</w:t>
            </w:r>
          </w:p>
        </w:tc>
      </w:tr>
      <w:tr>
        <w:trPr>
          <w:trHeight w:val="20"/>
        </w:trPr>
        <w:tc>
          <w:tcPr>
            <w:tcW w:w="5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$22.6 million increase in net loss for the three months ended June 30, 2022, as compared to the three months ended June 30, 2021, was primarily due to the $15.0 million litigation settlement related loss recorded in the second quarter of 2022 and increases in research and development and general and administrative expenses, partially offset by an increase in the gain on fair value remeasurement of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Revenue from product development and licensing agreements for the three months ended June 30, 2022 was relatively consistent with the three months ended June 30, 2021. The $3.3 million decrease in contracts and grants revenue for the three months ended June 30, 2022, as compared to the three months ended June 30, 2021, was primarily due to a decrease in services performed under our manufacturing and research and development agreements with Rockefeller University and Gilead Sciences. We expect revenue to increase over the next twelve months as a result of an increase in services expected to be performed under our contract manufacturing and research and development agreement with Rockefeller University.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center"/>
              <w:ind w:right="116"/>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gridSpan w:val="3"/>
          </w:tcPr>
          <w:p>
            <w:pPr>
              <w:jc w:val="center"/>
              <w:ind w:left="78"/>
              <w:spacing w:after="0"/>
              <w:rPr>
                <w:sz w:val="20"/>
                <w:szCs w:val="20"/>
                <w:color w:val="auto"/>
              </w:rPr>
            </w:pPr>
            <w:r>
              <w:rPr>
                <w:rFonts w:ascii="Arial" w:cs="Arial" w:eastAsia="Arial" w:hAnsi="Arial"/>
                <w:sz w:val="14"/>
                <w:szCs w:val="14"/>
                <w:b w:val="1"/>
                <w:bCs w:val="1"/>
                <w:color w:val="auto"/>
                <w:w w:val="88"/>
              </w:rPr>
              <w:t>Increase/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71"/>
        </w:trPr>
        <w:tc>
          <w:tcPr>
            <w:tcW w:w="32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left="78"/>
              <w:spacing w:after="0"/>
              <w:rPr>
                <w:sz w:val="20"/>
                <w:szCs w:val="20"/>
                <w:color w:val="auto"/>
              </w:rPr>
            </w:pPr>
            <w:r>
              <w:rPr>
                <w:rFonts w:ascii="Arial" w:cs="Arial" w:eastAsia="Arial" w:hAnsi="Arial"/>
                <w:sz w:val="14"/>
                <w:szCs w:val="14"/>
                <w:b w:val="1"/>
                <w:bCs w:val="1"/>
                <w:color w:val="auto"/>
                <w:w w:val="92"/>
              </w:rPr>
              <w:t>(Decrease)</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28"/>
        </w:trPr>
        <w:tc>
          <w:tcPr>
            <w:tcW w:w="32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2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37 %</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Laboratory supplies</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56 %</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2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Product development</w:t>
            </w:r>
          </w:p>
        </w:tc>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7,945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4,973</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167 %</w:t>
            </w:r>
          </w:p>
        </w:tc>
      </w:tr>
      <w:tr>
        <w:trPr>
          <w:trHeight w:val="850"/>
        </w:trPr>
        <w:tc>
          <w:tcPr>
            <w:tcW w:w="3200" w:type="dxa"/>
            <w:vAlign w:val="bottom"/>
          </w:tcPr>
          <w:p>
            <w:pPr>
              <w:spacing w:after="0"/>
              <w:rPr>
                <w:sz w:val="24"/>
                <w:szCs w:val="24"/>
                <w:color w:val="auto"/>
              </w:rPr>
            </w:pPr>
          </w:p>
        </w:tc>
        <w:tc>
          <w:tcPr>
            <w:tcW w:w="2480" w:type="dxa"/>
            <w:vAlign w:val="bottom"/>
          </w:tcPr>
          <w:p>
            <w:pPr>
              <w:jc w:val="right"/>
              <w:ind w:right="53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3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Personnel expenses primarily include salary, benefits, stock-based compensation and payroll taxes. The $2.1 million increase in personnel expenses for the three months ended June 30, 2022, as compared to the three months ended June 30, 2021,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5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Laboratory supplies expenses include laboratory materials and supplies, services, and other related expenses incurred in the development of our technology. The $0.8 million increase in laboratory supply expenses for the three months ended June 30, 2022, as compared to the three months ended June 30, 2021, was primarily due to higher laboratory materials and supplies purchases. We expect laboratory supplies expenses to remain relatively consistent over the next twelve months, although there may be fluctuations on a quarterly basis.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Facility expenses include depreciation, amortization, utilities, rent, maintenance and other related expenses incurred at our facilities. Facility expenses for the three months ended June 30, 2022 was relatively consistent with the three months ended June 30, 2021. We expect facility expenses to remain relatively consistent over the next twelve months, although there may be fluctuations on a quarterly basis.</w:t>
      </w:r>
    </w:p>
    <w:p>
      <w:pPr>
        <w:spacing w:after="0" w:line="18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Product development expenses include clinical investigator site fees, external trial monitoring costs, data accumulation costs, contracted research and outside clinical drug product manufacturing. The $5.0 million increase in product development expenses for the three months ended June 30, 2022, as compared to the three months ended June 30, 2021, was primarily due to an increase in clinical trial and contract research expenses. We expect product development expenses to increase over the next twelve months as a result of further increases in barzolvolimab clinical trial, contract manufacturing and contract research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The $2.8 million increase in general and administrative expenses for the three months ended June 30, 2022, as compared to the three months ended June 30, 2021, was primarily due to higher legal, commercial planning, and stock-based compensation expenses. We expect general and administrative expenses to decrease over the next twelve months as a result of a decrease in legal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$6.3 million gain on fair value remeasurement of contingent consideration for the three months ended June 30, 2022 was primarily due to our decision to deprioritize the CDX-1140 program. The $0.3 million loss on fair value remeasurement of contingent consideration for the three months ended June 30, 2021 was primarily due to the passage of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Related Loss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recorded a loss of $15.0 million in the second quarter of 2022 related to the Initial Payment due under the binding settlement term sheet (the "Term Sheet") entered with SRS.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$0.3 million increase in investment and other income, net for the three months ended June 30, 2022, as compared to the three months ended June 30, 2021, was primarily due to higher levels of cash and investment balances and higher interest rates on fixed income investments. We expect investment and other income to increase over the next twelve months due to higher other income related to our sale of New Jersey tax benefits.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2022 Compared with Six Months Ended June 30,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ind w:left="24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Increase/</w:t>
            </w:r>
          </w:p>
        </w:tc>
      </w:tr>
      <w:tr>
        <w:trPr>
          <w:trHeight w:val="17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(Decrease)</w:t>
            </w: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(Decrease)</w:t>
            </w:r>
          </w:p>
        </w:tc>
      </w:tr>
      <w:tr>
        <w:trPr>
          <w:trHeight w:val="142"/>
        </w:trPr>
        <w:tc>
          <w:tcPr>
            <w:tcW w:w="5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76"/>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5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60" w:type="dxa"/>
            <w:vAlign w:val="bottom"/>
            <w:gridSpan w:val="4"/>
          </w:tcPr>
          <w:p>
            <w:pPr>
              <w:jc w:val="right"/>
              <w:ind w:right="514"/>
              <w:spacing w:after="0" w:line="129"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Product development and licensing agreements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3 %</w:t>
            </w: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r>
      <w:tr>
        <w:trPr>
          <w:trHeight w:val="249"/>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w:t>
            </w:r>
          </w:p>
        </w:tc>
        <w:tc>
          <w:tcPr>
            <w:tcW w:w="16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(92)%</w:t>
            </w:r>
          </w:p>
        </w:tc>
      </w:tr>
      <w:tr>
        <w:trPr>
          <w:trHeight w:val="197"/>
        </w:trPr>
        <w:tc>
          <w:tcPr>
            <w:tcW w:w="5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37,786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12,710</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51 %</w:t>
            </w: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67 %</w:t>
            </w:r>
          </w:p>
        </w:tc>
      </w:tr>
      <w:tr>
        <w:trPr>
          <w:trHeight w:val="216"/>
        </w:trPr>
        <w:tc>
          <w:tcPr>
            <w:tcW w:w="5720" w:type="dxa"/>
            <w:vAlign w:val="bottom"/>
          </w:tcPr>
          <w:p>
            <w:pPr>
              <w:ind w:left="120"/>
              <w:spacing w:after="0"/>
              <w:rPr>
                <w:sz w:val="20"/>
                <w:szCs w:val="20"/>
                <w:color w:val="auto"/>
              </w:rPr>
            </w:pPr>
            <w:r>
              <w:rPr>
                <w:rFonts w:ascii="Arial" w:cs="Arial" w:eastAsia="Arial" w:hAnsi="Arial"/>
                <w:sz w:val="18"/>
                <w:szCs w:val="18"/>
                <w:color w:val="auto"/>
              </w:rPr>
              <w:t>(Gain) loss on fair value remeasurement of contingent consideration</w:t>
            </w:r>
          </w:p>
        </w:tc>
        <w:tc>
          <w:tcPr>
            <w:tcW w:w="1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(6,862)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(7,603)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(1,026)%</w:t>
            </w:r>
          </w:p>
        </w:tc>
      </w:tr>
      <w:tr>
        <w:trPr>
          <w:trHeight w:val="216"/>
        </w:trPr>
        <w:tc>
          <w:tcPr>
            <w:tcW w:w="5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settlement related loss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09"/>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34,243</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25,747</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75 %</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98 %</w:t>
            </w: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 and other income, net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259 %</w:t>
            </w:r>
          </w:p>
        </w:tc>
      </w:tr>
      <w:tr>
        <w:trPr>
          <w:trHeight w:val="209"/>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(59,054)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(29,911)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29,143</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97 %</w:t>
            </w:r>
          </w:p>
        </w:tc>
      </w:tr>
      <w:tr>
        <w:trPr>
          <w:trHeight w:val="20"/>
        </w:trPr>
        <w:tc>
          <w:tcPr>
            <w:tcW w:w="5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$29.1 million increase in net loss for the six months ended June 30, 2022, as compared to the six months ended June 30, 2021, was primarily due to the $15.0 million litigation settlement related loss recorded in the second quarter of 2022 and increases in research and development and general and administrative expenses, partially offset by an increase in the gain on fair value remeasurement of contingent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Product development and licensing agreements revenue for the six months ended June 30, 2022, was relatively consistent with the six months ended June 30, 2021. The $3.8 million decrease in contracts and grants revenue for the six months ended June 30, 2022, as compared to the six months ended June 30, 2021, was primarily related to a decrease in services performed under our manufacturing and research and development agreements with Rockefeller University and Gilead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80" w:type="dxa"/>
            <w:vAlign w:val="bottom"/>
          </w:tcPr>
          <w:p>
            <w:pPr>
              <w:spacing w:after="0"/>
              <w:rPr>
                <w:sz w:val="14"/>
                <w:szCs w:val="14"/>
                <w:color w:val="auto"/>
              </w:rPr>
            </w:pPr>
          </w:p>
        </w:tc>
        <w:tc>
          <w:tcPr>
            <w:tcW w:w="114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2"/>
              </w:rPr>
              <w:t>Increase/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39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20" w:type="dxa"/>
            <w:vAlign w:val="bottom"/>
            <w:tcBorders>
              <w:bottom w:val="single" w:sz="8" w:color="auto"/>
            </w:tcBorders>
            <w:gridSpan w:val="3"/>
          </w:tcPr>
          <w:p>
            <w:pPr>
              <w:jc w:val="center"/>
              <w:ind w:left="48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388"/>
              <w:spacing w:after="0"/>
              <w:rPr>
                <w:sz w:val="20"/>
                <w:szCs w:val="20"/>
                <w:color w:val="auto"/>
              </w:rPr>
            </w:pPr>
            <w:r>
              <w:rPr>
                <w:rFonts w:ascii="Arial" w:cs="Arial" w:eastAsia="Arial" w:hAnsi="Arial"/>
                <w:sz w:val="14"/>
                <w:szCs w:val="14"/>
                <w:b w:val="1"/>
                <w:bCs w:val="1"/>
                <w:color w:val="auto"/>
                <w:w w:val="89"/>
              </w:rPr>
              <w:t>(Decrease)</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28"/>
        </w:trPr>
        <w:tc>
          <w:tcPr>
            <w:tcW w:w="39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right"/>
              <w:ind w:right="368"/>
              <w:spacing w:after="0" w:line="12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Personnel</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11,882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3,624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30 %</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Laboratory supplies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3,747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3,115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Facility</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1 %</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Product development</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13,103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7,369</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129 %</w:t>
            </w:r>
          </w:p>
        </w:tc>
      </w:tr>
    </w:tbl>
    <w:p>
      <w:pPr>
        <w:spacing w:after="0" w:line="18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Personnel expenses primarily include salary, benefits, stock-based compensation and payroll taxes. The $3.6 million increase in personnel expenses for the six months ended June 30, 2022, as compared to the six months ended June 30, 2021, was primarily due to higher stock-based compensation expense and an increase in employee headcount.</w:t>
      </w:r>
    </w:p>
    <w:p>
      <w:pPr>
        <w:spacing w:after="0" w:line="184" w:lineRule="exact"/>
        <w:rPr>
          <w:sz w:val="20"/>
          <w:szCs w:val="20"/>
          <w:color w:val="auto"/>
        </w:rPr>
      </w:pPr>
    </w:p>
    <w:p>
      <w:pPr>
        <w:jc w:val="both"/>
        <w:ind w:right="380" w:firstLine="648"/>
        <w:spacing w:after="0" w:line="311" w:lineRule="auto"/>
        <w:rPr>
          <w:sz w:val="20"/>
          <w:szCs w:val="20"/>
          <w:color w:val="auto"/>
        </w:rPr>
      </w:pPr>
      <w:r>
        <w:rPr>
          <w:rFonts w:ascii="Arial" w:cs="Arial" w:eastAsia="Arial" w:hAnsi="Arial"/>
          <w:sz w:val="16"/>
          <w:szCs w:val="16"/>
          <w:color w:val="auto"/>
        </w:rPr>
        <w:t>Laboratory supplies expenses include laboratory materials and supplies, services, and other related expenses incurred in the development of our technology. The $0.6 million increase in laboratory supply expenses for the six months ended June 30, 2022, as compared to the six months ended June 30, 2021, was primarily due to higher laboratory materials and supplies purchases.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Facility expenses include depreciation, amortization, utilities, rent, maintenance and other related expenses incurred at our facilities. Facility expenses for the six months ended June 30, 2022 was relatively consistent with the six months ended June 30, 2021.</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Product development expenses include clinical investigator site fees, external trial monitoring costs, data accumulation costs, contracted research and outside clinical drug product manufacturing. The $7.4 million increase in product development expenses for the six months ended June 30, 2022, as compared to the six months ended June 30, 2021, was primarily due to an increase in clinical trial and contract research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$5.6 million increase in general and administrative expenses for the six months ended June 30, 2022, as compared to the six months ended June 30, 2021, was primarily due to higher legal, commercial planning, and stock-based compensation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Fair Value Remeasurement of Contingent Consideration</w:t>
      </w:r>
    </w:p>
    <w:p>
      <w:pPr>
        <w:spacing w:after="0" w:line="225"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The $6.9 million gain on fair value remeasurement of contingent consideration for the six months ended June 30, 2022 was primarily due to our decision to deprioritize the CDX-1140 program. The $0.7 million loss on fair value remeasurement of contingent consideration for the six months ended June 30, 2021 was primarily due to changes in discount rates and the passage of time.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Settlement Related Loss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recorded a loss of $15.0 million in the second quarter of 2022 related to the Initial Payment due under the Term Sheet entered with SRS.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Other Income, Net</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 $0.4 million increase in investment and other income, net for the six months ended June 30, 2022, as compared to the six months ended June 30, 2021, was primarily due to higher levels of cash and investment balances and higher interest rates on fixed income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pacing w:after="0" w:line="16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At June 30, 2022, our principal sources of liquidity consisted of cash, cash equivalents and marketable securities of $356.8 million. We have had recurring losses and incurred a loss of $59.1 million for the six months ended June 30, 2022. Net cash used in operations for the six months ended June 30, 2022 was $46.8 million. We believe that the cash, cash equivalents and marketable securities at June 30, 2022 are sufficient to meet estimated working capital requirements and fund planned operations through 2025. This could be impacted if we elect to pay the future milestones under the Settlement Agreement with SRS, if any, in cash.</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milestones under the Settlement Agreement with SRS, in the event that we achieve the milestones related to those payments. We may decide to pay those milestone payments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$46.8 million for the six months ended June 30, 2022 as compared to $30.0 million for the six months ended June 30, 2021. The increase in net cash used in operating activities was primarily due to an increase in research and development and general and administrative expenses. We expect that cash used in operating activities will increase over the next twelve months as a result of the expanded development of barzolvolimab.</w:t>
      </w:r>
    </w:p>
    <w:p>
      <w:pPr>
        <w:spacing w:after="0" w:line="18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Net cash provided by investing activities was $35.7 million for the six months ended June 30, 2022 as compared to $29.6 million for the six months ended June 30, 2021. The increase in net cash provided by investing activities was primarily due to net sales and maturities of marketable securities of $36.9 million for the six months ended June 30, 2022 as compared to $30.3 million for the six months ended June 30,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Net cash provided by financing activities was $0.4 million for the six months ended June 30, 2022 as compared to $0.0 million for the six months ended June 30, 2021. The increase in net cash provided by financing activities was primarily due to an increase in proceeds from issuance of stock from employee benefit plans.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1"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We do not utilize derivative financial instruments. The carrying amounts reflected in the consolidated balance sheet of cash and cash equivalents, accounts receivables and accounts payable approximate fair value at June 30, 2022 due to the short-term maturities of these instruments.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As of June 30, 2022,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June 30, 2022.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June 30, 2022 that have materially affected, or are reasonably likely to materially affect, our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Shareholder Representative Services LLC (“SRS”) is the hired representative of the former stockholders of Kolltan Pharmaceuticals, Inc. (“Kolltan”) in connection with the Agreement and Plan of Merger, dated November 1, 2016, by and among Kolltan, Connemara Merger Sub 1, Inc., Connemara Merger Sub 2 LLC, and SRS (“Merger Agreement”). On August 18, 2020, we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(the “Litigation”). Specifically, we sought the entry of an order declaring that:</w:t>
      </w:r>
    </w:p>
    <w:p>
      <w:pPr>
        <w:spacing w:after="0" w:line="195" w:lineRule="exact"/>
        <w:rPr>
          <w:sz w:val="20"/>
          <w:szCs w:val="20"/>
          <w:color w:val="auto"/>
        </w:rPr>
      </w:pPr>
    </w:p>
    <w:p>
      <w:pPr>
        <w:ind w:left="1000" w:right="340" w:hanging="317"/>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determination to discontinue the development of CDX-0158 (formerly known as KTN0158) was proper and valid under the Merger Agreement;</w:t>
      </w:r>
    </w:p>
    <w:p>
      <w:pPr>
        <w:spacing w:after="0" w:line="170" w:lineRule="exact"/>
        <w:rPr>
          <w:rFonts w:ascii="Arial" w:cs="Arial" w:eastAsia="Arial" w:hAnsi="Arial"/>
          <w:sz w:val="18"/>
          <w:szCs w:val="18"/>
          <w:color w:val="auto"/>
        </w:rPr>
      </w:pPr>
    </w:p>
    <w:p>
      <w:pPr>
        <w:ind w:left="1000" w:right="40" w:hanging="317"/>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Milestone Abandonment Notice dated December 5, 2018 from us was valid and effective under the Merger Agreement and that the “Successful Completion of Phase I Clinical Trial for KTN0158” Milestone has not been achieved and has properly been abandoned; and</w:t>
      </w:r>
    </w:p>
    <w:p>
      <w:pPr>
        <w:spacing w:after="0" w:line="183" w:lineRule="exact"/>
        <w:rPr>
          <w:rFonts w:ascii="Arial" w:cs="Arial" w:eastAsia="Arial" w:hAnsi="Arial"/>
          <w:sz w:val="18"/>
          <w:szCs w:val="18"/>
          <w:color w:val="auto"/>
        </w:rPr>
      </w:pPr>
    </w:p>
    <w:p>
      <w:pPr>
        <w:ind w:left="1000" w:right="280" w:hanging="317"/>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under the Merger Agreement, the barzolvolimab program is not a program that results in milestone payments under the Merger Agreement.</w:t>
      </w:r>
    </w:p>
    <w:p>
      <w:pPr>
        <w:sectPr>
          <w:pgSz w:w="11900" w:h="16838" w:orient="portrait"/>
          <w:cols w:equalWidth="0" w:num="1">
            <w:col w:w="9860"/>
          </w:cols>
          <w:pgMar w:left="980" w:top="665" w:right="1059" w:bottom="1440" w:gutter="0" w:footer="0" w:header="0"/>
        </w:sectPr>
      </w:pP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SRS’ responsive Answer and Verified Counterclaim, SRS made claims of breach of contract with respect to the Merger Agreement, breach of implied covenant of good faith and fair dealing, declaratory relief, and unjust enrichment regarding abandonment of the CDX-0158 milestones, based in part on SRS’ assertion that the barzolvolimab program is in essence an extension of the CDX-0158 (formerly KTN0158) program.</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June 20, 2022, we entered into a binding settlement term sheet (the "Term Sheet") with SRS, related to the Litigation with SRS, which, upon execution of a definitive settlement agreement and the payment of the Initial Payment (as defined below), would result in the joint dismissal, with prejudice, of all claims and counterclaims in the Litigation. We executed the definitive settlement agreement with SRS on July 15, 2022 (the "Settlement Agreement") and we and SRS jointly filed a Stipulation of Dismissal with prejudice relating to the Litigation on July 19, 2022.</w:t>
      </w:r>
    </w:p>
    <w:p>
      <w:pPr>
        <w:spacing w:after="0" w:line="188"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Pursuant to the terms of the Term Sheet and the Settlement Agreement, all milestone payments provided for by the Merger Agreement are replaced in their entirety with the following payments, each of which is payable only once:</w:t>
      </w:r>
    </w:p>
    <w:p>
      <w:pPr>
        <w:spacing w:after="0" w:line="146"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paid $15,000,000 upon execution of the Settlement Agreement (the “Initial Payment”).</w:t>
      </w:r>
    </w:p>
    <w:p>
      <w:pPr>
        <w:spacing w:after="0" w:line="225" w:lineRule="exact"/>
        <w:rPr>
          <w:rFonts w:ascii="Arial" w:cs="Arial" w:eastAsia="Arial" w:hAnsi="Arial"/>
          <w:sz w:val="18"/>
          <w:szCs w:val="18"/>
          <w:color w:val="auto"/>
        </w:rPr>
      </w:pPr>
    </w:p>
    <w:p>
      <w:pPr>
        <w:ind w:left="1000" w:right="260" w:hanging="317"/>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shall pay $15,000,000 upon the Successful Completion (as defined in the Term Sheet) of a Phase 2 Clinical Trial (as defined in the Merger Agreement) of CDX-0159, subject to the $2,500,000 contractual credit as set forth in the Merger Agreement.</w:t>
      </w:r>
    </w:p>
    <w:p>
      <w:pPr>
        <w:spacing w:after="0" w:line="183" w:lineRule="exact"/>
        <w:rPr>
          <w:rFonts w:ascii="Arial" w:cs="Arial" w:eastAsia="Arial" w:hAnsi="Arial"/>
          <w:sz w:val="18"/>
          <w:szCs w:val="18"/>
          <w:color w:val="auto"/>
        </w:rPr>
      </w:pPr>
    </w:p>
    <w:p>
      <w:pPr>
        <w:ind w:left="1000" w:hanging="317"/>
        <w:spacing w:after="0" w:line="342"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shall pay $52,500,000 upon the first United States Food and Drug Administration or European Medicines Agency, or, in each case, any successor organization, regulatory approval of a Surviving Company Product (as defined the Term Sheet).</w:t>
      </w:r>
    </w:p>
    <w:p>
      <w:pPr>
        <w:spacing w:after="0" w:line="12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The above payment obligations replace, in their entirety, the contingent consideration in the form of development, regulatory approval and sales-based milestones of up to $172.5 million contained in the Merger Agreement.</w:t>
      </w:r>
    </w:p>
    <w:p>
      <w:pPr>
        <w:spacing w:after="0" w:line="14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Under the Settlement Agreement, we and SRS provided broad mutual releases of all claims relating to or arising out of the Merger Agreement, including without limitation, all claims brought in the Litigation or that could have been brought in the Litigation.</w:t>
      </w:r>
    </w:p>
    <w:p>
      <w:pPr>
        <w:spacing w:after="0" w:line="124"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We elected to pay the Initial Payment in cash. When and if any of the remaining payments described above become due, they shall be payable, at our sole election, in either cash or stock (as set forth in the Merger Agreement) or a combination thereof.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2021,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spacing w:after="0" w:line="18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were no material changes to the risk factors previously disclosed in our Annual Report on Form 10-K filed with the Securities and Exchange Commission on February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exhibits filed as part of this quarterly report on Form 10-Q are listed in the exhibit index included herewith and are incorporated by reference herein.</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60" w:type="dxa"/>
            <w:vAlign w:val="bottom"/>
            <w:gridSpan w:val="9"/>
          </w:tcPr>
          <w:p>
            <w:pPr>
              <w:ind w:left="16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3"/>
        </w:trPr>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60" w:type="dxa"/>
            <w:vAlign w:val="bottom"/>
            <w:gridSpan w:val="8"/>
          </w:tcPr>
          <w:p>
            <w:pPr>
              <w:ind w:left="320"/>
              <w:spacing w:after="0"/>
              <w:rPr>
                <w:sz w:val="20"/>
                <w:szCs w:val="20"/>
                <w:color w:val="auto"/>
              </w:rPr>
            </w:pPr>
            <w:r>
              <w:rPr>
                <w:rFonts w:ascii="Arial" w:cs="Arial" w:eastAsia="Arial" w:hAnsi="Arial"/>
                <w:sz w:val="16"/>
                <w:szCs w:val="16"/>
                <w:b w:val="1"/>
                <w:bCs w:val="1"/>
                <w:color w:val="auto"/>
              </w:rPr>
              <w:t>Description</w:t>
            </w:r>
          </w:p>
        </w:tc>
      </w:tr>
      <w:tr>
        <w:trPr>
          <w:trHeight w:val="158"/>
        </w:trPr>
        <w:tc>
          <w:tcPr>
            <w:tcW w:w="20" w:type="dxa"/>
            <w:vAlign w:val="bottom"/>
          </w:tcPr>
          <w:p>
            <w:pPr>
              <w:spacing w:after="0"/>
              <w:rPr>
                <w:sz w:val="13"/>
                <w:szCs w:val="13"/>
                <w:color w:val="auto"/>
              </w:rPr>
            </w:pPr>
          </w:p>
        </w:tc>
        <w:tc>
          <w:tcPr>
            <w:tcW w:w="1140" w:type="dxa"/>
            <w:vAlign w:val="bottom"/>
            <w:tcBorders>
              <w:top w:val="single" w:sz="8" w:color="auto"/>
            </w:tcBorders>
          </w:tcPr>
          <w:p>
            <w:pPr>
              <w:spacing w:after="0" w:line="158" w:lineRule="exact"/>
              <w:rPr>
                <w:sz w:val="20"/>
                <w:szCs w:val="20"/>
                <w:color w:val="auto"/>
              </w:rPr>
            </w:pPr>
            <w:r>
              <w:rPr>
                <w:rFonts w:ascii="Arial" w:cs="Arial" w:eastAsia="Arial" w:hAnsi="Arial"/>
                <w:sz w:val="16"/>
                <w:szCs w:val="16"/>
                <w:color w:val="auto"/>
              </w:rPr>
              <w:t>10.1</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auto"/>
            </w:tcBorders>
            <w:gridSpan w:val="11"/>
          </w:tcPr>
          <w:p>
            <w:pPr>
              <w:spacing w:after="0" w:line="158" w:lineRule="exact"/>
              <w:rPr>
                <w:rFonts w:ascii="Arial" w:cs="Arial" w:eastAsia="Arial" w:hAnsi="Arial"/>
                <w:sz w:val="16"/>
                <w:szCs w:val="16"/>
                <w:color w:val="0000EE"/>
                <w:w w:val="94"/>
              </w:rPr>
            </w:pPr>
            <w:hyperlink r:id="rId44">
              <w:r>
                <w:rPr>
                  <w:rFonts w:ascii="Arial" w:cs="Arial" w:eastAsia="Arial" w:hAnsi="Arial"/>
                  <w:sz w:val="16"/>
                  <w:szCs w:val="16"/>
                  <w:color w:val="0000EE"/>
                  <w:w w:val="94"/>
                </w:rPr>
                <w:t>Binding Settlement Term Sheet, dated June 20, 2022 by and between Shareholder Representatives Services LLC, solely in its</w:t>
              </w:r>
            </w:hyperlink>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40" w:type="dxa"/>
            <w:vAlign w:val="bottom"/>
            <w:tcBorders>
              <w:top w:val="single" w:sz="8" w:color="0000EE"/>
              <w:bottom w:val="single" w:sz="8" w:color="0000EE"/>
            </w:tcBorders>
            <w:gridSpan w:val="8"/>
          </w:tcPr>
          <w:p>
            <w:pPr>
              <w:spacing w:after="0" w:line="183" w:lineRule="exact"/>
              <w:rPr>
                <w:rFonts w:ascii="Arial" w:cs="Arial" w:eastAsia="Arial" w:hAnsi="Arial"/>
                <w:sz w:val="16"/>
                <w:szCs w:val="16"/>
                <w:color w:val="0000EE"/>
                <w:w w:val="91"/>
              </w:rPr>
            </w:pPr>
            <w:hyperlink r:id="rId44">
              <w:r>
                <w:rPr>
                  <w:rFonts w:ascii="Arial" w:cs="Arial" w:eastAsia="Arial" w:hAnsi="Arial"/>
                  <w:sz w:val="16"/>
                  <w:szCs w:val="16"/>
                  <w:color w:val="0000EE"/>
                  <w:w w:val="91"/>
                </w:rPr>
                <w:t>capacity as Stockholders Representative, and Celldex Therapeutics, Inc., incorporated by reference to Exhibit 10.1 to the</w:t>
              </w:r>
            </w:hyperlink>
          </w:p>
        </w:tc>
        <w:tc>
          <w:tcPr>
            <w:tcW w:w="280" w:type="dxa"/>
            <w:vAlign w:val="bottom"/>
            <w:tcBorders>
              <w:top w:val="single" w:sz="8" w:color="0000EE"/>
            </w:tcBorders>
            <w:gridSpan w:val="2"/>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12"/>
          </w:tcPr>
          <w:p>
            <w:pPr>
              <w:spacing w:after="0" w:line="183" w:lineRule="exact"/>
              <w:rPr>
                <w:rFonts w:ascii="Arial" w:cs="Arial" w:eastAsia="Arial" w:hAnsi="Arial"/>
                <w:sz w:val="16"/>
                <w:szCs w:val="16"/>
                <w:color w:val="0000EE"/>
              </w:rPr>
            </w:pPr>
            <w:hyperlink r:id="rId44">
              <w:r>
                <w:rPr>
                  <w:rFonts w:ascii="Arial" w:cs="Arial" w:eastAsia="Arial" w:hAnsi="Arial"/>
                  <w:sz w:val="16"/>
                  <w:szCs w:val="16"/>
                  <w:color w:val="0000EE"/>
                </w:rPr>
                <w:t>Company’s current report on Form 8-K, filed on June 23, 2022 with the Securities and Exchange Commission</w:t>
              </w:r>
            </w:hyperlink>
          </w:p>
        </w:tc>
      </w:tr>
      <w:tr>
        <w:trPr>
          <w:trHeight w:val="20"/>
        </w:trPr>
        <w:tc>
          <w:tcPr>
            <w:tcW w:w="1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10.2</w:t>
            </w:r>
          </w:p>
        </w:tc>
        <w:tc>
          <w:tcPr>
            <w:tcW w:w="160" w:type="dxa"/>
            <w:vAlign w:val="bottom"/>
          </w:tcPr>
          <w:p>
            <w:pPr>
              <w:spacing w:after="0"/>
              <w:rPr>
                <w:sz w:val="15"/>
                <w:szCs w:val="15"/>
                <w:color w:val="auto"/>
              </w:rPr>
            </w:pPr>
          </w:p>
        </w:tc>
        <w:tc>
          <w:tcPr>
            <w:tcW w:w="7940" w:type="dxa"/>
            <w:vAlign w:val="bottom"/>
            <w:tcBorders>
              <w:bottom w:val="single" w:sz="8" w:color="0000EE"/>
            </w:tcBorders>
            <w:gridSpan w:val="9"/>
          </w:tcPr>
          <w:p>
            <w:pPr>
              <w:spacing w:after="0" w:line="183" w:lineRule="exact"/>
              <w:rPr>
                <w:rFonts w:ascii="Arial" w:cs="Arial" w:eastAsia="Arial" w:hAnsi="Arial"/>
                <w:sz w:val="16"/>
                <w:szCs w:val="16"/>
                <w:color w:val="0000EE"/>
                <w:w w:val="90"/>
              </w:rPr>
            </w:pPr>
            <w:hyperlink r:id="rId45">
              <w:r>
                <w:rPr>
                  <w:rFonts w:ascii="Arial" w:cs="Arial" w:eastAsia="Arial" w:hAnsi="Arial"/>
                  <w:sz w:val="16"/>
                  <w:szCs w:val="16"/>
                  <w:color w:val="0000EE"/>
                  <w:w w:val="90"/>
                </w:rPr>
                <w:t>Confidential Settlement Agreement and Mutual Release, dated July 15, 2022 by and between Shareholder Representatives</w:t>
              </w:r>
            </w:hyperlink>
          </w:p>
        </w:tc>
        <w:tc>
          <w:tcPr>
            <w:tcW w:w="540" w:type="dxa"/>
            <w:vAlign w:val="bottom"/>
            <w:gridSpan w:val="3"/>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360" w:type="dxa"/>
            <w:vAlign w:val="bottom"/>
            <w:tcBorders>
              <w:bottom w:val="single" w:sz="8" w:color="0000EE"/>
            </w:tcBorders>
            <w:gridSpan w:val="11"/>
          </w:tcPr>
          <w:p>
            <w:pPr>
              <w:spacing w:after="0" w:line="183" w:lineRule="exact"/>
              <w:rPr>
                <w:rFonts w:ascii="Arial" w:cs="Arial" w:eastAsia="Arial" w:hAnsi="Arial"/>
                <w:sz w:val="16"/>
                <w:szCs w:val="16"/>
                <w:color w:val="0000EE"/>
                <w:w w:val="91"/>
              </w:rPr>
            </w:pPr>
            <w:hyperlink r:id="rId45">
              <w:r>
                <w:rPr>
                  <w:rFonts w:ascii="Arial" w:cs="Arial" w:eastAsia="Arial" w:hAnsi="Arial"/>
                  <w:sz w:val="16"/>
                  <w:szCs w:val="16"/>
                  <w:color w:val="0000EE"/>
                  <w:w w:val="91"/>
                </w:rPr>
                <w:t>Services LLC, solely in its capacity as Stockholders Representative, and Celldex Therapeutics, Inc., incorporated by reference to</w:t>
              </w:r>
            </w:hyperlink>
          </w:p>
        </w:tc>
        <w:tc>
          <w:tcPr>
            <w:tcW w:w="1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80" w:type="dxa"/>
            <w:vAlign w:val="bottom"/>
            <w:gridSpan w:val="12"/>
          </w:tcPr>
          <w:p>
            <w:pPr>
              <w:spacing w:after="0" w:line="183" w:lineRule="exact"/>
              <w:rPr>
                <w:rFonts w:ascii="Arial" w:cs="Arial" w:eastAsia="Arial" w:hAnsi="Arial"/>
                <w:sz w:val="16"/>
                <w:szCs w:val="16"/>
                <w:color w:val="0000EE"/>
                <w:w w:val="94"/>
              </w:rPr>
            </w:pPr>
            <w:hyperlink r:id="rId45">
              <w:r>
                <w:rPr>
                  <w:rFonts w:ascii="Arial" w:cs="Arial" w:eastAsia="Arial" w:hAnsi="Arial"/>
                  <w:sz w:val="16"/>
                  <w:szCs w:val="16"/>
                  <w:color w:val="0000EE"/>
                  <w:w w:val="94"/>
                </w:rPr>
                <w:t>Exhibit 10.1 to the Company’s current report on Form 8-K, filed on July 18, 2022 with the Securities and Exchange Commission</w:t>
              </w:r>
            </w:hyperlink>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*10.3</w:t>
            </w:r>
          </w:p>
        </w:tc>
        <w:tc>
          <w:tcPr>
            <w:tcW w:w="160" w:type="dxa"/>
            <w:vAlign w:val="bottom"/>
          </w:tcPr>
          <w:p>
            <w:pPr>
              <w:spacing w:after="0"/>
              <w:rPr>
                <w:sz w:val="15"/>
                <w:szCs w:val="15"/>
                <w:color w:val="auto"/>
              </w:rPr>
            </w:pPr>
          </w:p>
        </w:tc>
        <w:tc>
          <w:tcPr>
            <w:tcW w:w="8360" w:type="dxa"/>
            <w:vAlign w:val="bottom"/>
            <w:tcBorders>
              <w:top w:val="single" w:sz="8" w:color="0000EE"/>
            </w:tcBorders>
            <w:gridSpan w:val="11"/>
          </w:tcPr>
          <w:p>
            <w:pPr>
              <w:spacing w:after="0" w:line="183" w:lineRule="exact"/>
              <w:rPr>
                <w:rFonts w:ascii="Arial" w:cs="Arial" w:eastAsia="Arial" w:hAnsi="Arial"/>
                <w:sz w:val="16"/>
                <w:szCs w:val="16"/>
                <w:color w:val="0000EE"/>
                <w:w w:val="98"/>
              </w:rPr>
            </w:pPr>
            <w:hyperlink w:anchor="page33">
              <w:r>
                <w:rPr>
                  <w:rFonts w:ascii="Arial" w:cs="Arial" w:eastAsia="Arial" w:hAnsi="Arial"/>
                  <w:sz w:val="16"/>
                  <w:szCs w:val="16"/>
                  <w:color w:val="0000EE"/>
                  <w:w w:val="98"/>
                </w:rPr>
                <w:t>Third Amendment to Lease Agreement between the Company and Perryville SPE LLC (successor-in-interest) to Crown</w:t>
              </w:r>
            </w:hyperlink>
          </w:p>
        </w:tc>
        <w:tc>
          <w:tcPr>
            <w:tcW w:w="12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2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3"/>
              </w:rPr>
            </w:pPr>
            <w:hyperlink w:anchor="page33">
              <w:r>
                <w:rPr>
                  <w:rFonts w:ascii="Arial" w:cs="Arial" w:eastAsia="Arial" w:hAnsi="Arial"/>
                  <w:sz w:val="16"/>
                  <w:szCs w:val="16"/>
                  <w:color w:val="0000EE"/>
                  <w:w w:val="93"/>
                </w:rPr>
                <w:t>Perryville, LLC dated as of May 23, 2022</w:t>
              </w:r>
            </w:hyperlink>
          </w:p>
        </w:tc>
        <w:tc>
          <w:tcPr>
            <w:tcW w:w="5060" w:type="dxa"/>
            <w:vAlign w:val="bottom"/>
            <w:tcBorders>
              <w:top w:val="single" w:sz="8" w:color="0000EE"/>
            </w:tcBorders>
            <w:gridSpan w:val="4"/>
          </w:tcPr>
          <w:p>
            <w:pPr>
              <w:spacing w:after="0"/>
              <w:rPr>
                <w:sz w:val="15"/>
                <w:szCs w:val="15"/>
                <w:color w:val="auto"/>
              </w:rPr>
            </w:pPr>
          </w:p>
        </w:tc>
        <w:tc>
          <w:tcPr>
            <w:tcW w:w="700" w:type="dxa"/>
            <w:vAlign w:val="bottom"/>
            <w:gridSpan w:val="5"/>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*31.1</w:t>
            </w:r>
          </w:p>
        </w:tc>
        <w:tc>
          <w:tcPr>
            <w:tcW w:w="160" w:type="dxa"/>
            <w:vAlign w:val="bottom"/>
          </w:tcPr>
          <w:p>
            <w:pPr>
              <w:spacing w:after="0"/>
              <w:rPr>
                <w:sz w:val="15"/>
                <w:szCs w:val="15"/>
                <w:color w:val="auto"/>
              </w:rPr>
            </w:pPr>
          </w:p>
        </w:tc>
        <w:tc>
          <w:tcPr>
            <w:tcW w:w="3520" w:type="dxa"/>
            <w:vAlign w:val="bottom"/>
            <w:tcBorders>
              <w:bottom w:val="single" w:sz="8" w:color="0000EE"/>
            </w:tcBorders>
            <w:gridSpan w:val="4"/>
          </w:tcPr>
          <w:p>
            <w:pPr>
              <w:spacing w:after="0" w:line="183" w:lineRule="exact"/>
              <w:rPr>
                <w:rFonts w:ascii="Arial" w:cs="Arial" w:eastAsia="Arial" w:hAnsi="Arial"/>
                <w:sz w:val="16"/>
                <w:szCs w:val="16"/>
                <w:color w:val="0000EE"/>
                <w:w w:val="93"/>
              </w:rPr>
            </w:pPr>
            <w:hyperlink w:anchor="page36">
              <w:r>
                <w:rPr>
                  <w:rFonts w:ascii="Arial" w:cs="Arial" w:eastAsia="Arial" w:hAnsi="Arial"/>
                  <w:sz w:val="16"/>
                  <w:szCs w:val="16"/>
                  <w:color w:val="0000EE"/>
                  <w:w w:val="93"/>
                </w:rPr>
                <w:t>Certification of President and Chief Executive Officer</w:t>
              </w:r>
            </w:hyperlink>
          </w:p>
        </w:tc>
        <w:tc>
          <w:tcPr>
            <w:tcW w:w="4960" w:type="dxa"/>
            <w:vAlign w:val="bottom"/>
            <w:gridSpan w:val="8"/>
          </w:tcPr>
          <w:p>
            <w:pPr>
              <w:spacing w:after="0"/>
              <w:rPr>
                <w:sz w:val="15"/>
                <w:szCs w:val="15"/>
                <w:color w:val="auto"/>
              </w:rPr>
            </w:pPr>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*31.2</w:t>
            </w:r>
          </w:p>
        </w:tc>
        <w:tc>
          <w:tcPr>
            <w:tcW w:w="160" w:type="dxa"/>
            <w:vAlign w:val="bottom"/>
          </w:tcPr>
          <w:p>
            <w:pPr>
              <w:spacing w:after="0"/>
              <w:rPr>
                <w:sz w:val="15"/>
                <w:szCs w:val="15"/>
                <w:color w:val="auto"/>
              </w:rPr>
            </w:pPr>
          </w:p>
        </w:tc>
        <w:tc>
          <w:tcPr>
            <w:tcW w:w="8480" w:type="dxa"/>
            <w:vAlign w:val="bottom"/>
            <w:gridSpan w:val="12"/>
          </w:tcPr>
          <w:p>
            <w:pPr>
              <w:spacing w:after="0" w:line="183" w:lineRule="exact"/>
              <w:rPr>
                <w:rFonts w:ascii="Arial" w:cs="Arial" w:eastAsia="Arial" w:hAnsi="Arial"/>
                <w:sz w:val="16"/>
                <w:szCs w:val="16"/>
                <w:color w:val="0000EE"/>
              </w:rPr>
            </w:pPr>
            <w:hyperlink w:anchor="page37">
              <w:r>
                <w:rPr>
                  <w:rFonts w:ascii="Arial" w:cs="Arial" w:eastAsia="Arial" w:hAnsi="Arial"/>
                  <w:sz w:val="16"/>
                  <w:szCs w:val="16"/>
                  <w:color w:val="0000EE"/>
                </w:rPr>
                <w:t>Certification of Senior Vice President and Chief Financial Officer</w:t>
              </w:r>
            </w:hyperlink>
          </w:p>
        </w:tc>
      </w:tr>
      <w:tr>
        <w:trPr>
          <w:trHeight w:val="183"/>
        </w:trPr>
        <w:tc>
          <w:tcPr>
            <w:tcW w:w="1160" w:type="dxa"/>
            <w:vAlign w:val="bottom"/>
            <w:gridSpan w:val="2"/>
          </w:tcPr>
          <w:p>
            <w:pPr>
              <w:spacing w:after="0" w:line="183" w:lineRule="exact"/>
              <w:rPr>
                <w:sz w:val="20"/>
                <w:szCs w:val="20"/>
                <w:color w:val="auto"/>
              </w:rPr>
            </w:pPr>
            <w:r>
              <w:rPr>
                <w:rFonts w:ascii="Arial" w:cs="Arial" w:eastAsia="Arial" w:hAnsi="Arial"/>
                <w:sz w:val="16"/>
                <w:szCs w:val="16"/>
                <w:color w:val="auto"/>
              </w:rPr>
              <w:t>**32.1</w:t>
            </w:r>
          </w:p>
        </w:tc>
        <w:tc>
          <w:tcPr>
            <w:tcW w:w="16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2"/>
          </w:tcPr>
          <w:p>
            <w:pPr>
              <w:spacing w:after="0" w:line="183" w:lineRule="exact"/>
              <w:rPr>
                <w:rFonts w:ascii="Arial" w:cs="Arial" w:eastAsia="Arial" w:hAnsi="Arial"/>
                <w:sz w:val="16"/>
                <w:szCs w:val="16"/>
                <w:color w:val="0000EE"/>
                <w:w w:val="92"/>
              </w:rPr>
            </w:pPr>
            <w:hyperlink w:anchor="page38">
              <w:r>
                <w:rPr>
                  <w:rFonts w:ascii="Arial" w:cs="Arial" w:eastAsia="Arial" w:hAnsi="Arial"/>
                  <w:sz w:val="16"/>
                  <w:szCs w:val="16"/>
                  <w:color w:val="0000EE"/>
                  <w:w w:val="92"/>
                </w:rPr>
                <w:t>Section 1350 Certifications</w:t>
              </w:r>
            </w:hyperlink>
          </w:p>
        </w:tc>
        <w:tc>
          <w:tcPr>
            <w:tcW w:w="2480" w:type="dxa"/>
            <w:vAlign w:val="bottom"/>
            <w:tcBorders>
              <w:top w:val="single" w:sz="8" w:color="0000EE"/>
            </w:tcBorders>
            <w:gridSpan w:val="3"/>
          </w:tcPr>
          <w:p>
            <w:pPr>
              <w:spacing w:after="0"/>
              <w:rPr>
                <w:sz w:val="15"/>
                <w:szCs w:val="15"/>
                <w:color w:val="auto"/>
              </w:rPr>
            </w:pPr>
          </w:p>
        </w:tc>
        <w:tc>
          <w:tcPr>
            <w:tcW w:w="4220" w:type="dxa"/>
            <w:vAlign w:val="bottom"/>
            <w:gridSpan w:val="7"/>
          </w:tcPr>
          <w:p>
            <w:pPr>
              <w:spacing w:after="0"/>
              <w:rPr>
                <w:sz w:val="15"/>
                <w:szCs w:val="15"/>
                <w:color w:val="auto"/>
              </w:rPr>
            </w:pPr>
          </w:p>
        </w:tc>
      </w:tr>
      <w:tr>
        <w:trPr>
          <w:trHeight w:val="227"/>
        </w:trPr>
        <w:tc>
          <w:tcPr>
            <w:tcW w:w="1160" w:type="dxa"/>
            <w:vAlign w:val="bottom"/>
            <w:gridSpan w:val="2"/>
          </w:tcPr>
          <w:p>
            <w:pPr>
              <w:spacing w:after="0"/>
              <w:rPr>
                <w:sz w:val="20"/>
                <w:szCs w:val="20"/>
                <w:color w:val="auto"/>
              </w:rPr>
            </w:pPr>
            <w:r>
              <w:rPr>
                <w:rFonts w:ascii="Arial" w:cs="Arial" w:eastAsia="Arial" w:hAnsi="Arial"/>
                <w:sz w:val="16"/>
                <w:szCs w:val="16"/>
                <w:color w:val="auto"/>
              </w:rPr>
              <w:t>*101.INS</w:t>
            </w:r>
          </w:p>
        </w:tc>
        <w:tc>
          <w:tcPr>
            <w:tcW w:w="160" w:type="dxa"/>
            <w:vAlign w:val="bottom"/>
          </w:tcPr>
          <w:p>
            <w:pPr>
              <w:spacing w:after="0"/>
              <w:rPr>
                <w:sz w:val="19"/>
                <w:szCs w:val="19"/>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its XBRL tags are</w:t>
            </w:r>
          </w:p>
        </w:tc>
      </w:tr>
      <w:tr>
        <w:trPr>
          <w:trHeight w:val="203"/>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embedded within the Inline XBRL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*101.SCH</w:t>
            </w: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*101.CAL</w:t>
            </w: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02"/>
        </w:trPr>
        <w:tc>
          <w:tcPr>
            <w:tcW w:w="1160" w:type="dxa"/>
            <w:vAlign w:val="bottom"/>
            <w:gridSpan w:val="2"/>
          </w:tcPr>
          <w:p>
            <w:pPr>
              <w:spacing w:after="0"/>
              <w:rPr>
                <w:sz w:val="20"/>
                <w:szCs w:val="20"/>
                <w:color w:val="auto"/>
              </w:rPr>
            </w:pPr>
            <w:r>
              <w:rPr>
                <w:rFonts w:ascii="Arial" w:cs="Arial" w:eastAsia="Arial" w:hAnsi="Arial"/>
                <w:sz w:val="16"/>
                <w:szCs w:val="16"/>
                <w:color w:val="auto"/>
              </w:rPr>
              <w:t>*101.DEF</w:t>
            </w: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03"/>
        </w:trPr>
        <w:tc>
          <w:tcPr>
            <w:tcW w:w="1160" w:type="dxa"/>
            <w:vAlign w:val="bottom"/>
            <w:gridSpan w:val="2"/>
          </w:tcPr>
          <w:p>
            <w:pPr>
              <w:spacing w:after="0"/>
              <w:rPr>
                <w:sz w:val="20"/>
                <w:szCs w:val="20"/>
                <w:color w:val="auto"/>
              </w:rPr>
            </w:pPr>
            <w:r>
              <w:rPr>
                <w:rFonts w:ascii="Arial" w:cs="Arial" w:eastAsia="Arial" w:hAnsi="Arial"/>
                <w:sz w:val="16"/>
                <w:szCs w:val="16"/>
                <w:color w:val="auto"/>
              </w:rPr>
              <w:t>*101.LAB</w:t>
            </w: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06"/>
        </w:trPr>
        <w:tc>
          <w:tcPr>
            <w:tcW w:w="1160" w:type="dxa"/>
            <w:vAlign w:val="bottom"/>
            <w:gridSpan w:val="2"/>
          </w:tcPr>
          <w:p>
            <w:pPr>
              <w:spacing w:after="0"/>
              <w:rPr>
                <w:sz w:val="20"/>
                <w:szCs w:val="20"/>
                <w:color w:val="auto"/>
              </w:rPr>
            </w:pPr>
            <w:r>
              <w:rPr>
                <w:rFonts w:ascii="Arial" w:cs="Arial" w:eastAsia="Arial" w:hAnsi="Arial"/>
                <w:sz w:val="16"/>
                <w:szCs w:val="16"/>
                <w:color w:val="auto"/>
              </w:rPr>
              <w:t>*101.PRE</w:t>
            </w:r>
          </w:p>
        </w:tc>
        <w:tc>
          <w:tcPr>
            <w:tcW w:w="160" w:type="dxa"/>
            <w:vAlign w:val="bottom"/>
          </w:tcPr>
          <w:p>
            <w:pPr>
              <w:spacing w:after="0"/>
              <w:rPr>
                <w:sz w:val="17"/>
                <w:szCs w:val="17"/>
                <w:color w:val="auto"/>
              </w:rPr>
            </w:pPr>
          </w:p>
        </w:tc>
        <w:tc>
          <w:tcPr>
            <w:tcW w:w="848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ind w:left="1380" w:hanging="131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Exhibits 101).</w:t>
      </w:r>
    </w:p>
    <w:p>
      <w:pPr>
        <w:spacing w:after="0" w:line="22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6"/>
          <w:szCs w:val="16"/>
          <w:color w:val="auto"/>
        </w:rPr>
      </w:pPr>
    </w:p>
    <w:p>
      <w:pPr>
        <w:ind w:left="780" w:hanging="448"/>
        <w:spacing w:after="0"/>
        <w:tabs>
          <w:tab w:leader="none" w:pos="7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6"/>
          <w:szCs w:val="16"/>
          <w:color w:val="auto"/>
        </w:rPr>
        <w:t>Anthony S. Marucci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30943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Dated: August 8, 2022</w:t>
      </w:r>
      <w:r>
        <w:rPr>
          <w:sz w:val="20"/>
          <w:szCs w:val="20"/>
          <w:color w:val="auto"/>
        </w:rPr>
        <w:tab/>
      </w:r>
      <w:r>
        <w:rPr>
          <w:rFonts w:ascii="Arial" w:cs="Arial" w:eastAsia="Arial" w:hAnsi="Arial"/>
          <w:sz w:val="16"/>
          <w:szCs w:val="16"/>
          <w:color w:val="auto"/>
        </w:rPr>
        <w:t>Sam Martin</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OF LEASE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THIS THIRD AMENDMENT OF LEASE</w:t>
      </w:r>
      <w:r>
        <w:rPr>
          <w:rFonts w:ascii="Arial" w:cs="Arial" w:eastAsia="Arial" w:hAnsi="Arial"/>
          <w:sz w:val="18"/>
          <w:szCs w:val="18"/>
          <w:color w:val="auto"/>
        </w:rPr>
        <w:t>, dated as of May 23, 2022, between</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232323"/>
        </w:rPr>
        <w:t>PERRYVILLE SPE LLC</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w:t>
      </w:r>
      <w:r>
        <w:rPr>
          <w:rFonts w:ascii="Arial" w:cs="Arial" w:eastAsia="Arial" w:hAnsi="Arial"/>
          <w:sz w:val="18"/>
          <w:szCs w:val="18"/>
          <w:b w:val="1"/>
          <w:bCs w:val="1"/>
          <w:color w:val="auto"/>
        </w:rPr>
        <w:t xml:space="preserve"> CELLDEX THERAPEUTICS, INC. </w:t>
      </w:r>
      <w:r>
        <w:rPr>
          <w:rFonts w:ascii="Arial" w:cs="Arial" w:eastAsia="Arial" w:hAnsi="Arial"/>
          <w:sz w:val="18"/>
          <w:szCs w:val="18"/>
          <w:color w:val="auto"/>
        </w:rPr>
        <w:t>(“Tenant”).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Landlord's predecessor-in-interest, Crown Perryville, LLC., and Tenant entered into that certain Lease dated as of</w:t>
      </w:r>
      <w:r>
        <w:rPr>
          <w:rFonts w:ascii="Arial" w:cs="Arial" w:eastAsia="Arial" w:hAnsi="Arial"/>
          <w:sz w:val="16"/>
          <w:szCs w:val="16"/>
          <w:b w:val="1"/>
          <w:bCs w:val="1"/>
          <w:color w:val="auto"/>
        </w:rPr>
        <w:t xml:space="preserve"> </w:t>
      </w:r>
      <w:r>
        <w:rPr>
          <w:rFonts w:ascii="Arial" w:cs="Arial" w:eastAsia="Arial" w:hAnsi="Arial"/>
          <w:sz w:val="16"/>
          <w:szCs w:val="16"/>
          <w:color w:val="auto"/>
        </w:rPr>
        <w:t>May 1, 2013 (the “Original Lease”) in the building known as Perryville Ill at Perryville Corporate Park located at 53 Frontage Road, Hampton, New Jersey 08827 (the “Building) , as amended by a First Amendment of Lease, dated as of June 17, 2015 (the “First Amendment”), and as further amended by a Second Amendment of Lease, dated as of March 8, 2019 (the “Second Amendment”), pursuant to which Tenant is currently leasing premises (the “Premises”) consisting of approximately 3,539 rentable square feet located on a portion of the first (1st) floor and approximately 29,824 rentable square feet located on a portion of the second (2nd) floor (the Original Lease, as amended by the First Amendment and Second Amendment is hereinafter collectively referred to as the “Lease”); and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Landlord and Tenant desire to amend the Lease on the express terms and conditions set forth herein.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premises and agreements herein contained, the parties hereby agree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Incorporation of Recitals.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recitals set forth above are incorporated herein by reference.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All terms used herein not otherwise defined shall have the meanings ascribed to them in the Lease.</w:t>
      </w:r>
    </w:p>
    <w:p>
      <w:pPr>
        <w:spacing w:after="0" w:line="225" w:lineRule="exact"/>
        <w:rPr>
          <w:rFonts w:ascii="Arial" w:cs="Arial" w:eastAsia="Arial" w:hAnsi="Arial"/>
          <w:sz w:val="18"/>
          <w:szCs w:val="18"/>
          <w:color w:val="auto"/>
        </w:rPr>
      </w:pPr>
    </w:p>
    <w:p>
      <w:pPr>
        <w:ind w:left="340" w:right="20" w:hanging="332"/>
        <w:spacing w:after="0" w:line="282"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This Third Amendment of Lease (“Amendment”) shall be binding upon Landlord and Tenant upon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mutual execution and delivery hereof (the “Effective Date”).</w:t>
      </w:r>
    </w:p>
    <w:p>
      <w:pPr>
        <w:spacing w:after="0" w:line="16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Amendments.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Effective Date, the Lease is hereby amended as follows:</w:t>
      </w:r>
    </w:p>
    <w:p>
      <w:pPr>
        <w:spacing w:after="0" w:line="229" w:lineRule="exact"/>
        <w:rPr>
          <w:rFonts w:ascii="Arial" w:cs="Arial" w:eastAsia="Arial" w:hAnsi="Arial"/>
          <w:sz w:val="18"/>
          <w:szCs w:val="18"/>
          <w:color w:val="auto"/>
        </w:rPr>
      </w:pPr>
    </w:p>
    <w:p>
      <w:pPr>
        <w:jc w:val="both"/>
        <w:ind w:left="1620" w:hanging="316"/>
        <w:spacing w:after="0" w:line="279" w:lineRule="auto"/>
        <w:tabs>
          <w:tab w:leader="none" w:pos="16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Landlord agrees that within a reasonable time period after the Effective Date, it shall at such time(s) as is mutually-acceptable to Landlord and Tenant and in a Building standard manner, utilizing Building standard materials and specifications (including without limitation Building standard colors): (i) professionally clean/shampoo the carpets in the Premises; and (ii) paint a specified wall in the Premises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460375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ind w:left="1620" w:right="60"/>
        <w:spacing w:after="0" w:line="263" w:lineRule="auto"/>
        <w:rPr>
          <w:sz w:val="20"/>
          <w:szCs w:val="20"/>
          <w:color w:val="auto"/>
        </w:rPr>
      </w:pPr>
      <w:r>
        <w:rPr>
          <w:rFonts w:ascii="Arial" w:cs="Arial" w:eastAsia="Arial" w:hAnsi="Arial"/>
          <w:sz w:val="18"/>
          <w:szCs w:val="18"/>
          <w:color w:val="auto"/>
        </w:rPr>
        <w:t>Work”). Tenant acknowledges and agrees that it shall be responsible at its sole cost and expense, to the extent necessary, to relocate and replace its equipment, furniture, furnishings and wiring in order for Landlord to perform Landlord’s Work.</w:t>
      </w:r>
    </w:p>
    <w:p>
      <w:pPr>
        <w:spacing w:after="0" w:line="184" w:lineRule="exact"/>
        <w:rPr>
          <w:sz w:val="20"/>
          <w:szCs w:val="20"/>
          <w:color w:val="auto"/>
        </w:rPr>
      </w:pPr>
    </w:p>
    <w:p>
      <w:pPr>
        <w:jc w:val="both"/>
        <w:ind w:left="1620" w:hanging="316"/>
        <w:spacing w:after="0" w:line="289" w:lineRule="auto"/>
        <w:tabs>
          <w:tab w:leader="none" w:pos="16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terms set forth in Section 19.27. of the Original Lease as to a Renewal Option granted therein shall be reinstated for a potential Renewal Term commencing on August 1, 2025 through July 31, 2027, and for a potential second Renewal Term commencing on August 1, 2027 through July 31, 2030, upon all of the terms and conditions set forth in Section 19.27 of the Original Lease; provided, however, that the Renewal Term Rent for each Renewal Term shall be increased to 102.5% of the Base Rent/Renewal Term Rent for the last year of the subject term and the lease rate will increase 2.5% per year on a compounded, cumulative basis for each year of the subject Renewal Term.. Notwithstanding anything herein to the contrary, the terms set forth in said Section 19.27. as to: (i) two (2) additional periods of five (5) years, and (ii) as to a Base Rent of $15.00 with annual escalation of $0.50 per annum, are hereby deleted in connection with each Renewal Term provided for herein.</w:t>
      </w:r>
    </w:p>
    <w:p>
      <w:pPr>
        <w:spacing w:after="0" w:line="166" w:lineRule="exact"/>
        <w:rPr>
          <w:rFonts w:ascii="Arial" w:cs="Arial" w:eastAsia="Arial" w:hAnsi="Arial"/>
          <w:sz w:val="16"/>
          <w:szCs w:val="16"/>
          <w:color w:val="auto"/>
        </w:rPr>
      </w:pPr>
    </w:p>
    <w:p>
      <w:pPr>
        <w:ind w:left="1620" w:hanging="316"/>
        <w:spacing w:after="0" w:line="277" w:lineRule="auto"/>
        <w:tabs>
          <w:tab w:leader="none" w:pos="1620"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Early Termination Option granted to Tenant in Section 11 of the Second Amendment is hereby deemed deleted in its entirety.</w:t>
      </w:r>
    </w:p>
    <w:p>
      <w:pPr>
        <w:spacing w:after="0" w:line="166" w:lineRule="exact"/>
        <w:rPr>
          <w:rFonts w:ascii="Arial" w:cs="Arial" w:eastAsia="Arial" w:hAnsi="Arial"/>
          <w:sz w:val="18"/>
          <w:szCs w:val="18"/>
          <w:color w:val="auto"/>
        </w:rPr>
      </w:pPr>
    </w:p>
    <w:p>
      <w:pPr>
        <w:jc w:val="both"/>
        <w:ind w:firstLine="8"/>
        <w:spacing w:after="0" w:line="274" w:lineRule="auto"/>
        <w:tabs>
          <w:tab w:leader="none" w:pos="648" w:val="left"/>
        </w:tabs>
        <w:numPr>
          <w:ilvl w:val="0"/>
          <w:numId w:val="18"/>
        </w:numPr>
        <w:rPr>
          <w:rFonts w:ascii="Arial" w:cs="Arial" w:eastAsia="Arial" w:hAnsi="Arial"/>
          <w:sz w:val="17"/>
          <w:szCs w:val="17"/>
          <w:color w:val="auto"/>
        </w:rPr>
      </w:pPr>
      <w:r>
        <w:rPr>
          <w:rFonts w:ascii="Arial" w:cs="Arial" w:eastAsia="Arial" w:hAnsi="Arial"/>
          <w:sz w:val="17"/>
          <w:szCs w:val="17"/>
          <w:b w:val="1"/>
          <w:bCs w:val="1"/>
          <w:u w:val="single" w:color="auto"/>
          <w:color w:val="auto"/>
        </w:rPr>
        <w:t>No Broker</w:t>
      </w:r>
      <w:r>
        <w:rPr>
          <w:rFonts w:ascii="Arial" w:cs="Arial" w:eastAsia="Arial" w:hAnsi="Arial"/>
          <w:sz w:val="17"/>
          <w:szCs w:val="17"/>
          <w:b w:val="1"/>
          <w:bCs w:val="1"/>
          <w:color w:val="auto"/>
        </w:rPr>
        <w:t xml:space="preserve">. </w:t>
      </w:r>
      <w:r>
        <w:rPr>
          <w:rFonts w:ascii="Arial" w:cs="Arial" w:eastAsia="Arial" w:hAnsi="Arial"/>
          <w:sz w:val="17"/>
          <w:szCs w:val="17"/>
          <w:color w:val="auto"/>
        </w:rPr>
        <w:t>Tenant covenants, warrants and represents to Landlord that there were no brokers or finders instrumental in</w:t>
      </w:r>
      <w:r>
        <w:rPr>
          <w:rFonts w:ascii="Arial" w:cs="Arial" w:eastAsia="Arial" w:hAnsi="Arial"/>
          <w:sz w:val="17"/>
          <w:szCs w:val="17"/>
          <w:b w:val="1"/>
          <w:bCs w:val="1"/>
          <w:color w:val="auto"/>
        </w:rPr>
        <w:t xml:space="preserve"> </w:t>
      </w:r>
      <w:r>
        <w:rPr>
          <w:rFonts w:ascii="Arial" w:cs="Arial" w:eastAsia="Arial" w:hAnsi="Arial"/>
          <w:sz w:val="17"/>
          <w:szCs w:val="17"/>
          <w:color w:val="auto"/>
        </w:rPr>
        <w:t>consummating this Amendment and that no conversations or negotiations were had by Tenant with any brokers or finders concerning the transaction contemplated by this Amendment, other than The Garibaldi Group (the “Broker”). Tenant agrees to indemnify and hold Landlord harmless from and against any claims or suits for a brokerage commission arising out of any conversation or negotiations had by Tenant with any brokers or finders in connection with the transactions contemplated by this Amendment, other than the Broker, whom Landlord shall pay pursuant to a separate agreement.</w:t>
      </w:r>
    </w:p>
    <w:p>
      <w:pPr>
        <w:spacing w:after="0" w:line="173" w:lineRule="exact"/>
        <w:rPr>
          <w:rFonts w:ascii="Arial" w:cs="Arial" w:eastAsia="Arial" w:hAnsi="Arial"/>
          <w:sz w:val="17"/>
          <w:szCs w:val="17"/>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p>
    <w:p>
      <w:pPr>
        <w:spacing w:after="0" w:line="229"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Except as expressly amended hereby, all of the terms, covenants, conditions and provisions of the Lease shall remain and continue unmodified, in full force and effect.</w:t>
      </w:r>
    </w:p>
    <w:p>
      <w:pPr>
        <w:spacing w:after="0" w:line="170" w:lineRule="exact"/>
        <w:rPr>
          <w:rFonts w:ascii="Arial" w:cs="Arial" w:eastAsia="Arial" w:hAnsi="Arial"/>
          <w:sz w:val="18"/>
          <w:szCs w:val="18"/>
          <w:color w:val="auto"/>
        </w:rPr>
      </w:pPr>
    </w:p>
    <w:p>
      <w:pPr>
        <w:jc w:val="both"/>
        <w:ind w:left="660" w:hanging="328"/>
        <w:spacing w:after="0" w:line="342" w:lineRule="auto"/>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This Amendment sets forth the entire agreement between the parties regarding the subject matter hereof, superseding all prior agreements and understandings, written and oral, and may not be altered or modified except by a writing signed by both parties.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Landlord and Tenant each represent and warrant to the other that it has not relied upon any representation or warranty, express or implied, in entering into this Amendment, except those which are set forth herein.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4" w:name="page35"/>
    <w:bookmarkEnd w:id="34"/>
    <w:p>
      <w:pPr>
        <w:jc w:val="both"/>
        <w:ind w:left="328" w:hanging="328"/>
        <w:spacing w:after="0" w:line="25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covenants and agreements herein contained shall bind and inure to the benefit of Landlord, its successors and assigns, and Tenant, its successors and assigns. If any of the provisions of this Amendment, or its application to any situation, shall be invalid or unenforceable to any extent, the remainder of this Amendment, or the application thereof to situations other than that as to which it is invalid or unenforceable, shall not be affected thereby, and every provision of this Amendment shall be valid and enforceable to the fullest extent permitted by law.</w:t>
      </w:r>
    </w:p>
    <w:p>
      <w:pPr>
        <w:spacing w:after="0" w:line="187"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captions of this Amendment are for convenience and reference only and in no way define, limit or describe the scope or intent of this Amendment.</w:t>
      </w:r>
    </w:p>
    <w:p>
      <w:pPr>
        <w:spacing w:after="0" w:line="170" w:lineRule="exact"/>
        <w:rPr>
          <w:rFonts w:ascii="Arial" w:cs="Arial" w:eastAsia="Arial" w:hAnsi="Arial"/>
          <w:sz w:val="18"/>
          <w:szCs w:val="18"/>
          <w:color w:val="auto"/>
        </w:rPr>
      </w:pPr>
    </w:p>
    <w:p>
      <w:pPr>
        <w:jc w:val="both"/>
        <w:ind w:left="328" w:hanging="328"/>
        <w:spacing w:after="0" w:line="263"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by Landlord of the within Amendment for execution by Tenant shall confer no rights nor impose any obligation on Landlord unless and until both Landlord and Tenant shall have executed this Amendment and duplicate originals thereof shall have been delivered by Landlord and Tenant to each other.</w:t>
      </w:r>
    </w:p>
    <w:p>
      <w:pPr>
        <w:spacing w:after="0" w:line="183"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Amendment may be signed in two identical counterparts, and both of such counterparts, when taken together, will be deemed to constitute the original of this Amendment. This Amendment may be executed and delivered via electronic facsimile transmission or as a “.pdf” attachment to an e-mail with the same force and effect as if it were executed and delivered by the parties simultaneously in the presence of one another.</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parties have executed this Third Amendment of Lease as of the date hereinabove set forth.</w:t>
      </w:r>
    </w:p>
    <w:p>
      <w:pPr>
        <w:spacing w:after="0" w:line="237" w:lineRule="exact"/>
        <w:rPr>
          <w:sz w:val="20"/>
          <w:szCs w:val="20"/>
          <w:color w:val="auto"/>
        </w:rPr>
      </w:pPr>
    </w:p>
    <w:p>
      <w:pPr>
        <w:ind w:left="4668"/>
        <w:spacing w:after="0"/>
        <w:rPr>
          <w:sz w:val="20"/>
          <w:szCs w:val="20"/>
          <w:color w:val="auto"/>
        </w:rPr>
      </w:pPr>
      <w:r>
        <w:rPr>
          <w:rFonts w:ascii="Arial" w:cs="Arial" w:eastAsia="Arial" w:hAnsi="Arial"/>
          <w:sz w:val="18"/>
          <w:szCs w:val="18"/>
          <w:b w:val="1"/>
          <w:bCs w:val="1"/>
          <w:color w:val="auto"/>
        </w:rPr>
        <w:t>PERRYVILLE SPE LLC</w:t>
      </w:r>
    </w:p>
    <w:p>
      <w:pPr>
        <w:spacing w:after="0" w:line="229"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color w:val="010000"/>
        </w:rPr>
        <w:t>/s/ BERNARD S. BERTRAM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14605</wp:posOffset>
            </wp:positionV>
            <wp:extent cx="29317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 w:lineRule="exact"/>
        <w:rPr>
          <w:sz w:val="20"/>
          <w:szCs w:val="20"/>
          <w:color w:val="auto"/>
        </w:rPr>
      </w:pPr>
    </w:p>
    <w:p>
      <w:pPr>
        <w:ind w:left="4968"/>
        <w:spacing w:after="0"/>
        <w:rPr>
          <w:sz w:val="20"/>
          <w:szCs w:val="20"/>
          <w:color w:val="auto"/>
        </w:rPr>
      </w:pPr>
      <w:r>
        <w:rPr>
          <w:rFonts w:ascii="Arial" w:cs="Arial" w:eastAsia="Arial" w:hAnsi="Arial"/>
          <w:sz w:val="18"/>
          <w:szCs w:val="18"/>
          <w:color w:val="auto"/>
        </w:rPr>
        <w:t>Authorized Signatory</w:t>
      </w:r>
    </w:p>
    <w:p>
      <w:pPr>
        <w:spacing w:after="0" w:line="220" w:lineRule="exact"/>
        <w:rPr>
          <w:sz w:val="20"/>
          <w:szCs w:val="20"/>
          <w:color w:val="auto"/>
        </w:rPr>
      </w:pPr>
    </w:p>
    <w:p>
      <w:pPr>
        <w:ind w:left="4668"/>
        <w:spacing w:after="0"/>
        <w:rPr>
          <w:sz w:val="20"/>
          <w:szCs w:val="20"/>
          <w:color w:val="auto"/>
        </w:rPr>
      </w:pPr>
      <w:r>
        <w:rPr>
          <w:rFonts w:ascii="Arial" w:cs="Arial" w:eastAsia="Arial" w:hAnsi="Arial"/>
          <w:sz w:val="18"/>
          <w:szCs w:val="18"/>
          <w:b w:val="1"/>
          <w:bCs w:val="1"/>
          <w:color w:val="auto"/>
        </w:rPr>
        <w:t>CELLDEX THERAPEUTICS, INC.</w:t>
      </w:r>
    </w:p>
    <w:p>
      <w:pPr>
        <w:spacing w:after="0" w:line="229" w:lineRule="exact"/>
        <w:rPr>
          <w:sz w:val="20"/>
          <w:szCs w:val="20"/>
          <w:color w:val="auto"/>
        </w:rPr>
      </w:pPr>
    </w:p>
    <w:p>
      <w:pPr>
        <w:ind w:left="4668"/>
        <w:spacing w:after="0"/>
        <w:rPr>
          <w:sz w:val="20"/>
          <w:szCs w:val="20"/>
          <w:color w:val="auto"/>
        </w:rPr>
      </w:pPr>
      <w:r>
        <w:rPr>
          <w:rFonts w:ascii="Arial" w:cs="Arial" w:eastAsia="Arial" w:hAnsi="Arial"/>
          <w:sz w:val="18"/>
          <w:szCs w:val="18"/>
          <w:color w:val="auto"/>
        </w:rPr>
        <w:t>By: /s/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14605</wp:posOffset>
            </wp:positionV>
            <wp:extent cx="29317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 w:lineRule="exact"/>
        <w:rPr>
          <w:sz w:val="20"/>
          <w:szCs w:val="20"/>
          <w:color w:val="auto"/>
        </w:rPr>
      </w:pPr>
    </w:p>
    <w:p>
      <w:pPr>
        <w:ind w:left="4968"/>
        <w:spacing w:after="0"/>
        <w:rPr>
          <w:sz w:val="20"/>
          <w:szCs w:val="20"/>
          <w:color w:val="auto"/>
        </w:rPr>
      </w:pPr>
      <w:r>
        <w:rPr>
          <w:rFonts w:ascii="Arial" w:cs="Arial" w:eastAsia="Arial" w:hAnsi="Arial"/>
          <w:sz w:val="18"/>
          <w:szCs w:val="18"/>
          <w:color w:val="auto"/>
        </w:rPr>
        <w:t>Name: Anthony S. Marucci</w:t>
      </w:r>
    </w:p>
    <w:p>
      <w:pPr>
        <w:spacing w:after="0" w:line="23" w:lineRule="exact"/>
        <w:rPr>
          <w:sz w:val="20"/>
          <w:szCs w:val="20"/>
          <w:color w:val="auto"/>
        </w:rPr>
      </w:pPr>
    </w:p>
    <w:p>
      <w:pPr>
        <w:ind w:left="4968"/>
        <w:spacing w:after="0"/>
        <w:tabs>
          <w:tab w:leader="none" w:pos="5467"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5"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Anthony S. Marucci,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August 8, 2022</w:t>
            </w:r>
          </w:p>
        </w:tc>
        <w:tc>
          <w:tcPr>
            <w:tcW w:w="2260" w:type="dxa"/>
            <w:vAlign w:val="bottom"/>
          </w:tcPr>
          <w:p>
            <w:pPr>
              <w:ind w:left="17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260" w:type="dxa"/>
            <w:vAlign w:val="bottom"/>
          </w:tcPr>
          <w:p>
            <w:pPr>
              <w:spacing w:after="0"/>
              <w:rPr>
                <w:sz w:val="16"/>
                <w:szCs w:val="16"/>
                <w:color w:val="auto"/>
              </w:rPr>
            </w:pPr>
          </w:p>
        </w:tc>
        <w:tc>
          <w:tcPr>
            <w:tcW w:w="2260" w:type="dxa"/>
            <w:vAlign w:val="bottom"/>
          </w:tcPr>
          <w:p>
            <w:pPr>
              <w:ind w:left="1720"/>
              <w:spacing w:after="0" w:line="195" w:lineRule="exact"/>
              <w:rPr>
                <w:sz w:val="20"/>
                <w:szCs w:val="20"/>
                <w:color w:val="auto"/>
              </w:rPr>
            </w:pPr>
            <w:r>
              <w:rPr>
                <w:rFonts w:ascii="Arial" w:cs="Arial" w:eastAsia="Arial" w:hAnsi="Arial"/>
                <w:sz w:val="18"/>
                <w:szCs w:val="18"/>
                <w:color w:val="auto"/>
                <w:w w:val="98"/>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260" w:type="dxa"/>
            <w:vAlign w:val="bottom"/>
          </w:tcPr>
          <w:p>
            <w:pPr>
              <w:spacing w:after="0"/>
              <w:rPr>
                <w:sz w:val="20"/>
                <w:szCs w:val="20"/>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Sam Martin,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report on Form 10-Q of Celldex Therapeutics,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80" w:hanging="644"/>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300" w:right="100" w:hanging="644"/>
        <w:spacing w:after="0" w:line="311"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300" w:right="26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00" w:right="440" w:hanging="644"/>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300" w:right="26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August 8, 2022</w:t>
            </w:r>
          </w:p>
        </w:tc>
        <w:tc>
          <w:tcPr>
            <w:tcW w:w="2260" w:type="dxa"/>
            <w:vAlign w:val="bottom"/>
          </w:tcPr>
          <w:p>
            <w:pPr>
              <w:ind w:left="17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260" w:type="dxa"/>
            <w:vAlign w:val="bottom"/>
          </w:tcPr>
          <w:p>
            <w:pPr>
              <w:spacing w:after="0"/>
              <w:rPr>
                <w:sz w:val="16"/>
                <w:szCs w:val="16"/>
                <w:color w:val="auto"/>
              </w:rPr>
            </w:pPr>
          </w:p>
        </w:tc>
        <w:tc>
          <w:tcPr>
            <w:tcW w:w="2260" w:type="dxa"/>
            <w:vAlign w:val="bottom"/>
          </w:tcPr>
          <w:p>
            <w:pPr>
              <w:ind w:left="1720"/>
              <w:spacing w:after="0" w:line="195" w:lineRule="exact"/>
              <w:rPr>
                <w:sz w:val="20"/>
                <w:szCs w:val="20"/>
                <w:color w:val="auto"/>
              </w:rPr>
            </w:pPr>
            <w:r>
              <w:rPr>
                <w:rFonts w:ascii="Arial" w:cs="Arial" w:eastAsia="Arial" w:hAnsi="Arial"/>
                <w:sz w:val="18"/>
                <w:szCs w:val="18"/>
                <w:color w:val="auto"/>
                <w:w w:val="98"/>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260" w:type="dxa"/>
            <w:vAlign w:val="bottom"/>
          </w:tcPr>
          <w:p>
            <w:pPr>
              <w:spacing w:after="0"/>
              <w:rPr>
                <w:sz w:val="20"/>
                <w:szCs w:val="20"/>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776"/>
        </w:trPr>
        <w:tc>
          <w:tcPr>
            <w:tcW w:w="3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1350 CERTIFICATIONS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August 8, 2022</w:t>
            </w:r>
          </w:p>
        </w:tc>
        <w:tc>
          <w:tcPr>
            <w:tcW w:w="2260" w:type="dxa"/>
            <w:vAlign w:val="bottom"/>
          </w:tcPr>
          <w:p>
            <w:pPr>
              <w:ind w:left="17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S. MARUCCI</w:t>
            </w:r>
          </w:p>
        </w:tc>
      </w:tr>
      <w:tr>
        <w:trPr>
          <w:trHeight w:val="195"/>
        </w:trPr>
        <w:tc>
          <w:tcPr>
            <w:tcW w:w="3260" w:type="dxa"/>
            <w:vAlign w:val="bottom"/>
          </w:tcPr>
          <w:p>
            <w:pPr>
              <w:spacing w:after="0"/>
              <w:rPr>
                <w:sz w:val="16"/>
                <w:szCs w:val="16"/>
                <w:color w:val="auto"/>
              </w:rPr>
            </w:pPr>
          </w:p>
        </w:tc>
        <w:tc>
          <w:tcPr>
            <w:tcW w:w="2260" w:type="dxa"/>
            <w:vAlign w:val="bottom"/>
          </w:tcPr>
          <w:p>
            <w:pPr>
              <w:ind w:left="1720"/>
              <w:spacing w:after="0" w:line="195" w:lineRule="exact"/>
              <w:rPr>
                <w:sz w:val="20"/>
                <w:szCs w:val="20"/>
                <w:color w:val="auto"/>
              </w:rPr>
            </w:pPr>
            <w:r>
              <w:rPr>
                <w:rFonts w:ascii="Arial" w:cs="Arial" w:eastAsia="Arial" w:hAnsi="Arial"/>
                <w:sz w:val="18"/>
                <w:szCs w:val="18"/>
                <w:color w:val="auto"/>
                <w:w w:val="98"/>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Anthony S. Marucci</w:t>
            </w:r>
          </w:p>
        </w:tc>
      </w:tr>
      <w:tr>
        <w:trPr>
          <w:trHeight w:val="230"/>
        </w:trPr>
        <w:tc>
          <w:tcPr>
            <w:tcW w:w="3260" w:type="dxa"/>
            <w:vAlign w:val="bottom"/>
          </w:tcPr>
          <w:p>
            <w:pPr>
              <w:spacing w:after="0"/>
              <w:rPr>
                <w:sz w:val="20"/>
                <w:szCs w:val="20"/>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260" w:type="dxa"/>
            <w:vAlign w:val="bottom"/>
          </w:tcPr>
          <w:p>
            <w:pPr>
              <w:spacing w:after="0"/>
              <w:rPr>
                <w:sz w:val="20"/>
                <w:szCs w:val="20"/>
                <w:color w:val="auto"/>
              </w:rPr>
            </w:pPr>
            <w:r>
              <w:rPr>
                <w:rFonts w:ascii="Arial" w:cs="Arial" w:eastAsia="Arial" w:hAnsi="Arial"/>
                <w:sz w:val="18"/>
                <w:szCs w:val="18"/>
                <w:color w:val="auto"/>
              </w:rPr>
              <w:t>Date: August 8, 2022</w:t>
            </w:r>
          </w:p>
        </w:tc>
        <w:tc>
          <w:tcPr>
            <w:tcW w:w="2260" w:type="dxa"/>
            <w:vAlign w:val="bottom"/>
          </w:tcPr>
          <w:p>
            <w:pPr>
              <w:ind w:left="17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MARTIN</w:t>
            </w:r>
          </w:p>
        </w:tc>
      </w:tr>
      <w:tr>
        <w:trPr>
          <w:trHeight w:val="195"/>
        </w:trPr>
        <w:tc>
          <w:tcPr>
            <w:tcW w:w="3260" w:type="dxa"/>
            <w:vAlign w:val="bottom"/>
          </w:tcPr>
          <w:p>
            <w:pPr>
              <w:spacing w:after="0"/>
              <w:rPr>
                <w:sz w:val="16"/>
                <w:szCs w:val="16"/>
                <w:color w:val="auto"/>
              </w:rPr>
            </w:pPr>
          </w:p>
        </w:tc>
        <w:tc>
          <w:tcPr>
            <w:tcW w:w="2260" w:type="dxa"/>
            <w:vAlign w:val="bottom"/>
          </w:tcPr>
          <w:p>
            <w:pPr>
              <w:ind w:left="1720"/>
              <w:spacing w:after="0" w:line="195" w:lineRule="exact"/>
              <w:rPr>
                <w:sz w:val="20"/>
                <w:szCs w:val="20"/>
                <w:color w:val="auto"/>
              </w:rPr>
            </w:pPr>
            <w:r>
              <w:rPr>
                <w:rFonts w:ascii="Arial" w:cs="Arial" w:eastAsia="Arial" w:hAnsi="Arial"/>
                <w:sz w:val="18"/>
                <w:szCs w:val="18"/>
                <w:color w:val="auto"/>
                <w:w w:val="98"/>
              </w:rPr>
              <w:t>Name:</w:t>
            </w:r>
          </w:p>
        </w:tc>
        <w:tc>
          <w:tcPr>
            <w:tcW w:w="4400" w:type="dxa"/>
            <w:vAlign w:val="bottom"/>
          </w:tcPr>
          <w:p>
            <w:pPr>
              <w:spacing w:after="0" w:line="195" w:lineRule="exact"/>
              <w:rPr>
                <w:sz w:val="20"/>
                <w:szCs w:val="20"/>
                <w:color w:val="auto"/>
              </w:rPr>
            </w:pPr>
            <w:r>
              <w:rPr>
                <w:rFonts w:ascii="Arial" w:cs="Arial" w:eastAsia="Arial" w:hAnsi="Arial"/>
                <w:sz w:val="18"/>
                <w:szCs w:val="18"/>
                <w:color w:val="auto"/>
              </w:rPr>
              <w:t>Sam Martin</w:t>
            </w:r>
          </w:p>
        </w:tc>
      </w:tr>
      <w:tr>
        <w:trPr>
          <w:trHeight w:val="230"/>
        </w:trPr>
        <w:tc>
          <w:tcPr>
            <w:tcW w:w="3260" w:type="dxa"/>
            <w:vAlign w:val="bottom"/>
          </w:tcPr>
          <w:p>
            <w:pPr>
              <w:spacing w:after="0"/>
              <w:rPr>
                <w:sz w:val="20"/>
                <w:szCs w:val="20"/>
                <w:color w:val="auto"/>
              </w:rPr>
            </w:pPr>
          </w:p>
        </w:tc>
        <w:tc>
          <w:tcPr>
            <w:tcW w:w="2260" w:type="dxa"/>
            <w:vAlign w:val="bottom"/>
          </w:tcPr>
          <w:p>
            <w:pPr>
              <w:ind w:left="172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Roman"/>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Roman"/>
      <w:start w:val="1"/>
    </w:lvl>
  </w:abstractNum>
  <w:abstractNum w:abstractNumId="12">
    <w:nsid w:val="25E45D32"/>
    <w:multiLevelType w:val="hybridMultilevel"/>
    <w:lvl w:ilvl="0">
      <w:lvlJc w:val="left"/>
      <w:lvlText w:val="(%1)"/>
      <w:numFmt w:val="lowerRoman"/>
      <w:start w:val="4"/>
    </w:lvl>
  </w:abstractNum>
  <w:abstractNum w:abstractNumId="13">
    <w:nsid w:val="519B500D"/>
    <w:multiLevelType w:val="hybridMultilevel"/>
    <w:lvl w:ilvl="0">
      <w:lvlJc w:val="left"/>
      <w:lvlText w:val="%1"/>
      <w:numFmt w:val="decimal"/>
      <w:start w:val="104"/>
    </w:lvl>
    <w:lvl w:ilvl="1">
      <w:lvlJc w:val="left"/>
      <w:lvlText w:val="*"/>
      <w:numFmt w:val="bullet"/>
      <w:start w:val="1"/>
    </w:lvl>
  </w:abstractNum>
  <w:abstractNum w:abstractNumId="14">
    <w:nsid w:val="431BD7B7"/>
    <w:multiLevelType w:val="hybridMultilevel"/>
    <w:lvl w:ilvl="0">
      <w:lvlJc w:val="left"/>
      <w:lvlText w:val="%1"/>
      <w:numFmt w:val="decimal"/>
      <w:start w:val="1"/>
    </w:lvl>
    <w:lvl w:ilvl="1">
      <w:lvlJc w:val="left"/>
      <w:lvlText w:val="**"/>
      <w:numFmt w:val="bullet"/>
      <w:start w:val="1"/>
    </w:lvl>
  </w:abstractNum>
  <w:abstractNum w:abstractNumId="15">
    <w:nsid w:val="3F2DBA31"/>
    <w:multiLevelType w:val="hybridMultilevel"/>
    <w:lvl w:ilvl="0">
      <w:lvlJc w:val="left"/>
      <w:lvlText w:val="%1."/>
      <w:numFmt w:val="decimal"/>
      <w:start w:val="1"/>
    </w:lvl>
    <w:lvl w:ilvl="1">
      <w:lvlJc w:val="left"/>
      <w:lvlText w:val="%2."/>
      <w:numFmt w:val="upperLetter"/>
      <w:start w:val="1"/>
    </w:lvl>
  </w:abstractNum>
  <w:abstractNum w:abstractNumId="16">
    <w:nsid w:val="7C83E458"/>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2"/>
    </w:lvl>
  </w:abstractNum>
  <w:abstractNum w:abstractNumId="17">
    <w:nsid w:val="257130A3"/>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18">
    <w:nsid w:val="62BBD95A"/>
    <w:multiLevelType w:val="hybridMultilevel"/>
    <w:lvl w:ilvl="0">
      <w:lvlJc w:val="left"/>
      <w:lvlText w:val="%1."/>
      <w:numFmt w:val="upperLetter"/>
      <w:start w:val="4"/>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4" Type="http://schemas.openxmlformats.org/officeDocument/2006/relationships/hyperlink" Target="https://www.sec.gov/Archives/edgar/data/744218/000110465922073889/tm2219126d1_ex10-1.htm" TargetMode="External"/><Relationship Id="rId45" Type="http://schemas.openxmlformats.org/officeDocument/2006/relationships/hyperlink" Target="https://www.sec.gov/Archives/edgar/data/744218/000110465922080483/tm222121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2022-08-09T02:26:08Z</dcterms:created>
  <dcterms:modified xsi:type="dcterms:W3CDTF">2022-08-09T02:26:08Z</dcterms:modified>
</cp:coreProperties>
</file>