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28, 2015, 98,595,407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2015</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6771640</wp:posOffset>
            </wp:positionH>
            <wp:positionV relativeFrom="paragraph">
              <wp:posOffset>28575</wp:posOffset>
            </wp:positionV>
            <wp:extent cx="480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Condensed Financial Statements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Balance Sheets at June 30, 2015 and December 31, 2014</w:t>
              </w:r>
            </w:hyperlink>
          </w:p>
        </w:tc>
        <w:tc>
          <w:tcPr>
            <w:tcW w:w="22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Statements of Operations and Comprehensive Loss for the Three and Six Months Ended June 30, 2015 and 2014</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Cash Flows for the Six Months Ended June 30, 2015 and 2014</w:t>
              </w:r>
            </w:hyperlink>
          </w:p>
        </w:tc>
        <w:tc>
          <w:tcPr>
            <w:tcW w:w="780" w:type="dxa"/>
            <w:vAlign w:val="bottom"/>
            <w:tcBorders>
              <w:top w:val="single" w:sz="8" w:color="0000EE"/>
            </w:tcBorders>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Unaudited Condensed Financial Statements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Item 2. Management’s Discussion and Analysis of Financial Condition and Results of Operations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20" w:type="dxa"/>
            <w:vAlign w:val="bottom"/>
            <w:tcBorders>
              <w:top w:val="single" w:sz="8" w:color="0000EE"/>
            </w:tcBorders>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2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7440" w:type="dxa"/>
            <w:vAlign w:val="bottom"/>
            <w:gridSpan w:val="1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380" w:type="dxa"/>
            <w:vAlign w:val="bottom"/>
            <w:tcBorders>
              <w:top w:val="single" w:sz="8" w:color="0000EE"/>
            </w:tcBorders>
          </w:tcPr>
          <w:p>
            <w:pPr>
              <w:spacing w:after="0"/>
              <w:rPr>
                <w:sz w:val="24"/>
                <w:szCs w:val="24"/>
                <w:color w:val="auto"/>
              </w:rPr>
            </w:pPr>
          </w:p>
        </w:tc>
        <w:tc>
          <w:tcPr>
            <w:tcW w:w="520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02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Exhibit Index</w:t>
              </w:r>
            </w:hyperlink>
          </w:p>
        </w:tc>
        <w:tc>
          <w:tcPr>
            <w:tcW w:w="618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6660" w:type="dxa"/>
            <w:vAlign w:val="bottom"/>
            <w:gridSpan w:val="15"/>
          </w:tcPr>
          <w:p>
            <w:pPr>
              <w:jc w:val="center"/>
              <w:ind w:left="4670"/>
              <w:spacing w:after="0"/>
              <w:rPr>
                <w:sz w:val="20"/>
                <w:szCs w:val="20"/>
                <w:color w:val="auto"/>
              </w:rPr>
            </w:pPr>
            <w:r>
              <w:rPr>
                <w:rFonts w:ascii="Arial" w:cs="Arial" w:eastAsia="Arial" w:hAnsi="Arial"/>
                <w:sz w:val="18"/>
                <w:szCs w:val="18"/>
                <w:color w:val="auto"/>
                <w:w w:val="99"/>
              </w:rPr>
              <w:t>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440" w:type="dxa"/>
            <w:vAlign w:val="bottom"/>
            <w:gridSpan w:val="1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440" w:type="dxa"/>
            <w:vAlign w:val="bottom"/>
            <w:gridSpan w:val="17"/>
          </w:tcPr>
          <w:p>
            <w:pPr>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gridSpan w:val="17"/>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CELLDEX THERAPEUTICS, INC.</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8"/>
              </w:rPr>
              <w:t>CONDENSED BALANCE SHEETS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gridSpan w:val="9"/>
          </w:tcPr>
          <w:p>
            <w:pPr>
              <w:jc w:val="center"/>
              <w:ind w:left="8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81,584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252,408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173,023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CCEEFF"/>
            </w:tcBorders>
            <w:gridSpan w:val="15"/>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339,541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16"/>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180" w:type="dxa"/>
            <w:vAlign w:val="bottom"/>
            <w:tcBorders>
              <w:bottom w:val="single" w:sz="8" w:color="CCEEFF"/>
            </w:tcBorders>
            <w:gridSpan w:val="15"/>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383,217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1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2,020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21,879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CCEEFF"/>
            </w:tcBorders>
            <w:gridSpan w:val="15"/>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80" w:type="dxa"/>
            <w:vAlign w:val="bottom"/>
            <w:gridSpan w:val="15"/>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16"/>
          </w:tcPr>
          <w:p>
            <w:pPr>
              <w:ind w:left="180"/>
              <w:spacing w:after="0" w:line="201" w:lineRule="exact"/>
              <w:rPr>
                <w:sz w:val="20"/>
                <w:szCs w:val="20"/>
                <w:color w:val="auto"/>
              </w:rPr>
            </w:pPr>
            <w:r>
              <w:rPr>
                <w:rFonts w:ascii="Arial" w:cs="Arial" w:eastAsia="Arial" w:hAnsi="Arial"/>
                <w:sz w:val="18"/>
                <w:szCs w:val="18"/>
                <w:color w:val="auto"/>
                <w:w w:val="92"/>
              </w:rPr>
              <w:t>Convertible Preferred Stock, $.01 Par Value; 3,000,000 Shares Authorized; No Shares Issued and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80" w:type="dxa"/>
            <w:vAlign w:val="bottom"/>
            <w:gridSpan w:val="15"/>
          </w:tcPr>
          <w:p>
            <w:pPr>
              <w:ind w:left="120"/>
              <w:spacing w:after="0"/>
              <w:rPr>
                <w:sz w:val="20"/>
                <w:szCs w:val="20"/>
                <w:color w:val="auto"/>
              </w:rPr>
            </w:pPr>
            <w:r>
              <w:rPr>
                <w:rFonts w:ascii="Arial" w:cs="Arial" w:eastAsia="Arial" w:hAnsi="Arial"/>
                <w:sz w:val="18"/>
                <w:szCs w:val="18"/>
                <w:color w:val="auto"/>
              </w:rPr>
              <w:t>Outstanding at June 30, 2015 and December 31, 2014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16"/>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297,000,000 Shares Authorized; 98,548,319 and 89,592,779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180" w:type="dxa"/>
            <w:vAlign w:val="bottom"/>
            <w:gridSpan w:val="15"/>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at June 30, 2015 and December 31, 2014, respectively</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869,635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672,739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16"/>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(526,292)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(463,759)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CCEEFF"/>
            </w:tcBorders>
            <w:gridSpan w:val="15"/>
            <w:shd w:val="clear" w:color="auto" w:fill="CCEEFF"/>
          </w:tcPr>
          <w:p>
            <w:pPr>
              <w:ind w:left="120"/>
              <w:spacing w:after="0" w:line="199"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345,878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211,660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-6469380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-6469380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ind w:left="380"/>
        <w:spacing w:after="0"/>
        <w:tabs>
          <w:tab w:leader="none" w:pos="7600" w:val="left"/>
          <w:tab w:leader="none" w:pos="8720" w:val="left"/>
          <w:tab w:leader="none" w:pos="9600" w:val="left"/>
          <w:tab w:leader="none" w:pos="1070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383,217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248,014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23495</wp:posOffset>
            </wp:positionV>
            <wp:extent cx="23495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9500" cy="2603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-121920</wp:posOffset>
            </wp:positionV>
            <wp:extent cx="2349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June 30, 2015</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June 30, 2015</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26,490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14,273</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(32,750)</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(28,549)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(63,731)</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(32,359)</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98,482</w:t>
            </w:r>
          </w:p>
        </w:tc>
        <w:tc>
          <w:tcPr>
            <w:tcW w:w="180" w:type="dxa"/>
            <w:vAlign w:val="bottom"/>
          </w:tcPr>
          <w:p>
            <w:pPr>
              <w:spacing w:after="0"/>
              <w:rPr>
                <w:sz w:val="17"/>
                <w:szCs w:val="17"/>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89,361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95,477</w:t>
            </w:r>
          </w:p>
        </w:tc>
        <w:tc>
          <w:tcPr>
            <w:tcW w:w="180" w:type="dxa"/>
            <w:vAlign w:val="bottom"/>
          </w:tcPr>
          <w:p>
            <w:pPr>
              <w:spacing w:after="0"/>
              <w:rPr>
                <w:sz w:val="17"/>
                <w:szCs w:val="17"/>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89,316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Share</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2015</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8"/>
              </w:rPr>
              <w:t>June 30, 2014</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(58,177)</w:t>
            </w:r>
          </w:p>
        </w:tc>
      </w:tr>
      <w:tr>
        <w:trPr>
          <w:trHeight w:val="216"/>
        </w:trPr>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w:t>
            </w:r>
          </w:p>
        </w:tc>
      </w:tr>
      <w:tr>
        <w:trPr>
          <w:trHeight w:val="216"/>
        </w:trPr>
        <w:tc>
          <w:tcPr>
            <w:tcW w:w="7040" w:type="dxa"/>
            <w:vAlign w:val="bottom"/>
          </w:tcPr>
          <w:p>
            <w:pPr>
              <w:ind w:left="380"/>
              <w:spacing w:after="0"/>
              <w:rPr>
                <w:sz w:val="20"/>
                <w:szCs w:val="20"/>
                <w:color w:val="auto"/>
              </w:rPr>
            </w:pPr>
            <w:r>
              <w:rPr>
                <w:rFonts w:ascii="Arial" w:cs="Arial" w:eastAsia="Arial" w:hAnsi="Arial"/>
                <w:sz w:val="18"/>
                <w:szCs w:val="18"/>
                <w:color w:val="auto"/>
              </w:rPr>
              <w:t>Non-Cash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r>
      <w:tr>
        <w:trPr>
          <w:trHeight w:val="210"/>
        </w:trPr>
        <w:tc>
          <w:tcPr>
            <w:tcW w:w="70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38"/>
        </w:trPr>
        <w:tc>
          <w:tcPr>
            <w:tcW w:w="7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86,345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(164,434)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(3,108)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188,840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192,097</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53,564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28,020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81,584</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 included in Accounts Payable and Accrued Expenses</w:t>
            </w: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accompanying unaudited condensed financial statements have been prepared by Celldex Therapeutics, Inc. (the “Company” or “Celldex”) in accordance with accounting principles generally accepted in the United States of America (“U.S. GAAP”). On December 31, 2014, the Company’s wholly-owned subsidiary, Celldex Research Corporation, merged into Celldex Therapeutics, Inc. The unaudited condensed statement of operations and comprehensive loss and the statement of cash flows for the three and six months ended June 30, 2014 reflect the operations of the Company and its former wholly-owned subsidiary. All intercompany transactions have been eliminated in consolidation.</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2014, which are included in the Company’s Annual Report on Form 10-K filed with the Securities and Exchange Commission (“SEC”) on February 24, 2015. In the opinion of management, the interim financial statements reflect all normal recurring adjustments necessary to fairly state the Company’s financial position and results of operations for the interim periods presented. The year-end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2015, the Company had cash, cash equivalents and marketable securities of $334.0 million. The Company incurred a loss of</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$62.5 million for the six months ended June 30, 2015. Net cash used in operations for the six months ended June 30, 2015 was $57.4 million. The Company believes that the cash, cash equivalents and marketable securities at June 30, 2015 will be sufficient to meet estimated working capital requirements and fund planned operations for at least the next twelve months.</w:t>
      </w:r>
    </w:p>
    <w:p>
      <w:pPr>
        <w:spacing w:after="0" w:line="19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ind w:right="40" w:firstLine="630"/>
        <w:spacing w:after="0" w:line="264" w:lineRule="auto"/>
        <w:rPr>
          <w:sz w:val="20"/>
          <w:szCs w:val="20"/>
          <w:color w:val="auto"/>
        </w:rPr>
      </w:pPr>
      <w:r>
        <w:rPr>
          <w:rFonts w:ascii="Arial" w:cs="Arial" w:eastAsia="Arial" w:hAnsi="Arial"/>
          <w:sz w:val="18"/>
          <w:szCs w:val="18"/>
          <w:color w:val="auto"/>
        </w:rPr>
        <w:t>The significant accounting policies used in preparation of these condensed financial statements for the six months ended June 30, 2015 are consistent with those discussed in Note 2 to the financial statements in our Annual Report on Form 10-K for the year ended December 31, 2014, except for the adoption of new accounting standards during the first six months of 2015 as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ectPr>
          <w:pgSz w:w="11900" w:h="16838" w:orient="portrait"/>
          <w:cols w:equalWidth="0" w:num="1">
            <w:col w:w="11420"/>
          </w:cols>
          <w:pgMar w:left="240" w:top="140" w:right="239" w:bottom="0" w:gutter="0" w:footer="0" w:header="0"/>
        </w:sectPr>
      </w:pPr>
    </w:p>
    <w:bookmarkStart w:id="4" w:name="page5"/>
    <w:bookmarkEnd w:id="4"/>
    <w:p>
      <w:pPr>
        <w:ind w:right="220" w:firstLine="648"/>
        <w:spacing w:after="0" w:line="257" w:lineRule="auto"/>
        <w:rPr>
          <w:sz w:val="20"/>
          <w:szCs w:val="20"/>
          <w:color w:val="auto"/>
        </w:rPr>
      </w:pPr>
      <w:r>
        <w:rPr>
          <w:rFonts w:ascii="Arial" w:cs="Arial" w:eastAsia="Arial" w:hAnsi="Arial"/>
          <w:sz w:val="18"/>
          <w:szCs w:val="18"/>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In July 2015, the FASB voted to defer the amendments in this update apply public business entities for the annual period ending after December 15, 2017. The amendment allows for two methods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of adoption, a full retrospective method or a modified retrospective approach with the cumulative effect recognized at the date of initial application. The Company will further study the implications of this standard in order to evaluate the expected impact on the financial statements.</w:t>
      </w:r>
    </w:p>
    <w:p>
      <w:pPr>
        <w:spacing w:after="0" w:line="14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April 2015, the FASB issued amendments that provide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The standard update is effective for fiscal years beginning after December 15, 2015 and interim periods within those years. Early adoption is permitted. The standard allows for adoption retrospectively or prospectively to all arrangements entered into or materially modified after the effective date. The amendment is not expected to have a material impact on our financial statements.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8,121,183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8,161,183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Income by component for the three and six months ended June 30, 2015 are summarized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amounts were reclassified out of accumulated other comprehensive income during the three or six months ended June 30,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(Loss) 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Securities, net of 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loss</w:t>
            </w:r>
          </w:p>
        </w:tc>
        <w:tc>
          <w:tcPr>
            <w:tcW w:w="1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 (loss)</w:t>
            </w:r>
          </w:p>
        </w:tc>
        <w:tc>
          <w:tcPr>
            <w:tcW w:w="1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vMerge w:val="restart"/>
          </w:tcPr>
          <w:p>
            <w:pPr>
              <w:jc w:val="right"/>
              <w:ind w:right="6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17" w:lineRule="exact"/>
        <w:rPr>
          <w:sz w:val="20"/>
          <w:szCs w:val="20"/>
          <w:color w:val="auto"/>
        </w:rPr>
      </w:pPr>
    </w:p>
    <w:p>
      <w:pPr>
        <w:ind w:left="5360"/>
        <w:spacing w:after="0"/>
        <w:tabs>
          <w:tab w:leader="none" w:pos="7120" w:val="left"/>
          <w:tab w:leader="none" w:pos="8760" w:val="left"/>
          <w:tab w:leader="none" w:pos="1040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ectPr>
          <w:pgSz w:w="11900" w:h="16838" w:orient="portrait"/>
          <w:cols w:equalWidth="0" w:num="1">
            <w:col w:w="11460"/>
          </w:cols>
          <w:pgMar w:left="240" w:top="341" w:right="199" w:bottom="0" w:gutter="0" w:footer="0" w:header="0"/>
        </w:sectPr>
      </w:pPr>
    </w:p>
    <w:bookmarkStart w:id="5" w:name="page6"/>
    <w:bookmarkEnd w:id="5"/>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68,641</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252,408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252,408</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173,023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173,023</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financial statements at cost, which approximates fair value due to the short-term nature of these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5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56,882</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12,120</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69,002</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120,267</w:t>
            </w:r>
          </w:p>
        </w:tc>
        <w:tc>
          <w:tcPr>
            <w:tcW w:w="300" w:type="dxa"/>
            <w:vAlign w:val="bottom"/>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63,299</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183,566</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(177)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183,410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252,568</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(233)</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252,408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44,580</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16,108</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60,688</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60,760</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89,636</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22,690</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2"/>
              </w:rPr>
              <w:t>112,326</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173,014</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173,023</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June 30, 2015. Marketable securities include $1.6 million and $1.4 million in accrued interest at June 30, 2015 and December 31,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2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1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IPR&amp;D</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Indefinite</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 Amendment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0"/>
              <w:spacing w:after="0"/>
              <w:rPr>
                <w:sz w:val="20"/>
                <w:szCs w:val="20"/>
                <w:color w:val="auto"/>
              </w:rPr>
            </w:pPr>
            <w:r>
              <w:rPr>
                <w:rFonts w:ascii="Arial" w:cs="Arial" w:eastAsia="Arial" w:hAnsi="Arial"/>
                <w:sz w:val="18"/>
                <w:szCs w:val="18"/>
                <w:color w:val="auto"/>
              </w:rPr>
              <w:t>Core Technology</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11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260" w:type="dxa"/>
            <w:vAlign w:val="bottom"/>
            <w:vMerge w:val="restart"/>
          </w:tcPr>
          <w:p>
            <w:pPr>
              <w:jc w:val="right"/>
              <w:ind w:right="36"/>
              <w:spacing w:after="0"/>
              <w:rPr>
                <w:sz w:val="20"/>
                <w:szCs w:val="20"/>
                <w:color w:val="auto"/>
              </w:rPr>
            </w:pPr>
            <w:r>
              <w:rPr>
                <w:rFonts w:ascii="Arial" w:cs="Arial" w:eastAsia="Arial" w:hAnsi="Arial"/>
                <w:sz w:val="18"/>
                <w:szCs w:val="18"/>
                <w:color w:val="auto"/>
              </w:rPr>
              <w:t>Indefinite</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08" w:orient="portrait"/>
          <w:cols w:equalWidth="0" w:num="1">
            <w:col w:w="11460"/>
          </w:cols>
          <w:pgMar w:left="240" w:top="118" w:right="199" w:bottom="0" w:gutter="0" w:footer="0" w:header="0"/>
        </w:sectPr>
      </w:pPr>
    </w:p>
    <w:p>
      <w:pPr>
        <w:spacing w:after="0" w:line="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At the date of acquisition and at June 30, 2015, glembatumumab vedotin had not yet reached technological feasibility nor did it have any alternative future</w:t>
      </w:r>
    </w:p>
    <w:p>
      <w:pPr>
        <w:sectPr>
          <w:pgSz w:w="11900" w:h="16908" w:orient="portrait"/>
          <w:cols w:equalWidth="0" w:num="1">
            <w:col w:w="11460"/>
          </w:cols>
          <w:pgMar w:left="240" w:top="118" w:right="199" w:bottom="0" w:gutter="0" w:footer="0" w:header="0"/>
          <w:type w:val="continuous"/>
        </w:sectPr>
      </w:pPr>
    </w:p>
    <w:bookmarkStart w:id="6" w:name="page7"/>
    <w:bookmarkEnd w:id="6"/>
    <w:p>
      <w:pPr>
        <w:ind w:right="260"/>
        <w:spacing w:after="0" w:line="277" w:lineRule="auto"/>
        <w:rPr>
          <w:sz w:val="20"/>
          <w:szCs w:val="20"/>
          <w:color w:val="auto"/>
        </w:rPr>
      </w:pPr>
      <w:r>
        <w:rPr>
          <w:rFonts w:ascii="Arial" w:cs="Arial" w:eastAsia="Arial" w:hAnsi="Arial"/>
          <w:sz w:val="18"/>
          <w:szCs w:val="18"/>
          <w:color w:val="auto"/>
        </w:rPr>
        <w:t>use. Glembatumumab vedotin is in a randomized, Phase 2b study for the treatment of triple negative breast cancer and a Phase 2 study for the treatment of metastatic melanoma.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2014</w:t>
            </w:r>
          </w:p>
        </w:tc>
      </w:tr>
      <w:tr>
        <w:trPr>
          <w:trHeight w:val="142"/>
        </w:trPr>
        <w:tc>
          <w:tcPr>
            <w:tcW w:w="55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5"/>
          </w:tcPr>
          <w:p>
            <w:pPr>
              <w:jc w:val="right"/>
              <w:ind w:right="12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5,297</w:t>
            </w:r>
          </w:p>
        </w:tc>
      </w:tr>
      <w:tr>
        <w:trPr>
          <w:trHeight w:val="210"/>
        </w:trPr>
        <w:tc>
          <w:tcPr>
            <w:tcW w:w="5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(2,592)</w:t>
            </w: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December 2014, January 2014, January 2013, January 2012 and January 2011, the Company received approval from the New Jersey Economic Development Authority and agreed to sell New Jersey tax benefits worth $1.9 million, $1.1 million, $0.8 million, $0.8 million and $0.6 million to an independent third party for $1.8 million, $1.0 million, $0.8 million, $0.7 million and $0.5 million, respectively. Under the agreement, the Company must maintain a base of operations in New Jersey for five years or the tax benefits must be paid back on a pro-rata basis based on the number of years completed. During the six months ended June 30, 2015 and 2014, the Company recorded $0.6 million and $0.4 million to other income related to the sale of these tax benefits, respectively.</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September 2013, the Company entered into an agreement with Rockefeller University pursuant to which the Company performs research and development services for Rockefeller. The agreement included an upfront payment of $1.3 million which is being recognized as revenue over the three year term of the agreement. The Company bills Rockefeller quarterly for actual time and direct costs incurred and recorded $1.5 million and $1.6 million in revenue related to the Rockefeller agreement during the three and six months ended June 30, 2015 and $0.4 million and $0.7 million during the three and six months ended June 30, 2014, respectively.</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In May 2014, the Company entered into a clinical trial collaboration with Bristol-Myers Squibb Company (“BMS”) to evaluate the safety, tolerability and preliminary efficacy of varlilumab and Opdivo</w:t>
      </w:r>
      <w:r>
        <w:rPr>
          <w:rFonts w:ascii="Arial" w:cs="Arial" w:eastAsia="Arial" w:hAnsi="Arial"/>
          <w:sz w:val="20"/>
          <w:szCs w:val="20"/>
          <w:color w:val="auto"/>
          <w:vertAlign w:val="superscript"/>
        </w:rPr>
        <w:t>®</w:t>
      </w:r>
      <w:r>
        <w:rPr>
          <w:rFonts w:ascii="Arial" w:cs="Arial" w:eastAsia="Arial" w:hAnsi="Arial"/>
          <w:sz w:val="16"/>
          <w:szCs w:val="16"/>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$0.3 million and $0.6 million in revenue related to the BMS agreement during the three and six months ended June 30, 2015, respectively, and $0.2 million and $0.2 million during the three and six months ended June 30,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March 2015, the Company issued 8,337,500 shares of its common stock in an underwritten public offering resulting in net proceeds to the Company of $188.8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7,015,350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1,734,650</w:t>
            </w:r>
          </w:p>
        </w:tc>
        <w:tc>
          <w:tcPr>
            <w:tcW w:w="300" w:type="dxa"/>
            <w:vAlign w:val="bottom"/>
          </w:tcPr>
          <w:p>
            <w:pPr>
              <w:spacing w:after="0"/>
              <w:rPr>
                <w:sz w:val="18"/>
                <w:szCs w:val="18"/>
                <w:color w:val="auto"/>
              </w:rPr>
            </w:pP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25.41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(574,554)</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(54,263)</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14.41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8,121,183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13.00</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2015</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4"/>
              </w:rPr>
              <w:t>12.94</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8,059,516</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4,247,785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5,905,772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22"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six months ended June 30, 2015 was $15.63. Stock-based compensation expense for the three and six months ended June 30, 2015 and 2014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1,283</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and six months ended June 30, 2015 and 2014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67 - 69%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71 - 72%</w:t>
            </w:r>
          </w:p>
        </w:tc>
        <w:tc>
          <w:tcPr>
            <w:tcW w:w="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1.8 - 2.2%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418"/>
        </w:trPr>
        <w:tc>
          <w:tcPr>
            <w:tcW w:w="4960" w:type="dxa"/>
            <w:vAlign w:val="bottom"/>
          </w:tcPr>
          <w:p>
            <w:pPr>
              <w:spacing w:after="0"/>
              <w:rPr>
                <w:sz w:val="24"/>
                <w:szCs w:val="24"/>
                <w:color w:val="auto"/>
              </w:rPr>
            </w:pPr>
          </w:p>
        </w:tc>
        <w:tc>
          <w:tcPr>
            <w:tcW w:w="1360" w:type="dxa"/>
            <w:vAlign w:val="bottom"/>
          </w:tcPr>
          <w:p>
            <w:pPr>
              <w:jc w:val="right"/>
              <w:ind w:right="435"/>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2015 and December 31, 2014 against the Company’s net deferred tax assets.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60" w:hanging="324"/>
        <w:spacing w:after="0" w:line="23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Rintega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(also referred to as rindopepimut and CDX-110), glembatumumab vedotin (also referred to as CDX-011), and other drug candidates and the growth of the markets for those drug candidates;</w:t>
      </w:r>
    </w:p>
    <w:p>
      <w:pPr>
        <w:spacing w:after="0" w:line="202" w:lineRule="exact"/>
        <w:rPr>
          <w:rFonts w:ascii="Arial" w:cs="Arial" w:eastAsia="Arial" w:hAnsi="Arial"/>
          <w:sz w:val="18"/>
          <w:szCs w:val="18"/>
          <w:color w:val="auto"/>
        </w:rPr>
      </w:pPr>
    </w:p>
    <w:p>
      <w:pPr>
        <w:ind w:left="980" w:right="6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Rintega and METRIC for glembatumumab vedotin;</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Rintega, glembatumumab vedotin, and other preclinical and clinical testing;</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Rintega in North America and Europe ourselves;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ectPr>
          <w:pgSz w:w="11900" w:h="16860" w:orient="portrait"/>
          <w:cols w:equalWidth="0" w:num="1">
            <w:col w:w="11460"/>
          </w:cols>
          <w:pgMar w:left="240" w:top="125" w:right="199" w:bottom="0" w:gutter="0" w:footer="0" w:header="0"/>
        </w:sectPr>
      </w:pPr>
    </w:p>
    <w:bookmarkStart w:id="8" w:name="page9"/>
    <w:bookmarkEnd w:id="8"/>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Rintega outside of North America and Europe, glembatumumab vedotin and varlilumab (also referred to as CDX-1127);</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8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42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2014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specifics types of cancer or other diseases.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latest stage drug candidate, Rintega (also referred to as rindopepimut and CDX-110) is a therapeutic vaccine that completed enrollment in December 2014 to a pivotal Phase 3 study in front-line glioblastoma in patients that express a specific cancer marker known as EGFRvIII. This Phase 3 study completed its first interim analysis at 50% of events (deaths) in June 2015, and an independent Data Safety and Monitoring Board recommended that the study continue as planned. Updated results from a randomized, Phase 2 study of Rintega added to the standard of care for the treatment of recurrent glioblastoma were presented in May 2015. A statistically significant overall survival benefit and the emergence of a long-term survival benefit were observed. The primary endpoint of the study, progression-free survival at six months (PFS6), was met. In February 2015, the U.S. Food and Drug Administration, or FDA, granted Rintega Breakthrough Therapy Designation for the treatment of adult patients with EGFRvIII-positive glioblastoma.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5400" w:type="dxa"/>
            <w:vAlign w:val="bottom"/>
            <w:gridSpan w:val="2"/>
          </w:tcPr>
          <w:p>
            <w:pPr>
              <w:ind w:left="2060"/>
              <w:spacing w:after="0"/>
              <w:rPr>
                <w:sz w:val="20"/>
                <w:szCs w:val="20"/>
                <w:color w:val="auto"/>
              </w:rPr>
            </w:pPr>
            <w:r>
              <w:rPr>
                <w:rFonts w:ascii="Arial" w:cs="Arial" w:eastAsia="Arial" w:hAnsi="Arial"/>
                <w:sz w:val="14"/>
                <w:szCs w:val="14"/>
                <w:b w:val="1"/>
                <w:bCs w:val="1"/>
                <w:color w:val="auto"/>
              </w:rPr>
              <w:t>Indication/Field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c>
          <w:tcPr>
            <w:tcW w:w="280" w:type="dxa"/>
            <w:vAlign w:val="bottom"/>
          </w:tcPr>
          <w:p>
            <w:pPr>
              <w:spacing w:after="0"/>
              <w:rPr>
                <w:sz w:val="14"/>
                <w:szCs w:val="14"/>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30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Rintega</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Front-line glioblastoma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Phase 3</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Metastatic breast cancer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2b</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Rintega</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Recurrent glioblastoma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Metastatic melanoma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Lymphoma/leukemia and solid tumors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1/2</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CDX-1401</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Multiple solid tumors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Allogeneic Hematopoietic Stem Cell Transplantation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3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Ovarian and renal cancer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Preclinical</w:t>
            </w:r>
          </w:p>
        </w:tc>
      </w:tr>
    </w:tbl>
    <w:p>
      <w:pPr>
        <w:sectPr>
          <w:pgSz w:w="11900" w:h="16838" w:orient="portrait"/>
          <w:cols w:equalWidth="0" w:num="1">
            <w:col w:w="11420"/>
          </w:cols>
          <w:pgMar w:left="240" w:top="341" w:right="239" w:bottom="130" w:gutter="0" w:footer="0" w:header="0"/>
        </w:sectPr>
      </w:pPr>
    </w:p>
    <w:bookmarkStart w:id="9" w:name="page10"/>
    <w:bookmarkEnd w:id="9"/>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novelty and intended use of a product candidate. It is not unusual for the clinical development of these types of product candidates to each take five years or more, and for total development costs to exceed $100 million for each product candidate. We estimate that clinical trials of the type we generally conduct are typically completed over the following timelines: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Completion</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2014, we incurred an aggregate of $279.3 million in research and development expenses. The following table indicates the amount incurred for each of our significant research programs and for other identified research and development activities during the six months ended June 30, 2015 and 2014. The amounts disclosed in the following table reflect direct research and development costs, license fees associated with the underlying technology and an allocation of indirect research and development costs to each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2"/>
          </w:tcPr>
          <w:p>
            <w:pPr>
              <w:jc w:val="center"/>
              <w:ind w:right="259"/>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Rintega</w:t>
            </w:r>
          </w:p>
        </w:tc>
        <w:tc>
          <w:tcPr>
            <w:tcW w:w="4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0"/>
              </w:rPr>
              <w:t>24,241</w:t>
            </w:r>
          </w:p>
        </w:tc>
        <w:tc>
          <w:tcPr>
            <w:tcW w:w="9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25,917</w:t>
            </w: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Glembatumumab vedotin</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8,895</w:t>
            </w: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14,799</w:t>
            </w: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Varlilumab</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8,182</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w:t>
            </w: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CDX-1401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1,790</w:t>
            </w: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r>
      <w:tr>
        <w:trPr>
          <w:trHeight w:val="151"/>
        </w:trPr>
        <w:tc>
          <w:tcPr>
            <w:tcW w:w="516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CDX-301</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200"/>
              <w:spacing w:after="0"/>
              <w:rPr>
                <w:sz w:val="20"/>
                <w:szCs w:val="20"/>
                <w:color w:val="auto"/>
              </w:rPr>
            </w:pPr>
            <w:r>
              <w:rPr>
                <w:rFonts w:ascii="Arial" w:cs="Arial" w:eastAsia="Arial" w:hAnsi="Arial"/>
                <w:sz w:val="18"/>
                <w:szCs w:val="18"/>
                <w:color w:val="auto"/>
              </w:rPr>
              <w:t>CDX-014</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3,909</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Programs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R&amp;D Expense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51,615</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Rintega is an epidermal growth factor receptor variant III, or EGFRvIII, specific vaccine for glioblastoma multiforme, or GBM. EGFRvIII is a mutated form of the epidermal growth factor receptor, or EGFR, that is only expressed in cancer cells and not in normal tissue and can directly contribute to cancer cell growth. EGFRvIII is expressed in approximately 30% of GBM tumors, the most common and aggressive form of brain cancer. Rintega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Rintega for the treatment of EGFRvIII expressing GBM. The FDA has also granted Fast Track designation. In February 2015, the FDA granted Rintega Breakthrough Therapy Designation for the treatment of adult patients with EGFRvIII-positive glioblastoma.</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Phase 2a study of Rintega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Phase 2b study of Rintega referred to as ACT III combined Rintega with standard of care, TMZ, in patients with newly diagnosed GBM. The ACT III study provided for a multi-center, non-randomized dataset for Rintega in 65 patients at over 30 sites throughout the United States.</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Rintega clinical studies (ACTIVATE, ACT II and ACT III) in EGFRvIII-positive GBM. Across these three Phase 2 studies of Rintega, survival data remains consistent and suggests a continuing survival benefit in comparison to independent control datasets (see chart below) at the median and at all other time points evaluated.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Median, Years</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2-year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3-year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4-year</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5-year</w:t>
            </w:r>
          </w:p>
        </w:tc>
      </w:tr>
      <w:tr>
        <w:trPr>
          <w:trHeight w:val="171"/>
        </w:trPr>
        <w:tc>
          <w:tcPr>
            <w:tcW w:w="4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(95% CI)</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Phase 2 Rintega studies (n=105)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(1.8, 2.4)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Matched historical control (n=17)(1)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 (0.9, 1.7)</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460" w:hanging="652"/>
        <w:spacing w:after="0" w:line="277" w:lineRule="auto"/>
        <w:tabs>
          <w:tab w:leader="none" w:pos="667"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 positive GBM, gross total resection and no disease progression through chemoradiation treatment.</w:t>
      </w:r>
    </w:p>
    <w:p>
      <w:pPr>
        <w:spacing w:after="0" w:line="17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The pooled overall long-term survival results continue to be consistent with the ACT III Phase 2 study (18% for 4-years and 14% for 5-years).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December 2011, we initiated ACT IV, a pivotal, randomized, double-blind, controlled Phase 3 study of Rintega in patients with surgically resected, EGFRvIII-positive GBM. Patients were randomized after the completion of surgery and standard chemoradiation treatment. The treatment regimen includes a Rintega priming phase post-radiation followed by an adjuvant phase where Rintega is dosed along with TMZ and a Rintega maintenance therapy phase. Patients are treated until disease progression or intolerance to therapy. The primary objective of the study is to determine whether Rintega plus adjuvant GM-CSF improves the overall survival of patients with newly diagnosed EGFRvIII-positive GBM with minimal residual disease post resection and traditional chemo-radiation when compared to treatment with TMZ and a control injection of KLH. KLH is a component of Rintega and was selected due to its ability to generate a similar injection site reaction to that observed with Rintega.</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December 2014, enrollment was completed in the ACT IV study. In total, over 4,800 tissue samples from GBM patients were submitted for EGFRvIII evaluation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The study design requires interim analyses to be conducted by an independent Data Safety and Monitoring Board (DSMB) at 50% and 75% of events (deaths). The first interim analysis occurred in June 2015 and the DSMB recommended continuation of the study as planned. The second interim analysis is currently expected in late 2015 or early 2016, and the final data are expected by the end of 2016; although our expectations regarding the timing for the second interim analysis and final data read out may change based on event rates.</w:t>
      </w:r>
    </w:p>
    <w:p>
      <w:pPr>
        <w:spacing w:after="0" w:line="182"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In December 2011, we also initiated ReACT, a Phase 2 study of Rintega in combination with Avastin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patients with recurrent EGFRvIII-positive GBM. This study completed enrollment in 2014 and includes 3 groups. Group 1 consists of 72 patients who had not previously received Avastin and were randomized to receive either Rintega and Avastin or a control injection of KLH and Avastin in a blinded fashion. Group 2 includes 25 patients who are refractory to Avastin having received Avastin in either the frontline or recurrent setting with subsequent progression and who received Rintega plus Avastin in a single treatment arm. In August 2013, we announced the addition of an expansion cohort of up to 75 patients, called Group 2C, to better characterize the potential activity of Rintega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 groups 1 and 2 and objective response rate (ORR) for group 2C. Other study endpoints include PFS-6, ORR, PFS, overall survival, or OS and safety and tolerability.</w:t>
      </w:r>
    </w:p>
    <w:p>
      <w:pPr>
        <w:sectPr>
          <w:pgSz w:w="11900" w:h="16838" w:orient="portrait"/>
          <w:cols w:equalWidth="0" w:num="1">
            <w:col w:w="11420"/>
          </w:cols>
          <w:pgMar w:left="240" w:top="140" w:right="239" w:bottom="114" w:gutter="0" w:footer="0" w:header="0"/>
        </w:sectPr>
      </w:pPr>
    </w:p>
    <w:bookmarkStart w:id="11" w:name="page12"/>
    <w:bookmarkEnd w:id="11"/>
    <w:p>
      <w:pPr>
        <w:ind w:right="20" w:firstLine="648"/>
        <w:spacing w:after="0" w:line="255" w:lineRule="auto"/>
        <w:rPr>
          <w:sz w:val="20"/>
          <w:szCs w:val="20"/>
          <w:color w:val="auto"/>
        </w:rPr>
      </w:pPr>
      <w:r>
        <w:rPr>
          <w:rFonts w:ascii="Arial" w:cs="Arial" w:eastAsia="Arial" w:hAnsi="Arial"/>
          <w:sz w:val="18"/>
          <w:szCs w:val="18"/>
          <w:color w:val="auto"/>
        </w:rPr>
        <w:t xml:space="preserve">In May 2015, we reported the following updated data from Group 1 of the ReACT study. These data were adjudicated by an independent review committee (IRC) blinded to treatment group assignment and included study results through March 2015 for both intent to treat (ITT) and per protocol (PP) populations; tumor responses were evaluated in accordance with </w:t>
      </w:r>
      <w:r>
        <w:rPr>
          <w:rFonts w:ascii="Arial" w:cs="Arial" w:eastAsia="Arial" w:hAnsi="Arial"/>
          <w:sz w:val="17"/>
          <w:szCs w:val="17"/>
          <w:color w:val="auto"/>
        </w:rPr>
        <w:t>Response Assessment in Neuro-Oncology (</w:t>
      </w:r>
      <w:r>
        <w:rPr>
          <w:rFonts w:ascii="Arial" w:cs="Arial" w:eastAsia="Arial" w:hAnsi="Arial"/>
          <w:sz w:val="18"/>
          <w:szCs w:val="18"/>
          <w:color w:val="auto"/>
        </w:rPr>
        <w:t>RANO) criteria. The IRC analyses are statistically equivalent with and confirm previously reported results. The primary endpoint of the study, progression-free survival at six months (PFS6), was met, and a clear advantage was demonstrated across multiple, clinically important endpoints including overall survival (OS), long-term progression-free survival, objective response rate (ORR) and need for steroids. We continue to follow patients for long-term survival and expect to update these numbers by year-end at an appropriate scientific conference.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Data</w:t>
      </w:r>
    </w:p>
    <w:p>
      <w:pPr>
        <w:spacing w:after="0" w:line="225" w:lineRule="exact"/>
        <w:rPr>
          <w:sz w:val="20"/>
          <w:szCs w:val="20"/>
          <w:color w:val="auto"/>
        </w:rPr>
      </w:pPr>
    </w:p>
    <w:p>
      <w:pPr>
        <w:ind w:left="980" w:right="220" w:hanging="324"/>
        <w:spacing w:after="0" w:line="266"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PFS6: </w:t>
      </w:r>
      <w:r>
        <w:rPr>
          <w:rFonts w:ascii="Arial" w:cs="Arial" w:eastAsia="Arial" w:hAnsi="Arial"/>
          <w:sz w:val="18"/>
          <w:szCs w:val="18"/>
          <w:color w:val="auto"/>
        </w:rPr>
        <w:t>The primary endpoint of the study, PFS6, was met. In the ITT population, 28% of patients on the Rintega arm were progression free at</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compared to 16% of patients on the control arm (p=0.1163). In the PP population, 30% of patients on the Rintega arm were progression free at six months compared to 12% of patients on the control arm (p=0.0310).</w:t>
      </w:r>
    </w:p>
    <w:p>
      <w:pPr>
        <w:spacing w:after="0" w:line="176" w:lineRule="exact"/>
        <w:rPr>
          <w:rFonts w:ascii="Arial" w:cs="Arial" w:eastAsia="Arial" w:hAnsi="Arial"/>
          <w:sz w:val="18"/>
          <w:szCs w:val="18"/>
          <w:color w:val="auto"/>
        </w:rPr>
      </w:pPr>
    </w:p>
    <w:p>
      <w:pPr>
        <w:jc w:val="both"/>
        <w:ind w:left="980" w:right="100" w:hanging="324"/>
        <w:spacing w:after="0" w:line="303"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The ITT population OS demonstrated a statistically significant benefit (p=0.0386) with a hazard ratio of 0.57 (0.33, 0.98) in favor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Rintega treated patients. Median OS was 11.6 months for patients treated with Rintega compared to 9.3 months for control patients. The PP population OS demonstrated a statistically significant benefit (p=0.0244) with a hazard ratio of 0.53 (0.30, 0.93) in favor of the Rintega treated patients. Median OS was 10.9 months for patients treated with Rintega compared to 8.5 months for control patients.</w:t>
      </w:r>
    </w:p>
    <w:p>
      <w:pPr>
        <w:spacing w:after="0" w:line="151" w:lineRule="exact"/>
        <w:rPr>
          <w:rFonts w:ascii="Arial" w:cs="Arial" w:eastAsia="Arial" w:hAnsi="Arial"/>
          <w:sz w:val="16"/>
          <w:szCs w:val="16"/>
          <w:color w:val="auto"/>
        </w:rPr>
      </w:pPr>
    </w:p>
    <w:p>
      <w:pPr>
        <w:ind w:left="980" w:right="120" w:hanging="324"/>
        <w:spacing w:after="0" w:line="258"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Response Rate: </w:t>
      </w:r>
      <w:r>
        <w:rPr>
          <w:rFonts w:ascii="Arial" w:cs="Arial" w:eastAsia="Arial" w:hAnsi="Arial"/>
          <w:sz w:val="18"/>
          <w:szCs w:val="18"/>
          <w:color w:val="auto"/>
        </w:rPr>
        <w:t>Nine out of 30 evaluable ITT patients (30%) on the Rintega arm experienced a confirmed objective response versus six out of</w:t>
      </w:r>
      <w:r>
        <w:rPr>
          <w:rFonts w:ascii="Arial" w:cs="Arial" w:eastAsia="Arial" w:hAnsi="Arial"/>
          <w:sz w:val="18"/>
          <w:szCs w:val="18"/>
          <w:b w:val="1"/>
          <w:bCs w:val="1"/>
          <w:color w:val="auto"/>
        </w:rPr>
        <w:t xml:space="preserve"> </w:t>
      </w:r>
      <w:r>
        <w:rPr>
          <w:rFonts w:ascii="Arial" w:cs="Arial" w:eastAsia="Arial" w:hAnsi="Arial"/>
          <w:sz w:val="18"/>
          <w:szCs w:val="18"/>
          <w:color w:val="auto"/>
        </w:rPr>
        <w:t>34 evaluable patients (18%) on the control arm. Nine out of 29 evaluable PP patients (31%) on the Rintega arm experienced a confirmed objective response versus five out of 32 evaluable patients (16%) on the control arm. Five patients on the Rintega arm experienced durable responses greater than six months, and three of these patients experienced durable responses greater than one year (range of 14.8+ to 18.4+ months). In contrast, only one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patient on the control arm experienced a durable response greater than six months, and none experienced a response greater than one year.</w:t>
      </w:r>
    </w:p>
    <w:p>
      <w:pPr>
        <w:spacing w:after="0" w:line="244" w:lineRule="exact"/>
        <w:rPr>
          <w:sz w:val="20"/>
          <w:szCs w:val="20"/>
          <w:color w:val="auto"/>
        </w:rPr>
      </w:pPr>
    </w:p>
    <w:p>
      <w:pPr>
        <w:ind w:left="980" w:right="20" w:hanging="324"/>
        <w:spacing w:after="0" w:line="303"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Steroid Use: </w:t>
      </w:r>
      <w:r>
        <w:rPr>
          <w:rFonts w:ascii="Arial" w:cs="Arial" w:eastAsia="Arial" w:hAnsi="Arial"/>
          <w:sz w:val="16"/>
          <w:szCs w:val="16"/>
          <w:color w:val="auto"/>
        </w:rPr>
        <w:t>Further emphasizing the level of disease control, 56% of patients on the Rintega arm who were on steroids at the start of treatment</w:t>
      </w:r>
      <w:r>
        <w:rPr>
          <w:rFonts w:ascii="Arial" w:cs="Arial" w:eastAsia="Arial" w:hAnsi="Arial"/>
          <w:sz w:val="16"/>
          <w:szCs w:val="16"/>
          <w:b w:val="1"/>
          <w:bCs w:val="1"/>
          <w:color w:val="auto"/>
        </w:rPr>
        <w:t xml:space="preserve"> </w:t>
      </w:r>
      <w:r>
        <w:rPr>
          <w:rFonts w:ascii="Arial" w:cs="Arial" w:eastAsia="Arial" w:hAnsi="Arial"/>
          <w:sz w:val="16"/>
          <w:szCs w:val="16"/>
          <w:color w:val="auto"/>
        </w:rPr>
        <w:t>were able to stop steroids during treatment versus 42% on the control arm, and 44% of patients on the Rintega arm were able to stop steroids for at least two months during treatment versus only 21% on the control arm. Six patients on the Rintega arm were able to stop steroids for more than six months, and of these, three were able to stop for more than one year versus none on the control arm for either time point.</w:t>
      </w:r>
    </w:p>
    <w:p>
      <w:pPr>
        <w:spacing w:after="0" w:line="151" w:lineRule="exact"/>
        <w:rPr>
          <w:rFonts w:ascii="Arial" w:cs="Arial" w:eastAsia="Arial" w:hAnsi="Arial"/>
          <w:sz w:val="16"/>
          <w:szCs w:val="16"/>
          <w:color w:val="auto"/>
        </w:rPr>
      </w:pPr>
    </w:p>
    <w:p>
      <w:pPr>
        <w:ind w:left="980" w:right="140" w:hanging="324"/>
        <w:spacing w:after="0" w:line="266"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Immune Response: </w:t>
      </w:r>
      <w:r>
        <w:rPr>
          <w:rFonts w:ascii="Arial" w:cs="Arial" w:eastAsia="Arial" w:hAnsi="Arial"/>
          <w:sz w:val="18"/>
          <w:szCs w:val="18"/>
          <w:color w:val="auto"/>
        </w:rPr>
        <w:t>Rapid generation of anti-EGFRvIII humoral response correlated with longer survival, though even those with slower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immune responses benefitted. No patient in the control arm had detectable EGFRvIII specific antibody response. This effect is consistent with Rintega’s proposed mechanism of action as a targeted immunotherapeutic vaccine.</w:t>
      </w:r>
    </w:p>
    <w:p>
      <w:pPr>
        <w:spacing w:after="0" w:line="176" w:lineRule="exact"/>
        <w:rPr>
          <w:rFonts w:ascii="Arial" w:cs="Arial" w:eastAsia="Arial" w:hAnsi="Arial"/>
          <w:sz w:val="18"/>
          <w:szCs w:val="18"/>
          <w:color w:val="auto"/>
        </w:rPr>
      </w:pPr>
    </w:p>
    <w:p>
      <w:pPr>
        <w:ind w:left="980" w:right="460" w:hanging="324"/>
        <w:spacing w:after="0" w:line="266"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Subgroup analyses, including performance status, steroid use and recent resection, favor Rintega treatment. Rintega was very well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without additive toxicity to Avastin. In Group 2/2C, evidence of rare but prominent tumor regression was reported with an 11% objective response rate observed in this heavily pretreated, refractory patient population.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w:t>
      </w:r>
      <w:r>
        <w:rPr>
          <w:rFonts w:ascii="Arial" w:cs="Arial" w:eastAsia="Arial" w:hAnsi="Arial"/>
          <w:sz w:val="22"/>
          <w:szCs w:val="22"/>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86"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 free at 12 weeks, was met as 9 of 26 (35%) evaluable patients were progression-free at 12 weeks.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5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at least 25% of tumor cells) and in patients with triple negative breast cancer. The OS and PFS of patients treated with</w:t>
      </w:r>
    </w:p>
    <w:p>
      <w:pPr>
        <w:sectPr>
          <w:pgSz w:w="11900" w:h="16838" w:orient="portrait"/>
          <w:cols w:equalWidth="0" w:num="1">
            <w:col w:w="11400"/>
          </w:cols>
          <w:pgMar w:left="240" w:top="125" w:right="259" w:bottom="0" w:gutter="0" w:footer="0" w:header="0"/>
        </w:sectPr>
      </w:pPr>
    </w:p>
    <w:bookmarkStart w:id="12" w:name="page13"/>
    <w:bookmarkEnd w:id="12"/>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glembatumumab vedotin was also observed to be greatest in patients with triple negative breast cancer who also over-express gpNMB and all patients with gpNMB over-expression.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28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gpNMB Over-Expression</w:t>
            </w:r>
          </w:p>
        </w:tc>
        <w:tc>
          <w:tcPr>
            <w:tcW w:w="1920" w:type="dxa"/>
            <w:vAlign w:val="bottom"/>
            <w:gridSpan w:val="3"/>
          </w:tcPr>
          <w:p>
            <w:pPr>
              <w:jc w:val="center"/>
              <w:ind w:left="1044"/>
              <w:spacing w:after="0" w:line="149" w:lineRule="exact"/>
              <w:rPr>
                <w:sz w:val="20"/>
                <w:szCs w:val="20"/>
                <w:color w:val="auto"/>
              </w:rPr>
            </w:pPr>
            <w:r>
              <w:rPr>
                <w:rFonts w:ascii="Arial" w:cs="Arial" w:eastAsia="Arial" w:hAnsi="Arial"/>
                <w:sz w:val="14"/>
                <w:szCs w:val="14"/>
                <w:b w:val="1"/>
                <w:bCs w:val="1"/>
                <w:color w:val="auto"/>
                <w:w w:val="97"/>
              </w:rPr>
              <w:t>and gpNMB</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3280" w:type="dxa"/>
            <w:vAlign w:val="bottom"/>
            <w:gridSpan w:val="4"/>
            <w:vMerge w:val="continue"/>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glembatumumab</w:t>
            </w:r>
          </w:p>
        </w:tc>
        <w:tc>
          <w:tcPr>
            <w:tcW w:w="1100" w:type="dxa"/>
            <w:vAlign w:val="bottom"/>
            <w:tcBorders>
              <w:top w:val="single" w:sz="8" w:color="auto"/>
            </w:tcBorders>
          </w:tcPr>
          <w:p>
            <w:pPr>
              <w:jc w:val="center"/>
              <w:ind w:right="202"/>
              <w:spacing w:after="0" w:line="119" w:lineRule="exact"/>
              <w:rPr>
                <w:sz w:val="20"/>
                <w:szCs w:val="20"/>
                <w:color w:val="auto"/>
              </w:rPr>
            </w:pPr>
            <w:r>
              <w:rPr>
                <w:rFonts w:ascii="Arial" w:cs="Arial" w:eastAsia="Arial" w:hAnsi="Arial"/>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vedotin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Choice</w:t>
            </w: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vedotin</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182"/>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gridSpan w:val="3"/>
            <w:vMerge w:val="restart"/>
          </w:tcPr>
          <w:p>
            <w:pPr>
              <w:jc w:val="center"/>
              <w:ind w:right="931"/>
              <w:spacing w:after="0"/>
              <w:rPr>
                <w:sz w:val="20"/>
                <w:szCs w:val="20"/>
                <w:color w:val="auto"/>
              </w:rPr>
            </w:pPr>
            <w:r>
              <w:rPr>
                <w:rFonts w:ascii="Arial" w:cs="Arial" w:eastAsia="Arial" w:hAnsi="Arial"/>
                <w:sz w:val="14"/>
                <w:szCs w:val="14"/>
                <w:b w:val="1"/>
                <w:bCs w:val="1"/>
                <w:color w:val="auto"/>
                <w:w w:val="97"/>
              </w:rPr>
              <w:t>gpNMB</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5"/>
              </w:rPr>
              <w:t>Triple Negative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3"/>
          </w:tcPr>
          <w:p>
            <w:pPr>
              <w:jc w:val="center"/>
              <w:ind w:left="1041"/>
              <w:spacing w:after="0" w:line="149" w:lineRule="exact"/>
              <w:rPr>
                <w:sz w:val="20"/>
                <w:szCs w:val="20"/>
                <w:color w:val="auto"/>
              </w:rPr>
            </w:pPr>
            <w:r>
              <w:rPr>
                <w:rFonts w:ascii="Arial" w:cs="Arial" w:eastAsia="Arial" w:hAnsi="Arial"/>
                <w:sz w:val="14"/>
                <w:szCs w:val="14"/>
                <w:b w:val="1"/>
                <w:bCs w:val="1"/>
                <w:color w:val="auto"/>
                <w:w w:val="97"/>
              </w:rPr>
              <w:t>and gpNMB</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4"/>
          </w:tcPr>
          <w:p>
            <w:pPr>
              <w:jc w:val="center"/>
              <w:ind w:left="220"/>
              <w:spacing w:after="0"/>
              <w:rPr>
                <w:sz w:val="20"/>
                <w:szCs w:val="20"/>
                <w:color w:val="auto"/>
              </w:rPr>
            </w:pPr>
            <w:r>
              <w:rPr>
                <w:rFonts w:ascii="Arial" w:cs="Arial" w:eastAsia="Arial" w:hAnsi="Arial"/>
                <w:sz w:val="14"/>
                <w:szCs w:val="14"/>
                <w:b w:val="1"/>
                <w:bCs w:val="1"/>
                <w:color w:val="auto"/>
                <w:w w:val="92"/>
              </w:rPr>
              <w:t>Over-Expression</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Over-Expression</w:t>
            </w: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Borders>
              <w:top w:val="single" w:sz="8" w:color="auto"/>
            </w:tcBorders>
          </w:tcPr>
          <w:p>
            <w:pPr>
              <w:jc w:val="center"/>
              <w:ind w:left="10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rPr>
              <w:t>Investigator</w:t>
            </w: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right="300"/>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left="80"/>
              <w:spacing w:after="0"/>
              <w:rPr>
                <w:sz w:val="20"/>
                <w:szCs w:val="20"/>
                <w:color w:val="auto"/>
              </w:rPr>
            </w:pPr>
            <w:r>
              <w:rPr>
                <w:rFonts w:ascii="Arial" w:cs="Arial" w:eastAsia="Arial" w:hAnsi="Arial"/>
                <w:sz w:val="14"/>
                <w:szCs w:val="14"/>
                <w:b w:val="1"/>
                <w:bCs w:val="1"/>
                <w:color w:val="auto"/>
                <w:w w:val="92"/>
              </w:rPr>
              <w:t>vedotin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left="231"/>
              <w:spacing w:after="0"/>
              <w:rPr>
                <w:sz w:val="20"/>
                <w:szCs w:val="20"/>
                <w:color w:val="auto"/>
              </w:rPr>
            </w:pPr>
            <w:r>
              <w:rPr>
                <w:rFonts w:ascii="Arial" w:cs="Arial" w:eastAsia="Arial" w:hAnsi="Arial"/>
                <w:sz w:val="14"/>
                <w:szCs w:val="14"/>
                <w:b w:val="1"/>
                <w:bCs w:val="1"/>
                <w:color w:val="auto"/>
                <w:w w:val="89"/>
              </w:rPr>
              <w:t>Choice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vedotin</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left="80"/>
              <w:spacing w:after="0"/>
              <w:rPr>
                <w:sz w:val="20"/>
                <w:szCs w:val="20"/>
                <w:color w:val="auto"/>
              </w:rPr>
            </w:pPr>
            <w:r>
              <w:rPr>
                <w:rFonts w:ascii="Arial" w:cs="Arial" w:eastAsia="Arial" w:hAnsi="Arial"/>
                <w:sz w:val="18"/>
                <w:szCs w:val="18"/>
                <w:color w:val="auto"/>
                <w:w w:val="87"/>
              </w:rPr>
              <w:t>2.7</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100"/>
              <w:spacing w:after="0"/>
              <w:rPr>
                <w:sz w:val="20"/>
                <w:szCs w:val="20"/>
                <w:color w:val="auto"/>
              </w:rPr>
            </w:pPr>
            <w:r>
              <w:rPr>
                <w:rFonts w:ascii="Arial" w:cs="Arial" w:eastAsia="Arial" w:hAnsi="Arial"/>
                <w:sz w:val="18"/>
                <w:szCs w:val="18"/>
                <w:color w:val="auto"/>
                <w:w w:val="93"/>
              </w:rPr>
              <w:t>p=0.14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1"/>
              </w:rPr>
              <w:t>p=0.008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Median OS (months)</w:t>
            </w:r>
          </w:p>
        </w:tc>
        <w:tc>
          <w:tcPr>
            <w:tcW w:w="1540" w:type="dxa"/>
            <w:vAlign w:val="bottom"/>
            <w:gridSpan w:val="2"/>
          </w:tcPr>
          <w:p>
            <w:pPr>
              <w:jc w:val="center"/>
              <w:ind w:left="330"/>
              <w:spacing w:after="0" w:line="201" w:lineRule="exact"/>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5.7</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left="100"/>
              <w:spacing w:after="0"/>
              <w:rPr>
                <w:sz w:val="20"/>
                <w:szCs w:val="20"/>
                <w:color w:val="auto"/>
              </w:rPr>
            </w:pPr>
            <w:r>
              <w:rPr>
                <w:rFonts w:ascii="Arial" w:cs="Arial" w:eastAsia="Arial" w:hAnsi="Arial"/>
                <w:sz w:val="18"/>
                <w:szCs w:val="18"/>
                <w:color w:val="auto"/>
                <w:w w:val="93"/>
              </w:rPr>
              <w:t>p=0.18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right="600"/>
              <w:spacing w:after="0"/>
              <w:rPr>
                <w:sz w:val="20"/>
                <w:szCs w:val="20"/>
                <w:color w:val="auto"/>
              </w:rPr>
            </w:pPr>
            <w:r>
              <w:rPr>
                <w:rFonts w:ascii="Arial" w:cs="Arial" w:eastAsia="Arial" w:hAnsi="Arial"/>
                <w:sz w:val="18"/>
                <w:szCs w:val="18"/>
                <w:color w:val="auto"/>
                <w:w w:val="91"/>
              </w:rPr>
              <w:t>p=0.003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 To-date, 95 sites are open to enrollment across the United States, Canada and Australia. The study was originally designed to obtain accelerated approval. Feedback from clinical investigators conducting the study indicated that the eligibility criteria for study entry were limiting their ability to enroll patients they felt were clinically appropriate on study. In addition, we had spoken to country-specific members of the European Medicines Agency, or EMA, and believed a significant opportunity existed to expand the study into the EU. Based on these factors, in the fourth quarter of 2014, we amended the METRIC study and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the second half of 2016.</w:t>
      </w:r>
    </w:p>
    <w:p>
      <w:pPr>
        <w:spacing w:after="0" w:line="16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December 2014, we initiated a single arm, open-label Phase 2 study of glembatumumab vedotin in patients with unresectable Stage III or IV melanoma. The study is expected to include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 whether the anticancer activity of glembatumumab vedotin is dependent upon the degree of gpNMB expression in tumor tissue and safety.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We have completed the assay optimization and validation for a Phase 2 study in squamous cell lung cancer and expect the study will commence in the second half of 2015. We have also entered into a Cooperative Research and Development Agreement, or CRADA, with the National Cancer Institute, or NCI, under which NCI will sponsor two studies of glembatumumab vedotin—one in uveal melanoma and one in pediatric osteosarcoma.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w:t>
      </w:r>
    </w:p>
    <w:p>
      <w:pPr>
        <w:sectPr>
          <w:pgSz w:w="11900" w:h="16925" w:orient="portrait"/>
          <w:cols w:equalWidth="0" w:num="1">
            <w:col w:w="11420"/>
          </w:cols>
          <w:pgMar w:left="240" w:top="125" w:right="239" w:bottom="0" w:gutter="0" w:footer="0" w:header="0"/>
        </w:sectPr>
      </w:pPr>
    </w:p>
    <w:bookmarkStart w:id="13" w:name="page14"/>
    <w:bookmarkEnd w:id="13"/>
    <w:p>
      <w:pPr>
        <w:spacing w:after="0" w:line="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An expansion cohort has also been added at 0.3mg/kg dosed once every three weeks in patients with Hodgkin Lymphoma (n=15).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 response in renal cell carcinoma. Thirteen patients experienced stable disease with a range of 3-30.7+ months to-date. Based on the results observed in hematologic malignancies, an expansion cohort has been added to enroll up to 15 patients with Hodgkin Lymphoma and an abbreviated dose escalation in T cell hematologic malignancies is ongoing.</w:t>
      </w:r>
    </w:p>
    <w:p>
      <w:pPr>
        <w:spacing w:after="0" w:line="178"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color w:val="auto"/>
        </w:rPr>
        <w:t>In May 2014, we entered into a clinical trial collaboration with Bristol-Myers Squibb Company, or BMS, to evaluate the safety, tolerability and preliminary efficacy of varlilumab and Opdivo</w:t>
      </w:r>
      <w:r>
        <w:rPr>
          <w:rFonts w:ascii="Arial" w:cs="Arial" w:eastAsia="Arial" w:hAnsi="Arial"/>
          <w:sz w:val="20"/>
          <w:szCs w:val="20"/>
          <w:color w:val="auto"/>
          <w:vertAlign w:val="superscript"/>
        </w:rPr>
        <w:t>®</w:t>
      </w:r>
      <w:r>
        <w:rPr>
          <w:rFonts w:ascii="Arial" w:cs="Arial" w:eastAsia="Arial" w:hAnsi="Arial"/>
          <w:sz w:val="16"/>
          <w:szCs w:val="16"/>
          <w:color w:val="auto"/>
        </w:rPr>
        <w:t>, BMS’s PD-1 immune checkpoint inhibitor, in a Phase 1/2 study. Under the terms of this clinical trial collaboration, BMS made a one-time payment to us of $5.0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Phase 1/2 study was initiated in January of 2015 and is being conducted in adult patients with advanced non-small cell lung cancer, metastatic melanoma, colorectal cancer, ovarian cancer, and head and neck squamous cell carcinoma. The Phase 1 dose-escalation portion of the study will assess the safety and tolerability of varlilumab at varying doses when administered with Opdivo. Following dose escalation, a Phase 2 portion of the study will include five disease specific cohorts. The primary objective of the Phase 2 study is overall response rate. Secondary objectives include pharmacokinetics assessments, determining the immunogenicity of varlilumab when given in combination with Opdivo and further assessing the anti-tumor activity of combination treatment.</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2014, we also entered into a clinical trial collaboration with Oncothyreon Inc. to evaluate the safety, tolerability and preliminary efficacy of varlilumab and ONT-10, Oncothyreon’s therapeutic vaccine targeting the tumor-associated antigen MUC1, in a Phase 1b study. Under the terms of the clinical trial collaboration, the Phase 1b trial will be conducted and funded by Oncothyreon. Both companies will jointly own the data from the trial and will make any plans for potential future development of the combination therapy together. The Phase 1b study was initiated in November 2014 and is being conducted in up to 42 patients with advanced breast or ovarian cancer. The primary objective of the trial is to determine the safety and tolerability of the combined therapy. Additional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objectives include evaluations of the impact of combination treatment on MUC1-specific humoral and cellular immune responses, T-cell activation markers and levels of regulatory T- cells, and anti-tumor effects.</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March 2015, we entered into a clinical trial collaboration with Roche to evaluate the safety, tolerability and preliminary efficacy of varlilumab and MPDL3280A (anti-PDL1), Roche’s investigational cancer immunotherapy in a Phase 1/2 study in renal cell carcinoma. Under the terms of this agreement, Roche will provide study drug and we will be responsible for conducting and funding the study, which is expected to begin in the second half of 2015.</w:t>
      </w:r>
    </w:p>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April 2015, we initiated a Phase 1/2 safety pilot and expansion study examining the combination of varlilumab and Yervoy® in patients with Stage III or IV metastatic melanoma. In the Phase 2 portion of the study, patients with tumors that express NY-ESO-1 will also receive CDX-1401. The Phase 1 portion of the study will assess the study will assess the safety and tolerability of varlilumab at varying doses when administered with ipilimumab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ipilimumab. The primary objective for both cohorts is objective response rate up to 24 weeks (ORR6). Secondary objectives for the Phase 2 study include safety and tolerability, immunogenicity, pharmacokinetics and further assessment of anti-tumor activity across a broad range of endpoints.</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In May 2015, we initiated a Phase 1/2 safety and tolerability study examining the combination of varlilumab and sunitinib (Sutent</w:t>
      </w:r>
      <w:r>
        <w:rPr>
          <w:rFonts w:ascii="Arial" w:cs="Arial" w:eastAsia="Arial" w:hAnsi="Arial"/>
          <w:sz w:val="20"/>
          <w:szCs w:val="20"/>
          <w:color w:val="auto"/>
          <w:vertAlign w:val="superscript"/>
        </w:rPr>
        <w:t>®</w:t>
      </w:r>
      <w:r>
        <w:rPr>
          <w:rFonts w:ascii="Arial" w:cs="Arial" w:eastAsia="Arial" w:hAnsi="Arial"/>
          <w:sz w:val="16"/>
          <w:szCs w:val="16"/>
          <w:color w:val="auto"/>
        </w:rPr>
        <w: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w:t>
      </w:r>
    </w:p>
    <w:p>
      <w:pPr>
        <w:spacing w:after="0" w:line="17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Efforts are underway to finalize designs and plans for additional Phase 2 combination studies of varlilumab, including but not limited to a Phase 1/2 study of varlilumab plus a MEK pathway agent, followed sequentially by a checkpoint inhibitor, for patients with B-Raf mutated metastatic melanoma. In addition to our sponsored studies and clinical trial collaborations, we anticipate that varlilumab’s potential activity will also be explored in investigator sponsored studies at various academic institutions.</w:t>
      </w:r>
    </w:p>
    <w:p>
      <w:pPr>
        <w:sectPr>
          <w:pgSz w:w="11900" w:h="16845"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CDX-1401, developed from our APC Targeting Technology, is an antibody-based NY-ESO-1-specific therapeutic vaccine for multiple solid tumors. The vaccine, which is administered with an adjuvant, is composed of the cancer-specific antigen NY-ESO-1 fused to a fully human antibody that binds to DEC-205 for efficient delivery to dendritic cells. Delivery of tumor-specific proteins directly to dendritic cells in vivo elicits potent, broad, anti-tumor immune responses across populations with different genetic backgrounds. In humans, NY-ESO-1 has been detected in 20%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6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Phase 1 study identified a well-tolerated and immunogenic regimen to take forward into future studies. A Phase 2 study of CDX-1401 in combination with CDX-301 in metastatic melanoma is being conducted by the Cancer Immunotherapy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Network under a CRADA with the Cancer Therapy Evaluation Program of the NCI and is ongoing.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w:t>
      </w:r>
      <w:r>
        <w:rPr>
          <w:rFonts w:ascii="Arial" w:cs="Arial" w:eastAsia="Arial" w:hAnsi="Arial"/>
          <w:sz w:val="20"/>
          <w:szCs w:val="20"/>
          <w:color w:val="auto"/>
          <w:vertAlign w:val="superscript"/>
        </w:rPr>
        <w:t>®</w:t>
      </w:r>
      <w:r>
        <w:rPr>
          <w:rFonts w:ascii="Arial" w:cs="Arial" w:eastAsia="Arial" w:hAnsi="Arial"/>
          <w:sz w:val="16"/>
          <w:szCs w:val="16"/>
          <w:color w:val="auto"/>
        </w:rPr>
        <w:t>. In addition to our sponsored studies and clinical trial collaborations, we anticipate that CDX-301’s potential activity will also be explored in investigator sponsored studies at various academic institutions.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CDX-014 is a fully-human monoclonal ADC that targets T-cell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expect to complete manufacturing and IND-enabling studies by the end of 2015 to support the initiation of Phase 1 clinical studies in renal cell carcinoma and potentially other TIM-1 expressing tumors in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 for the year ended December 31, 2014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with Three Months Ended June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c>
          <w:tcPr>
            <w:tcW w:w="178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78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5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ind w:left="1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1,452</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r>
        <w:trPr>
          <w:trHeight w:val="25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268%</w:t>
            </w:r>
          </w:p>
        </w:tc>
      </w:tr>
      <w:tr>
        <w:trPr>
          <w:trHeight w:val="170"/>
        </w:trPr>
        <w:tc>
          <w:tcPr>
            <w:tcW w:w="4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26,490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24,100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2,390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3,397</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(28,549)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4,201</w:t>
            </w:r>
          </w:p>
        </w:tc>
        <w:tc>
          <w:tcPr>
            <w:tcW w:w="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Borders>
              <w:bottom w:val="single" w:sz="8" w:color="auto"/>
            </w:tcBorders>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$4.1 million increase in net loss for the three months ended June 30, 2015 compared to the three months ended June 30, 2014 was primarily the result of an increase in research and development and general and administrative expenses, partially offset by an increase in contracts and grants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$0.1 million increase in product development and licensing agreements revenue for the three months ended June 30, 2015 compared to the three months ended June 30, 2014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$1.5 million increase in contracts and grants revenue for the three months ended June 30, 2015 compared to the three months ended June 30, 2014 was primarily related to our Rockefeller University agreement pursuant to which we perform research and development services for Rockefeller.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7,227</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2,396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1,264</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845</w:t>
            </w:r>
          </w:p>
        </w:tc>
        <w:tc>
          <w:tcPr>
            <w:tcW w:w="46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419</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1,423</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65</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17"/>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14,922</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15,871</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(949)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$2.4 million increase in personnel expenses for the three months ended June 30, 2015 compared to the three months ended June 30, 2014 was primarily due to higher stock-based compensation of $0.5 million and increased headcount. We expect personnel expenses to increase over the next twelve months as we plan to continue to increase our headcount, primarily to support our Rintega, glembatumumab vedotin and varlilumab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$0.4 million increase in laboratory supply expense for the three months ended June 30, 2015 compared to the three months ended June 30, 2014 was primarily due to higher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$0.1 million increase in facility expenses for the three months ended June 30, 2015 compared to the three months ended June 30, 2014 was primarily due to an increase in depreciation and amortization expense. We expect facility expenses to increase over the next twelve months as a result of us leasing addition space at our headquarters in Hampton, NJ.</w:t>
      </w:r>
    </w:p>
    <w:p>
      <w:pPr>
        <w:spacing w:after="0" w:line="1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License fee expenses include annual license maintenance fees and milestone payments due upon the achievement of certain development, regulatory and/or commercial milestones. License fee expenses for the three months ended June 30, 2015 were relatively consistent compared to the three months ended June 30, 2014. We expect license fee expense to remain relatively consistent over the next twelve months, although there may be fluctuations on a quarterly basis.</w:t>
      </w:r>
    </w:p>
    <w:p>
      <w:pPr>
        <w:sectPr>
          <w:pgSz w:w="11900" w:h="16838" w:orient="portrait"/>
          <w:cols w:equalWidth="0" w:num="1">
            <w:col w:w="11420"/>
          </w:cols>
          <w:pgMar w:left="240" w:top="368" w:right="239" w:bottom="0" w:gutter="0" w:footer="0" w:header="0"/>
        </w:sectPr>
      </w:pPr>
    </w:p>
    <w:bookmarkStart w:id="16" w:name="page17"/>
    <w:bookmarkEnd w:id="16"/>
    <w:p>
      <w:pPr>
        <w:spacing w:after="0" w:line="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$0.9 million decrease in product development expenses for the three months ended June 30, 2015 compared to the three months ended June 30, 2014 was primarily the result of a decrease in contract manufacturing costs of $2.1 million, partially offset by increases in clinical trial and contract research costs of $0.8 million and $0.3 million, respectively. We expect product development expenses to remain relatively consistent over the next twelve months as continued decreases in ACT IV costs are offset by increases in our glembatumumab vedotin and varlilumab programs, although there may be fluctuations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$3.4 million increase in general and administrative expenses for the three months ended June 30, 2015 compared to the three months ended June 30, 2014 was primarily due to higher commercial personnel-related expenses as we prepare for potential product launch and an increase in Rintega and glembatumumab vedotin commercial planning costs. We expect general and administrative expense to increase over the next twelve months primarily due to increased commercial planning efforts for Rintega and glembatumumab vedotin, although there may be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Amortization expenses for the three months ended June 30, 2015 were relatively consistent compared to the three months ended June 30, 2014. We expect amortization expense of acquired intangible assets to remain relatively consistent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$0.1 million increase in investment and other income, net for the three months ended June 30, 2015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2014 was primarily due to higher cash and investment balances. We anticipate investment and other income to remain relatively consistent over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next twelve months.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with Six Months Ended June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3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164%</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51,615</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51,169</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4,904</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(63,731)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(60,037)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$4.4 million increase in net loss for the six months ended June 30, 2015 compared to the six months ended June 30, 2014 was primarily the result of an increase in general and administrative expenses, partially offset by an increase in contracts and grants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$0.4 million increase in product development and licensing agreements revenue for the six months ended June 30, 2015 compared to the six months ended June 30, 2014 was primarily related to our BMS agreement. The $1.2 million increase in contracts and grants revenue for the six months ended June 30, 2015 compared to the six months ended June 30, 2014 was primarily related to our Rockefeller University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13,773</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4,481</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2,429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760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2,768</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209</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209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17"/>
              <w:spacing w:after="0"/>
              <w:rPr>
                <w:sz w:val="20"/>
                <w:szCs w:val="20"/>
                <w:color w:val="auto"/>
              </w:rPr>
            </w:pPr>
            <w:r>
              <w:rPr>
                <w:rFonts w:ascii="Arial" w:cs="Arial" w:eastAsia="Arial" w:hAnsi="Arial"/>
                <w:sz w:val="18"/>
                <w:szCs w:val="18"/>
                <w:color w:val="auto"/>
              </w:rPr>
              <w:t>(2,474)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29,457</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33,024</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(3,567)</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both"/>
        <w:ind w:right="540" w:firstLine="648"/>
        <w:spacing w:after="0" w:line="277" w:lineRule="auto"/>
        <w:rPr>
          <w:sz w:val="20"/>
          <w:szCs w:val="20"/>
          <w:color w:val="auto"/>
        </w:rPr>
      </w:pPr>
      <w:r>
        <w:rPr>
          <w:rFonts w:ascii="Arial" w:cs="Arial" w:eastAsia="Arial" w:hAnsi="Arial"/>
          <w:sz w:val="18"/>
          <w:szCs w:val="18"/>
          <w:color w:val="auto"/>
        </w:rPr>
        <w:t>The $4.5 million increase in personnel expenses for the six months ended June 30, 2015 compared to the six months ended June 30, 2014 was primarily due to higher stock-based compensation of $1.2 million and increased headcount.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$0.8 million increase in laboratory supply expense for the six months ended June 30, 2015 compared to the six months ended June 30, 2014 was primarily due to higher manufacturing supply purchases.</w:t>
      </w:r>
    </w:p>
    <w:p>
      <w:pPr>
        <w:sectPr>
          <w:pgSz w:w="11900" w:h="16929" w:orient="portrait"/>
          <w:cols w:equalWidth="0" w:num="1">
            <w:col w:w="11420"/>
          </w:cols>
          <w:pgMar w:left="240" w:top="341" w:right="239" w:bottom="0" w:gutter="0" w:footer="0" w:header="0"/>
        </w:sectPr>
      </w:pPr>
    </w:p>
    <w:bookmarkStart w:id="17" w:name="page18"/>
    <w:bookmarkEnd w:id="17"/>
    <w:p>
      <w:pPr>
        <w:spacing w:after="0" w:line="1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$0.2 million increase in facility expenses for the six months ended June 30, 2015 compared to the six months ended June 30, 2014 was primarily due to an increase in depreciation and amortization expense.</w:t>
      </w:r>
    </w:p>
    <w:p>
      <w:pPr>
        <w:spacing w:after="0" w:line="170"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$2.5 million decrease in license fee expenses for the six months ended June 30, 2015 compared to the six months ended June 30, 2014 was due to the one-time $2.5 million milestone incurred and paid to Seattle Genetics during the six months ended June 30, 2014 as a result of the METRIC initiation.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$3.6 million decrease in product development expenses for the six months ended June 30, 2015 compared to the six months ended June 30, 2014 was primarily the result of a decrease in clinical trial costs and contract manufacturing of $2.3 million and $1.9 million, respectively, partially offset by increases in contract research costs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$4.9 million increase in general and administrative expenses for the six months ended June 30, 2015 compared to the six months ended June 30, 2014 was primarily due to higher commercial personnel-related expenses as we prepare for potential product launch and an increase in Rintega and glembatumumab vedotin commercial planning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expenses for the six months ended June 30, 2015 was relatively consistent as compared to the six months ended June 30,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$0.7 million decrease in investment and other income, net for the six months ended June 30, 2015 compared to the six months ended June 30, 2014 was primarily due to $1.0 million received in February 2014 in connection with our TopoTarget agreement and us recognizing $0.6 million and $0.4 million in other income related to the sale of New Jersey tax benefits during the six months ended June 30, 2015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At June 30, 2015, our principal sources of liquidity consisted of cash, cash equivalents and marketable securities of $334.0 million. We incurred a loss of $62.5 million for the six months ended June 30, 2015. Net cash used in operations for the six months ended June 30, 2015 was $57.4 million. We believe that the cash, cash equivalents and marketable securities at June 30, 2015 are sufficient to meet estimated working capital requirements and fund planned operations through 2017, however, this could be impacted by our clinical data results from our Rintega program and their impact on our pace of commercial manufacturing and the rate of expansion of our commercial operations.</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used in operating activities was $57.4 million for the six months ended June 30, 2015 compared to $52.7 million for the six months ended June 30, 2014. The increase in net cash used in operating activities was primarily due to an increase in net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$4.4 million and changes in working capital. We expect that cash used in operating activities will increase over the next twelve months primarily related to costs incurred on our Rintega, glembatumumab vedotin and varlilumab programs.</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w:t>
      </w:r>
    </w:p>
    <w:p>
      <w:pPr>
        <w:sectPr>
          <w:pgSz w:w="11900" w:h="16975" w:orient="portrait"/>
          <w:cols w:equalWidth="0" w:num="1">
            <w:col w:w="11400"/>
          </w:cols>
          <w:pgMar w:left="240" w:top="341" w:right="259" w:bottom="0" w:gutter="0" w:footer="0" w:header="0"/>
        </w:sectPr>
      </w:pPr>
    </w:p>
    <w:bookmarkStart w:id="18" w:name="page19"/>
    <w:bookmarkEnd w:id="18"/>
    <w:p>
      <w:pPr>
        <w:ind w:right="400"/>
        <w:spacing w:after="0" w:line="277" w:lineRule="auto"/>
        <w:rPr>
          <w:sz w:val="20"/>
          <w:szCs w:val="20"/>
          <w:color w:val="auto"/>
        </w:rPr>
      </w:pPr>
      <w:r>
        <w:rPr>
          <w:rFonts w:ascii="Arial" w:cs="Arial" w:eastAsia="Arial" w:hAnsi="Arial"/>
          <w:sz w:val="18"/>
          <w:szCs w:val="18"/>
          <w:color w:val="auto"/>
        </w:rPr>
        <w:t>process as well as to develop additional drug candidates. As our drug candidates progress through the clinical trial process, we may be obligated to make significant milestone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$81.2 million for the six months ended June 30, 2015 compared to $76.7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2014. The increase in net cash used in investing activities was primarily due to net purchases of marketable securities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2015 of $78.1 million as compared to $75.6 million for the six months ended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Net cash provided by financing activities was $192.1 million for the six months ended June 30, 2015 compared to $0.9 million for the six months ended June 30, 2014. During the six months ended June 30, 2015, we issued 8,337,500 shares of our common stock in an underwritten public offering resulting in net proceeds to us of $188.8 million, after deducting underwriting fees and offering expenses. Net proceeds from stock issuances pursuant to employee benefit plans, were $3.3 million during the six months ended June 30, 2015 compared to $0.9 million for the six months ended June 30,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2014 which was filed with the SEC on February 24, 2015 have not materially changed since we filed that report.</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We do not utilize derivative financial instruments. The carrying amounts reflected in the balance sheet of cash and cash equivalents, accounts receivables and accounts payable approximates fair value at June 30, 2015 due to the short-term maturities of these instruments.</w:t>
      </w:r>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2015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2014,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February 24,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spacing w:after="0"/>
        <w:tabs>
          <w:tab w:leader="none" w:pos="59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Third Restated Certificate of Incorporation of the Company, incorporated by reference to Exhibit 3.1 of the Company’s Registration Statement</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on Form S-4 (Reg. No. 333-59215), filed July 16, 1998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280"/>
              <w:spacing w:after="0"/>
              <w:rPr>
                <w:sz w:val="20"/>
                <w:szCs w:val="20"/>
                <w:color w:val="auto"/>
              </w:rPr>
            </w:pPr>
            <w:r>
              <w:rPr>
                <w:rFonts w:ascii="Arial" w:cs="Arial" w:eastAsia="Arial" w:hAnsi="Arial"/>
                <w:sz w:val="18"/>
                <w:szCs w:val="18"/>
                <w:color w:val="auto"/>
                <w:w w:val="96"/>
              </w:rPr>
              <w:t>Certificate of Amendment of Third Restated Certificate of Incorporation of the Company, incorporated by reference to Exhibit 3.1 of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the Company’s Registration Statement on Form S-4 (Reg. No. 333-59215), filed July 16, 1998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Company’s Quarterly Report on Form 10-Q, filed May 10, 2002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tcPr>
          <w:p>
            <w:pPr>
              <w:ind w:left="28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Company’s Quarterly Report on Form 10-Q, filed November 10, 2008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Celldex Therapeutics, Inc. 2008 Stock Option and Incentive Plan, as amended and restated effective June 10, 2015, incorporated by reference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8"/>
              </w:rPr>
              <w:t>to Exhibit 10.1 to the Company’s current report on Form 8-K, filed on June 11, 2015 with the Securities and Exchange Commission.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280"/>
              <w:spacing w:after="0"/>
              <w:rPr>
                <w:sz w:val="20"/>
                <w:szCs w:val="20"/>
                <w:color w:val="auto"/>
              </w:rPr>
            </w:pPr>
            <w:r>
              <w:rPr>
                <w:rFonts w:ascii="Arial" w:cs="Arial" w:eastAsia="Arial" w:hAnsi="Arial"/>
                <w:sz w:val="18"/>
                <w:szCs w:val="18"/>
                <w:color w:val="auto"/>
              </w:rPr>
              <w:t>First Amendment to Lease Agreement between the Company and Crown Perryville, LLC dated as of June 17, 2015.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280"/>
              <w:spacing w:after="0"/>
              <w:rPr>
                <w:sz w:val="20"/>
                <w:szCs w:val="20"/>
                <w:color w:val="auto"/>
              </w:rPr>
            </w:pPr>
            <w:r>
              <w:rPr>
                <w:rFonts w:ascii="Arial" w:cs="Arial" w:eastAsia="Arial" w:hAnsi="Arial"/>
                <w:sz w:val="18"/>
                <w:szCs w:val="18"/>
                <w:color w:val="auto"/>
              </w:rPr>
              <w:t>Employment Agreement, dated as of July 1, 2015, by and between the Company and Richard Wright.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8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8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60" w:hanging="51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60" w:hanging="51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10, 2015</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10, 2015</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gridSpan w:val="2"/>
          </w:tcPr>
          <w:p>
            <w:pPr>
              <w:ind w:left="436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gridSpan w:val="2"/>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180" w:type="dxa"/>
            <w:vAlign w:val="bottom"/>
            <w:gridSpan w:val="2"/>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10180" w:type="dxa"/>
            <w:vAlign w:val="bottom"/>
            <w:gridSpan w:val="2"/>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4"/>
                <w:szCs w:val="14"/>
                <w:color w:val="auto"/>
              </w:rPr>
            </w:pPr>
          </w:p>
        </w:tc>
        <w:tc>
          <w:tcPr>
            <w:tcW w:w="10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6"/>
                <w:szCs w:val="16"/>
                <w:color w:val="auto"/>
              </w:rPr>
            </w:pPr>
          </w:p>
        </w:tc>
        <w:tc>
          <w:tcPr>
            <w:tcW w:w="10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5"/>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2"/>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9"/>
              </w:rPr>
              <w:t>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3.6</w:t>
            </w: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r>
      <w:tr>
        <w:trPr>
          <w:trHeight w:val="216"/>
        </w:trPr>
        <w:tc>
          <w:tcPr>
            <w:tcW w:w="88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3.7</w:t>
            </w: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88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Celldex Therapeutics, Inc. 2008 Stock Option and Incentive Plan, as amended and restated effective June 10, 2015, incorporated by</w:t>
            </w:r>
          </w:p>
        </w:tc>
      </w:tr>
      <w:tr>
        <w:trPr>
          <w:trHeight w:val="216"/>
        </w:trPr>
        <w:tc>
          <w:tcPr>
            <w:tcW w:w="88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w w:val="98"/>
              </w:rPr>
              <w:t>reference to Exhibit 10.1 to the Company’s current report on Form 8-K, filed on June 11, 2015 with the Securities and Exchange</w:t>
            </w:r>
          </w:p>
        </w:tc>
      </w:tr>
      <w:tr>
        <w:trPr>
          <w:trHeight w:val="216"/>
        </w:trPr>
        <w:tc>
          <w:tcPr>
            <w:tcW w:w="880" w:type="dxa"/>
            <w:vAlign w:val="bottom"/>
          </w:tcPr>
          <w:p>
            <w:pPr>
              <w:spacing w:after="0"/>
              <w:rPr>
                <w:sz w:val="18"/>
                <w:szCs w:val="18"/>
                <w:color w:val="auto"/>
              </w:rPr>
            </w:pPr>
          </w:p>
        </w:tc>
        <w:tc>
          <w:tcPr>
            <w:tcW w:w="10380" w:type="dxa"/>
            <w:vAlign w:val="bottom"/>
          </w:tcPr>
          <w:p>
            <w:pPr>
              <w:ind w:left="380"/>
              <w:spacing w:after="0"/>
              <w:rPr>
                <w:sz w:val="20"/>
                <w:szCs w:val="20"/>
                <w:color w:val="auto"/>
              </w:rPr>
            </w:pPr>
            <w:r>
              <w:rPr>
                <w:rFonts w:ascii="Arial" w:cs="Arial" w:eastAsia="Arial" w:hAnsi="Arial"/>
                <w:sz w:val="18"/>
                <w:szCs w:val="18"/>
                <w:color w:val="auto"/>
              </w:rPr>
              <w:t>Commission.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ind w:left="380"/>
              <w:spacing w:after="0"/>
              <w:rPr>
                <w:sz w:val="20"/>
                <w:szCs w:val="20"/>
                <w:color w:val="auto"/>
              </w:rPr>
            </w:pPr>
            <w:r>
              <w:rPr>
                <w:rFonts w:ascii="Arial" w:cs="Arial" w:eastAsia="Arial" w:hAnsi="Arial"/>
                <w:sz w:val="18"/>
                <w:szCs w:val="18"/>
                <w:color w:val="auto"/>
              </w:rPr>
              <w:t>First Amendment to Lease Agreement between the Company and Crown Perryville, LLC dated as of June 17, 2015</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tcPr>
          <w:p>
            <w:pPr>
              <w:ind w:left="380"/>
              <w:spacing w:after="0"/>
              <w:rPr>
                <w:sz w:val="20"/>
                <w:szCs w:val="20"/>
                <w:color w:val="auto"/>
              </w:rPr>
            </w:pPr>
            <w:r>
              <w:rPr>
                <w:rFonts w:ascii="Arial" w:cs="Arial" w:eastAsia="Arial" w:hAnsi="Arial"/>
                <w:sz w:val="18"/>
                <w:szCs w:val="18"/>
                <w:color w:val="auto"/>
              </w:rPr>
              <w:t>Employment Agreement, dated as of July 1, 2015, by and between the Company and Richard Wright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8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8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38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60" w:hanging="712"/>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712"/>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OF LEASE</w:t>
      </w:r>
    </w:p>
    <w:p>
      <w:pPr>
        <w:spacing w:after="0" w:line="225" w:lineRule="exact"/>
        <w:rPr>
          <w:sz w:val="20"/>
          <w:szCs w:val="20"/>
          <w:color w:val="auto"/>
        </w:rPr>
      </w:pPr>
    </w:p>
    <w:p>
      <w:pPr>
        <w:ind w:right="380" w:firstLine="648"/>
        <w:spacing w:after="0" w:line="262" w:lineRule="auto"/>
        <w:rPr>
          <w:sz w:val="20"/>
          <w:szCs w:val="20"/>
          <w:color w:val="auto"/>
        </w:rPr>
      </w:pPr>
      <w:r>
        <w:rPr>
          <w:rFonts w:ascii="Arial" w:cs="Arial" w:eastAsia="Arial" w:hAnsi="Arial"/>
          <w:sz w:val="17"/>
          <w:szCs w:val="17"/>
          <w:b w:val="1"/>
          <w:bCs w:val="1"/>
          <w:color w:val="auto"/>
        </w:rPr>
        <w:t xml:space="preserve">THIS FIRST AMENDMENT OF LEASE </w:t>
      </w:r>
      <w:r>
        <w:rPr>
          <w:rFonts w:ascii="Arial" w:cs="Arial" w:eastAsia="Arial" w:hAnsi="Arial"/>
          <w:sz w:val="17"/>
          <w:szCs w:val="17"/>
          <w:color w:val="auto"/>
        </w:rPr>
        <w:t>(this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the 17</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June, 2015, between</w:t>
      </w:r>
      <w:r>
        <w:rPr>
          <w:rFonts w:ascii="Arial" w:cs="Arial" w:eastAsia="Arial" w:hAnsi="Arial"/>
          <w:sz w:val="17"/>
          <w:szCs w:val="17"/>
          <w:b w:val="1"/>
          <w:bCs w:val="1"/>
          <w:color w:val="auto"/>
        </w:rPr>
        <w:t xml:space="preserve"> CROWN PERRYVILLE, LLC</w:t>
      </w:r>
      <w:r>
        <w:rPr>
          <w:rFonts w:ascii="Arial" w:cs="Arial" w:eastAsia="Arial" w:hAnsi="Arial"/>
          <w:sz w:val="17"/>
          <w:szCs w:val="17"/>
          <w:color w:val="auto"/>
        </w:rPr>
        <w:t>, having an office c/o Crown Properties, Inc., 8 Fairway Court, Upper Brookville, New York 11771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CELLDEX THERAPEUTICS, INC.</w:t>
      </w:r>
      <w:r>
        <w:rPr>
          <w:rFonts w:ascii="Arial" w:cs="Arial" w:eastAsia="Arial" w:hAnsi="Arial"/>
          <w:sz w:val="17"/>
          <w:szCs w:val="17"/>
          <w:color w:val="auto"/>
        </w:rPr>
        <w:t>, having an office at Perryville Corporate Park, 53 Frontage Road, 2</w:t>
      </w:r>
      <w:r>
        <w:rPr>
          <w:rFonts w:ascii="Arial" w:cs="Arial" w:eastAsia="Arial" w:hAnsi="Arial"/>
          <w:sz w:val="22"/>
          <w:szCs w:val="22"/>
          <w:color w:val="auto"/>
          <w:vertAlign w:val="superscript"/>
        </w:rPr>
        <w:t>nd</w:t>
      </w:r>
      <w:r>
        <w:rPr>
          <w:rFonts w:ascii="Arial" w:cs="Arial" w:eastAsia="Arial" w:hAnsi="Arial"/>
          <w:sz w:val="17"/>
          <w:szCs w:val="17"/>
          <w:b w:val="1"/>
          <w:bCs w:val="1"/>
          <w:color w:val="auto"/>
        </w:rPr>
        <w:t xml:space="preserve"> </w:t>
      </w:r>
      <w:r>
        <w:rPr>
          <w:rFonts w:ascii="Arial" w:cs="Arial" w:eastAsia="Arial" w:hAnsi="Arial"/>
          <w:sz w:val="17"/>
          <w:szCs w:val="17"/>
          <w:color w:val="auto"/>
        </w:rPr>
        <w:t>Floor, Hampton, New Jersey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by Lease dated May 1, 2013 (the “</w:t>
      </w:r>
      <w:r>
        <w:rPr>
          <w:rFonts w:ascii="Arial" w:cs="Arial" w:eastAsia="Arial" w:hAnsi="Arial"/>
          <w:sz w:val="17"/>
          <w:szCs w:val="17"/>
          <w:b w:val="1"/>
          <w:bCs w:val="1"/>
          <w:color w:val="auto"/>
        </w:rPr>
        <w:t>Lease</w:t>
      </w:r>
      <w:r>
        <w:rPr>
          <w:rFonts w:ascii="Arial" w:cs="Arial" w:eastAsia="Arial" w:hAnsi="Arial"/>
          <w:sz w:val="17"/>
          <w:szCs w:val="17"/>
          <w:color w:val="auto"/>
        </w:rPr>
        <w:t>”), Landlord did demise and let unto Tenant, and Tenant did hire and take from Landlord that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office premises consisting of approximately 3,539 rentable square feet located on a portion of the first (1</w:t>
      </w:r>
      <w:r>
        <w:rPr>
          <w:rFonts w:ascii="Arial" w:cs="Arial" w:eastAsia="Arial" w:hAnsi="Arial"/>
          <w:sz w:val="22"/>
          <w:szCs w:val="22"/>
          <w:color w:val="auto"/>
          <w:vertAlign w:val="superscript"/>
        </w:rPr>
        <w:t>st</w:t>
      </w:r>
      <w:r>
        <w:rPr>
          <w:rFonts w:ascii="Arial" w:cs="Arial" w:eastAsia="Arial" w:hAnsi="Arial"/>
          <w:sz w:val="17"/>
          <w:szCs w:val="17"/>
          <w:color w:val="auto"/>
        </w:rPr>
        <w:t>) floor and approximately 29,824 rentable square feet located on a portion of the second (2</w:t>
      </w:r>
      <w:r>
        <w:rPr>
          <w:rFonts w:ascii="Arial" w:cs="Arial" w:eastAsia="Arial" w:hAnsi="Arial"/>
          <w:sz w:val="22"/>
          <w:szCs w:val="22"/>
          <w:color w:val="auto"/>
          <w:vertAlign w:val="superscript"/>
        </w:rPr>
        <w:t>nd</w:t>
      </w:r>
      <w:r>
        <w:rPr>
          <w:rFonts w:ascii="Arial" w:cs="Arial" w:eastAsia="Arial" w:hAnsi="Arial"/>
          <w:sz w:val="17"/>
          <w:szCs w:val="17"/>
          <w:color w:val="auto"/>
        </w:rPr>
        <w:t>) floor (collectively the “</w:t>
      </w:r>
      <w:r>
        <w:rPr>
          <w:rFonts w:ascii="Arial" w:cs="Arial" w:eastAsia="Arial" w:hAnsi="Arial"/>
          <w:sz w:val="17"/>
          <w:szCs w:val="17"/>
          <w:b w:val="1"/>
          <w:bCs w:val="1"/>
          <w:color w:val="auto"/>
        </w:rPr>
        <w:t>Original Premises</w:t>
      </w:r>
      <w:r>
        <w:rPr>
          <w:rFonts w:ascii="Arial" w:cs="Arial" w:eastAsia="Arial" w:hAnsi="Arial"/>
          <w:sz w:val="17"/>
          <w:szCs w:val="17"/>
          <w:color w:val="auto"/>
        </w:rPr>
        <w:t>”) in the building known as Perryville III at Perryville Corporate Park located at 53 Frontage Road, Hampton, New Jersey 08827 (the “</w:t>
      </w:r>
      <w:r>
        <w:rPr>
          <w:rFonts w:ascii="Arial" w:cs="Arial" w:eastAsia="Arial" w:hAnsi="Arial"/>
          <w:sz w:val="17"/>
          <w:szCs w:val="17"/>
          <w:b w:val="1"/>
          <w:bCs w:val="1"/>
          <w:color w:val="auto"/>
        </w:rPr>
        <w:t>Building</w:t>
      </w:r>
      <w:r>
        <w:rPr>
          <w:rFonts w:ascii="Arial" w:cs="Arial" w:eastAsia="Arial" w:hAnsi="Arial"/>
          <w:sz w:val="17"/>
          <w:szCs w:val="17"/>
          <w:color w:val="auto"/>
        </w:rPr>
        <w:t>”) as more particularly described in the Lease; and</w:t>
      </w:r>
    </w:p>
    <w:p>
      <w:pPr>
        <w:spacing w:after="0" w:line="198"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Tenant has properly and timely exercised its Expansion Option (as defined in Section 19.28 of the Lease), and the parties desire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to, among other things, permit Tenant to lease from Landlord certain expansion space in the Building, as hereinafter set forth; and</w:t>
      </w:r>
    </w:p>
    <w:p>
      <w:pPr>
        <w:spacing w:after="0" w:line="13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mutual receipt and legal sufficiency of which are hereby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right="360" w:firstLine="656"/>
        <w:spacing w:after="0" w:line="282"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 Recitals</w:t>
      </w:r>
      <w:r>
        <w:rPr>
          <w:rFonts w:ascii="Arial" w:cs="Arial" w:eastAsia="Arial" w:hAnsi="Arial"/>
          <w:sz w:val="18"/>
          <w:szCs w:val="18"/>
          <w:color w:val="auto"/>
        </w:rPr>
        <w:t>. All terms used herein and not otherwise defined shall have the meanings ascribed to them in the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recitals set forth hereinabove are expressly incorporated into the body of this Amendment by reference.</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effective date of this Amendment shall be August 1, 2015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656"/>
        <w:spacing w:after="0" w:line="258"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Expansion Space</w:t>
      </w:r>
      <w:r>
        <w:rPr>
          <w:rFonts w:ascii="Arial" w:cs="Arial" w:eastAsia="Arial" w:hAnsi="Arial"/>
          <w:sz w:val="17"/>
          <w:szCs w:val="17"/>
          <w:color w:val="auto"/>
        </w:rPr>
        <w:t>. Commencing on the Effective Date, Landlord hereby demises and lets unto Tenant, and Tenant hereby leases and hires</w:t>
      </w:r>
      <w:r>
        <w:rPr>
          <w:rFonts w:ascii="Arial" w:cs="Arial" w:eastAsia="Arial" w:hAnsi="Arial"/>
          <w:sz w:val="17"/>
          <w:szCs w:val="17"/>
          <w:b w:val="1"/>
          <w:bCs w:val="1"/>
          <w:color w:val="auto"/>
        </w:rPr>
        <w:t xml:space="preserve"> </w:t>
      </w:r>
      <w:r>
        <w:rPr>
          <w:rFonts w:ascii="Arial" w:cs="Arial" w:eastAsia="Arial" w:hAnsi="Arial"/>
          <w:sz w:val="17"/>
          <w:szCs w:val="17"/>
          <w:color w:val="auto"/>
        </w:rPr>
        <w:t>from Landlord, that certain premises located on a portion of the first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of the Building containing approximately 16,262 rentable square feet, without representation or warranty by Landlord, as shown cross-hatched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color w:val="auto"/>
        </w:rPr>
        <w:t>Expansion Space</w:t>
      </w:r>
      <w:r>
        <w:rPr>
          <w:rFonts w:ascii="Arial" w:cs="Arial" w:eastAsia="Arial" w:hAnsi="Arial"/>
          <w:sz w:val="17"/>
          <w:szCs w:val="17"/>
          <w:color w:val="auto"/>
        </w:rPr>
        <w:t>”). As of the Effective Date, the “</w:t>
      </w:r>
      <w:r>
        <w:rPr>
          <w:rFonts w:ascii="Arial" w:cs="Arial" w:eastAsia="Arial" w:hAnsi="Arial"/>
          <w:sz w:val="17"/>
          <w:szCs w:val="17"/>
          <w:b w:val="1"/>
          <w:bCs w:val="1"/>
          <w:color w:val="auto"/>
        </w:rPr>
        <w:t>Premises</w:t>
      </w:r>
      <w:r>
        <w:rPr>
          <w:rFonts w:ascii="Arial" w:cs="Arial" w:eastAsia="Arial" w:hAnsi="Arial"/>
          <w:sz w:val="17"/>
          <w:szCs w:val="17"/>
          <w:color w:val="auto"/>
        </w:rPr>
        <w:t>”, as said term is used and defined in the Lease, shall be amended to mean the Original Premises and the Expansion Space and the Rentable Area of the Premises shall contain approximately 49,625 rentable square feet in the aggregate.</w:t>
      </w:r>
    </w:p>
    <w:p>
      <w:pPr>
        <w:spacing w:after="0" w:line="184"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Extension of Term</w:t>
      </w:r>
      <w:r>
        <w:rPr>
          <w:rFonts w:ascii="Arial" w:cs="Arial" w:eastAsia="Arial" w:hAnsi="Arial"/>
          <w:sz w:val="18"/>
          <w:szCs w:val="18"/>
          <w:color w:val="auto"/>
        </w:rPr>
        <w:t>. Notwithstanding anything to the contrary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Lease, the Term is hereby extended for a period of five (5) years commencing on the Effective Date and expiring on July 31, 2020, unless sooner terminated or extended as set forth in the Lease. As of the Effective Date, the Expiration Date, as defined in Section 1.2(G) of the Lease, is modified to mean July 31, 2020.</w:t>
      </w:r>
    </w:p>
    <w:p>
      <w:pPr>
        <w:spacing w:after="0" w:line="177" w:lineRule="exact"/>
        <w:rPr>
          <w:sz w:val="20"/>
          <w:szCs w:val="20"/>
          <w:color w:val="auto"/>
        </w:rPr>
      </w:pPr>
    </w:p>
    <w:p>
      <w:pPr>
        <w:ind w:right="200" w:firstLine="656"/>
        <w:spacing w:after="0" w:line="289"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 As of the Effective Date, Exhibit E to the Lease is hereby deleted in its entirety and replaced with the new Exhibit E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below. Commencing on the Effective Date and continuing through and including the Expiration Date, the Base Rent for the Premises shall be payable by Tenant to Landlord on the first day of each month in accordance with the terms and conditions of Section 3.1 of the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BASE RENT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2"/>
          </w:tcPr>
          <w:p>
            <w:pPr>
              <w:ind w:left="300"/>
              <w:spacing w:after="0"/>
              <w:rPr>
                <w:sz w:val="20"/>
                <w:szCs w:val="20"/>
                <w:color w:val="auto"/>
              </w:rPr>
            </w:pPr>
            <w:r>
              <w:rPr>
                <w:rFonts w:ascii="Arial" w:cs="Arial" w:eastAsia="Arial" w:hAnsi="Arial"/>
                <w:sz w:val="14"/>
                <w:szCs w:val="14"/>
                <w:b w:val="1"/>
                <w:bCs w:val="1"/>
                <w:color w:val="auto"/>
              </w:rPr>
              <w:t>Base Rent Per</w:t>
            </w:r>
          </w:p>
        </w:tc>
        <w:tc>
          <w:tcPr>
            <w:tcW w:w="320" w:type="dxa"/>
            <w:vAlign w:val="bottom"/>
          </w:tcPr>
          <w:p>
            <w:pPr>
              <w:spacing w:after="0"/>
              <w:rPr>
                <w:sz w:val="14"/>
                <w:szCs w:val="14"/>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Annual Base Rent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Monthly Base Rent</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 Foot</w:t>
            </w:r>
          </w:p>
        </w:tc>
        <w:tc>
          <w:tcPr>
            <w:tcW w:w="3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August 1, 2015 — April 30, 2016</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84"/>
              </w:rPr>
              <w:t>12.50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51,692.71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center"/>
              <w:spacing w:after="0"/>
              <w:rPr>
                <w:sz w:val="20"/>
                <w:szCs w:val="20"/>
                <w:color w:val="auto"/>
              </w:rPr>
            </w:pPr>
            <w:r>
              <w:rPr>
                <w:rFonts w:ascii="Arial" w:cs="Arial" w:eastAsia="Arial" w:hAnsi="Arial"/>
                <w:sz w:val="18"/>
                <w:szCs w:val="18"/>
                <w:color w:val="auto"/>
                <w:w w:val="94"/>
              </w:rPr>
              <w:t>May 1, 2016 — April 30, 2017</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480"/>
              <w:spacing w:after="0"/>
              <w:rPr>
                <w:sz w:val="20"/>
                <w:szCs w:val="20"/>
                <w:color w:val="auto"/>
              </w:rPr>
            </w:pPr>
            <w:r>
              <w:rPr>
                <w:rFonts w:ascii="Arial" w:cs="Arial" w:eastAsia="Arial" w:hAnsi="Arial"/>
                <w:sz w:val="18"/>
                <w:szCs w:val="18"/>
                <w:color w:val="auto"/>
              </w:rPr>
              <w:t>13.00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645,125.00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53,760.42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May 1, 2017 — April 30, 2018</w:t>
            </w:r>
          </w:p>
        </w:tc>
        <w:tc>
          <w:tcPr>
            <w:tcW w:w="7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669,937.50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55,828.13</w:t>
            </w:r>
          </w:p>
        </w:tc>
        <w:tc>
          <w:tcPr>
            <w:tcW w:w="0" w:type="dxa"/>
            <w:vAlign w:val="bottom"/>
          </w:tcPr>
          <w:p>
            <w:pPr>
              <w:spacing w:after="0"/>
              <w:rPr>
                <w:sz w:val="1"/>
                <w:szCs w:val="1"/>
                <w:color w:val="auto"/>
              </w:rPr>
            </w:pPr>
          </w:p>
        </w:tc>
      </w:tr>
      <w:tr>
        <w:trPr>
          <w:trHeight w:val="216"/>
        </w:trPr>
        <w:tc>
          <w:tcPr>
            <w:tcW w:w="3620" w:type="dxa"/>
            <w:vAlign w:val="bottom"/>
          </w:tcPr>
          <w:p>
            <w:pPr>
              <w:jc w:val="center"/>
              <w:spacing w:after="0"/>
              <w:rPr>
                <w:sz w:val="20"/>
                <w:szCs w:val="20"/>
                <w:color w:val="auto"/>
              </w:rPr>
            </w:pPr>
            <w:r>
              <w:rPr>
                <w:rFonts w:ascii="Arial" w:cs="Arial" w:eastAsia="Arial" w:hAnsi="Arial"/>
                <w:sz w:val="18"/>
                <w:szCs w:val="18"/>
                <w:color w:val="auto"/>
                <w:w w:val="94"/>
              </w:rPr>
              <w:t>May 1, 2018 — April 30, 2019</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480"/>
              <w:spacing w:after="0"/>
              <w:rPr>
                <w:sz w:val="20"/>
                <w:szCs w:val="20"/>
                <w:color w:val="auto"/>
              </w:rPr>
            </w:pPr>
            <w:r>
              <w:rPr>
                <w:rFonts w:ascii="Arial" w:cs="Arial" w:eastAsia="Arial" w:hAnsi="Arial"/>
                <w:sz w:val="18"/>
                <w:szCs w:val="18"/>
                <w:color w:val="auto"/>
              </w:rPr>
              <w:t>14.00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694,750.00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57,895.83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May 1, 2019 — April 30, 2020</w:t>
            </w:r>
          </w:p>
        </w:tc>
        <w:tc>
          <w:tcPr>
            <w:tcW w:w="7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14.50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719,562.50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59,963.54</w:t>
            </w:r>
          </w:p>
        </w:tc>
        <w:tc>
          <w:tcPr>
            <w:tcW w:w="0" w:type="dxa"/>
            <w:vAlign w:val="bottom"/>
          </w:tcPr>
          <w:p>
            <w:pPr>
              <w:spacing w:after="0"/>
              <w:rPr>
                <w:sz w:val="1"/>
                <w:szCs w:val="1"/>
                <w:color w:val="auto"/>
              </w:rPr>
            </w:pP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2"/>
              </w:rPr>
              <w:t>May 1, 2020 — July 31, 2020</w:t>
            </w: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480"/>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20"/>
                <w:szCs w:val="20"/>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62,031.25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firstLine="656"/>
        <w:spacing w:after="0" w:line="281" w:lineRule="auto"/>
        <w:tabs>
          <w:tab w:leader="none" w:pos="1296"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Early Access</w:t>
      </w:r>
      <w:r>
        <w:rPr>
          <w:rFonts w:ascii="Arial" w:cs="Arial" w:eastAsia="Arial" w:hAnsi="Arial"/>
          <w:sz w:val="17"/>
          <w:szCs w:val="17"/>
          <w:color w:val="auto"/>
        </w:rPr>
        <w:t>. Notwithstanding anything to the contrary set forth in this Amendment, Tenant shall be permitted access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Space at any time following the execution of this Amendment and prior to the Effective Date for the purposes of installing wiring for telephone/data communication systems and for installation of any and all furniture and personal property in the Expansion Space, provided such access does not interfere with the performance of Landlord’s Work (as defined herein). Tenant acknowledges and agrees that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such entry into and occupancy of the Expansion Space or any portion thereof by Tenant or any person or entity working for or on behalf of Tenant shall be deemed to be subject to all of the terms, covenants, conditions and provisions of the Lease, excluding only the covenant to pay Base Rent (until the occurrence of the Effective Date). Tenant further acknowledges and agrees that Landlord shall not be liable for any injury, loss or damage which may occur to any of Tenant’s work made in or about the Expansion Space in connection with such entry or to any property placed therein prior to the Effective Date, unless caused by or due to Landlord’s gross negligence or willful misconduct, the same being at Tenant’s sole risk and liability. Tenant shall be liable to Landlord for any damage to any portion of the Expansion Space, including Landlord’s Work, caused by Tenant or any of Tenant’s employees, agents, contractors, consultants, workmen, mechanics, suppliers and invitees. In addition, Tenant shall hold Landlord harmless from and indemnify, protect and defend Landlord against any loss or damage to the Expansion Space and/or Building and against injury to any persons caused by Tenant’s actions pursuant to this Paragraph 5, except if arising from Landlord’s gross negligence or willful misconduct.</w:t>
      </w:r>
    </w:p>
    <w:p>
      <w:pPr>
        <w:sectPr>
          <w:pgSz w:w="11900" w:h="16838" w:orient="portrait"/>
          <w:cols w:equalWidth="0" w:num="1">
            <w:col w:w="11420"/>
          </w:cols>
          <w:pgMar w:left="240" w:top="121" w:right="239" w:bottom="0" w:gutter="0" w:footer="0" w:header="0"/>
        </w:sectPr>
      </w:pPr>
    </w:p>
    <w:bookmarkStart w:id="22" w:name="page23"/>
    <w:bookmarkEnd w:id="22"/>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of Expansion Space and Building; Landlord’s Work</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0" w:firstLine="1305"/>
        <w:spacing w:after="0" w:line="269" w:lineRule="auto"/>
        <w:tabs>
          <w:tab w:leader="none" w:pos="194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Tenant acknowledges that neither Landlord nor Landlord’s agent has made any representations or promises with regard to the Expansion Space for the term herein demised, except as provided herein. Tenant agrees to accept the Expansion Space in its “AS IS” condition as of the Effective Date and that Landlord shall not be obligated to make any repairs, alterations, improvements or additions to the Expansion Space for Tenant’s occupancy whatsoever, except that Landlord agrees to perform the following improvements to the Expansion Space prior to the Effective Date, at Landlord’s sole cost and expense (collectively “</w:t>
      </w:r>
      <w:r>
        <w:rPr>
          <w:rFonts w:ascii="Arial" w:cs="Arial" w:eastAsia="Arial" w:hAnsi="Arial"/>
          <w:sz w:val="17"/>
          <w:szCs w:val="17"/>
          <w:b w:val="1"/>
          <w:bCs w:val="1"/>
          <w:color w:val="auto"/>
        </w:rPr>
        <w:t>Landlord’s Work</w:t>
      </w:r>
      <w:r>
        <w:rPr>
          <w:rFonts w:ascii="Arial" w:cs="Arial" w:eastAsia="Arial" w:hAnsi="Arial"/>
          <w:sz w:val="17"/>
          <w:szCs w:val="17"/>
          <w:color w:val="auto"/>
        </w:rPr>
        <w:t>”): (i) paint the Expansion Space using colors selected by Tenant (to the extent that the cost of any paint chosen by Tenant exceeds the cost of Building-standard paint, Tenant shall reimburse Landlord to the extent of the provable added out-of-pocket expense; alternatively, Landlord shall permit Tenant to paint the Expansion Premises and shall give Tenant an immediate credit for the savings in material and labor in not having to paint the Expansion Space); (ii) repair and/or replace all damaged or missing ceiling tiles, blinds/window treatments and light fixtures; and (iii) if necessary, rebalance the heating, ventilation and air-conditioning system servicing the Expansion Space after the installation or movement of all partitions and/or demising walls. In the event that any of Landlord’s Work requires the issuance of permits or approvals, Landlord shall be solely responsible to obtain same and any related certificates of completion.</w:t>
      </w:r>
    </w:p>
    <w:p>
      <w:pPr>
        <w:spacing w:after="0" w:line="182" w:lineRule="exact"/>
        <w:rPr>
          <w:rFonts w:ascii="Arial" w:cs="Arial" w:eastAsia="Arial" w:hAnsi="Arial"/>
          <w:sz w:val="17"/>
          <w:szCs w:val="17"/>
          <w:color w:val="auto"/>
        </w:rPr>
      </w:pPr>
    </w:p>
    <w:p>
      <w:pPr>
        <w:ind w:right="220" w:firstLine="1305"/>
        <w:spacing w:after="0" w:line="286" w:lineRule="auto"/>
        <w:tabs>
          <w:tab w:leader="none" w:pos="19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As of the date hereof, Landlord represents that, to the best of its knowledge after inquiry, that the Building and Expansion Space are free from Hazardous Substances (as defined in Section 18.1 of the Lease) or other conditions which pose a present danger to health, life or safety (including but not limited to, asbestos-containing materials, PCBs, mold or other environmentally objectionable materials).</w:t>
      </w:r>
    </w:p>
    <w:p>
      <w:pPr>
        <w:spacing w:after="0" w:line="165" w:lineRule="exact"/>
        <w:rPr>
          <w:rFonts w:ascii="Arial" w:cs="Arial" w:eastAsia="Arial" w:hAnsi="Arial"/>
          <w:sz w:val="17"/>
          <w:szCs w:val="17"/>
          <w:color w:val="auto"/>
        </w:rPr>
      </w:pPr>
    </w:p>
    <w:p>
      <w:pPr>
        <w:ind w:right="380" w:firstLine="1305"/>
        <w:spacing w:after="0" w:line="308" w:lineRule="auto"/>
        <w:tabs>
          <w:tab w:leader="none" w:pos="1955" w:val="left"/>
        </w:tabs>
        <w:numPr>
          <w:ilvl w:val="1"/>
          <w:numId w:val="17"/>
        </w:numPr>
        <w:rPr>
          <w:rFonts w:ascii="Arial" w:cs="Arial" w:eastAsia="Arial" w:hAnsi="Arial"/>
          <w:sz w:val="17"/>
          <w:szCs w:val="17"/>
          <w:color w:val="auto"/>
        </w:rPr>
      </w:pPr>
      <w:r>
        <w:rPr>
          <w:rFonts w:ascii="Arial" w:cs="Arial" w:eastAsia="Arial" w:hAnsi="Arial"/>
          <w:sz w:val="17"/>
          <w:szCs w:val="17"/>
          <w:color w:val="auto"/>
        </w:rPr>
        <w:t>Landlord further represents that, to the best of its knowledge after inquiry, the Expansion Space and the Common Areas of the Building comply with all currently applicable laws, ordinances, regulations and codes (including but not limited to the Americans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with Disabilities Act and those relating to fire and life safety and the Occupational Safety and Health Act). Except for Tenant’s obligations as set forth in Section 19.15 of the Lease, Landlord’s obligations with respect to such compliance shall be a continuing obligation and Tenant shall not be obliged to pay as Operating Expenses any sums required by Landlord to come into compliance from time to time.</w:t>
      </w:r>
    </w:p>
    <w:p>
      <w:pPr>
        <w:spacing w:after="0" w:line="177" w:lineRule="exact"/>
        <w:rPr>
          <w:sz w:val="20"/>
          <w:szCs w:val="20"/>
          <w:color w:val="auto"/>
        </w:rPr>
      </w:pPr>
    </w:p>
    <w:p>
      <w:pPr>
        <w:ind w:right="180" w:firstLine="656"/>
        <w:spacing w:after="0" w:line="266"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Rental Adjustment</w:t>
      </w:r>
      <w:r>
        <w:rPr>
          <w:rFonts w:ascii="Arial" w:cs="Arial" w:eastAsia="Arial" w:hAnsi="Arial"/>
          <w:sz w:val="18"/>
          <w:szCs w:val="18"/>
          <w:color w:val="auto"/>
        </w:rPr>
        <w:t>. As of the Effective Date and for purposes of calculating the Annual Rental Adjustment for the Premises,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accordance with Section 3.2 of the Lease, the Building Expense Percentage, as defined in Section 1.2(C) of the Lease, is amended to mean 17.70%.</w:t>
      </w:r>
    </w:p>
    <w:p>
      <w:pPr>
        <w:spacing w:after="0" w:line="176" w:lineRule="exact"/>
        <w:rPr>
          <w:rFonts w:ascii="Arial" w:cs="Arial" w:eastAsia="Arial" w:hAnsi="Arial"/>
          <w:sz w:val="18"/>
          <w:szCs w:val="18"/>
          <w:color w:val="auto"/>
        </w:rPr>
      </w:pPr>
    </w:p>
    <w:p>
      <w:pPr>
        <w:ind w:right="100" w:firstLine="656"/>
        <w:spacing w:after="0" w:line="258"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Electrical Inclusion Amount</w:t>
      </w:r>
      <w:r>
        <w:rPr>
          <w:rFonts w:ascii="Arial" w:cs="Arial" w:eastAsia="Arial" w:hAnsi="Arial"/>
          <w:sz w:val="18"/>
          <w:szCs w:val="18"/>
          <w:color w:val="auto"/>
        </w:rPr>
        <w:t>. Commencing on the Effective Date and continuing through and including the Expiration Date,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Tenant’s obligation to pay for electric charges for the Original Premises as set forth in Article 3 of the Lease, Tenant shall be obligated to pay to Landlord, as Additional Rent, the Electrical Inclusion Amount for the Expansion Space in the amount of $28,458.50 per annum, payable in equal monthly installments of $2,371.54 ($1.75 per square foot), pursuant to Section 3.3 of the Lease, and subject to survey and increases based upon Tenant’s consumption and/or increases in utility costs.</w:t>
      </w:r>
    </w:p>
    <w:p>
      <w:pPr>
        <w:spacing w:after="0" w:line="183" w:lineRule="exact"/>
        <w:rPr>
          <w:rFonts w:ascii="Arial" w:cs="Arial" w:eastAsia="Arial" w:hAnsi="Arial"/>
          <w:sz w:val="18"/>
          <w:szCs w:val="18"/>
          <w:color w:val="auto"/>
        </w:rPr>
      </w:pPr>
    </w:p>
    <w:p>
      <w:pPr>
        <w:ind w:right="440" w:firstLine="656"/>
        <w:spacing w:after="0" w:line="282" w:lineRule="auto"/>
        <w:tabs>
          <w:tab w:leader="none" w:pos="129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No later than the Effective Date, Tenant agrees to deliver to Landlord a new or amended certificate of insurance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for the Expansion Space in accordance with terms and conditions of Section 9.3 of the Lease.</w:t>
      </w:r>
    </w:p>
    <w:p>
      <w:pPr>
        <w:spacing w:after="0" w:line="161" w:lineRule="exact"/>
        <w:rPr>
          <w:rFonts w:ascii="Arial" w:cs="Arial" w:eastAsia="Arial" w:hAnsi="Arial"/>
          <w:sz w:val="18"/>
          <w:szCs w:val="18"/>
          <w:color w:val="auto"/>
        </w:rPr>
      </w:pPr>
    </w:p>
    <w:p>
      <w:pPr>
        <w:ind w:right="140" w:firstLine="656"/>
        <w:spacing w:after="0" w:line="313" w:lineRule="auto"/>
        <w:tabs>
          <w:tab w:leader="none" w:pos="1285"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As of the Effective Date, Section 19.22 of the Lease is deleted in its entirety and replaced with the following new Section 19.22,</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Exhibit G of the Lease is deleted in its entirety and replaced with the new Exhibit G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made a part hereof:</w:t>
      </w:r>
    </w:p>
    <w:p>
      <w:pPr>
        <w:spacing w:after="0" w:line="142" w:lineRule="exact"/>
        <w:rPr>
          <w:sz w:val="20"/>
          <w:szCs w:val="20"/>
          <w:color w:val="auto"/>
        </w:rPr>
      </w:pPr>
    </w:p>
    <w:p>
      <w:pPr>
        <w:ind w:left="1300" w:right="40"/>
        <w:spacing w:after="0" w:line="279" w:lineRule="auto"/>
        <w:rPr>
          <w:sz w:val="20"/>
          <w:szCs w:val="20"/>
          <w:color w:val="auto"/>
        </w:rPr>
      </w:pPr>
      <w:r>
        <w:rPr>
          <w:rFonts w:ascii="Arial" w:cs="Arial" w:eastAsia="Arial" w:hAnsi="Arial"/>
          <w:sz w:val="17"/>
          <w:szCs w:val="17"/>
          <w:color w:val="auto"/>
        </w:rPr>
        <w:t xml:space="preserve">“Section 19.22. Landlord shall provide to Tenant, at Tenant’s sole cost and expense, with the following: (a) four (4) unreserved parking spaces for every 1,000 square feet leased in the Building’s parking facility, (b) six (6) reserved parking spaces near the side entrance to the Building, (c) six (6) parking spaces outside of the first floor mechanical room, and (d) eight (8) reserved parking spaces located in the front of the Building, all as more particularly shown on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xml:space="preserve"> hereto, subject to municipal approval.”</w:t>
      </w:r>
    </w:p>
    <w:p>
      <w:pPr>
        <w:spacing w:after="0" w:line="167" w:lineRule="exact"/>
        <w:rPr>
          <w:sz w:val="20"/>
          <w:szCs w:val="20"/>
          <w:color w:val="auto"/>
        </w:rPr>
      </w:pPr>
    </w:p>
    <w:p>
      <w:pPr>
        <w:ind w:right="20" w:firstLine="656"/>
        <w:spacing w:after="0" w:line="277" w:lineRule="auto"/>
        <w:tabs>
          <w:tab w:leader="none" w:pos="1292"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w:t>
      </w:r>
      <w:r>
        <w:rPr>
          <w:rFonts w:ascii="Arial" w:cs="Arial" w:eastAsia="Arial" w:hAnsi="Arial"/>
          <w:sz w:val="17"/>
          <w:szCs w:val="17"/>
          <w:color w:val="auto"/>
        </w:rPr>
        <w:t>. Landlord and Tenant each represent and warrant to the other that there was no broker or finder with whom either has had any</w:t>
      </w:r>
      <w:r>
        <w:rPr>
          <w:rFonts w:ascii="Arial" w:cs="Arial" w:eastAsia="Arial" w:hAnsi="Arial"/>
          <w:sz w:val="17"/>
          <w:szCs w:val="17"/>
          <w:b w:val="1"/>
          <w:bCs w:val="1"/>
          <w:color w:val="auto"/>
        </w:rPr>
        <w:t xml:space="preserve"> </w:t>
      </w:r>
      <w:r>
        <w:rPr>
          <w:rFonts w:ascii="Arial" w:cs="Arial" w:eastAsia="Arial" w:hAnsi="Arial"/>
          <w:sz w:val="17"/>
          <w:szCs w:val="17"/>
          <w:color w:val="auto"/>
        </w:rPr>
        <w:t>dealings, negotiations or consultations with other than CBRE, Inc. and The Garibaldi Group (collectively the “</w:t>
      </w:r>
      <w:r>
        <w:rPr>
          <w:rFonts w:ascii="Arial" w:cs="Arial" w:eastAsia="Arial" w:hAnsi="Arial"/>
          <w:sz w:val="17"/>
          <w:szCs w:val="17"/>
          <w:b w:val="1"/>
          <w:bCs w:val="1"/>
          <w:color w:val="auto"/>
        </w:rPr>
        <w:t>Broker</w:t>
      </w:r>
      <w:r>
        <w:rPr>
          <w:rFonts w:ascii="Arial" w:cs="Arial" w:eastAsia="Arial" w:hAnsi="Arial"/>
          <w:sz w:val="17"/>
          <w:szCs w:val="17"/>
          <w:color w:val="auto"/>
        </w:rPr>
        <w:t>”), and that no broker or finder took any part in any dealings, negotiations or consultations relating to this Amendment other than the Broker. Landlord and Tenant each agrees to be responsible for, indemnify, defend and hold harmless the other from and against all costs, fees (including, without limitation, attorney’s fees), expenses, liabilities and claims incurred or suffered by the other arising from any breach by Landlord or Tenant of the foregoing representation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warranty. Landlord hereby agrees that it shall be responsible for the payment of all fees and/or commissions due to the Broker pursuant to the terms of a separate agreement.</w:t>
      </w:r>
    </w:p>
    <w:p>
      <w:pPr>
        <w:spacing w:after="0" w:line="166" w:lineRule="exact"/>
        <w:rPr>
          <w:sz w:val="20"/>
          <w:szCs w:val="20"/>
          <w:color w:val="auto"/>
        </w:rPr>
      </w:pPr>
    </w:p>
    <w:p>
      <w:pPr>
        <w:ind w:firstLine="656"/>
        <w:spacing w:after="0" w:line="270" w:lineRule="auto"/>
        <w:tabs>
          <w:tab w:leader="none" w:pos="1292"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Signage</w:t>
      </w:r>
      <w:r>
        <w:rPr>
          <w:rFonts w:ascii="Arial" w:cs="Arial" w:eastAsia="Arial" w:hAnsi="Arial"/>
          <w:sz w:val="17"/>
          <w:szCs w:val="17"/>
          <w:color w:val="auto"/>
        </w:rPr>
        <w:t>. Landlord shall at its sole cost and expense provide Tenant with Building suite entry door signage and a listing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Building’s main lobby directory. Tenant, at its sole cost and expense, shall have the right to place its corporate logo (the “</w:t>
      </w:r>
      <w:r>
        <w:rPr>
          <w:rFonts w:ascii="Arial" w:cs="Arial" w:eastAsia="Arial" w:hAnsi="Arial"/>
          <w:sz w:val="17"/>
          <w:szCs w:val="17"/>
          <w:b w:val="1"/>
          <w:bCs w:val="1"/>
          <w:color w:val="auto"/>
        </w:rPr>
        <w:t>Tenant Logo</w:t>
      </w:r>
      <w:r>
        <w:rPr>
          <w:rFonts w:ascii="Arial" w:cs="Arial" w:eastAsia="Arial" w:hAnsi="Arial"/>
          <w:sz w:val="17"/>
          <w:szCs w:val="17"/>
          <w:color w:val="auto"/>
        </w:rPr>
        <w:t xml:space="preserve">”) on the top of the Building’s façade, to the right of the main Building entrance in the location specified on </w:t>
      </w:r>
      <w:r>
        <w:rPr>
          <w:rFonts w:ascii="Arial" w:cs="Arial" w:eastAsia="Arial" w:hAnsi="Arial"/>
          <w:sz w:val="17"/>
          <w:szCs w:val="17"/>
          <w:u w:val="single" w:color="auto"/>
          <w:color w:val="auto"/>
        </w:rPr>
        <w:t>Exhibit “C”</w:t>
      </w:r>
      <w:r>
        <w:rPr>
          <w:rFonts w:ascii="Arial" w:cs="Arial" w:eastAsia="Arial" w:hAnsi="Arial"/>
          <w:sz w:val="17"/>
          <w:szCs w:val="17"/>
          <w:color w:val="auto"/>
        </w:rPr>
        <w:t>, attached hereto and made part hereof, in the largest size permitted, it being understood, however, that the size, design, location and materials for the Tenant Logo shall be subject to all codes, ordinances and approval of the local municipality, and the design of the Tenant Logo shall be subject to Landlord’s approval, such approval not to be unreasonably withheld, conditioned or delayed. Landlord hereby approves the location of the Tenant Logo, subject only to such municipal approval. In the event the Tenant Logo is approved by the local municipality, Landlord agrees, at Landlord’s sole cost and expense, to trim the trees in the front of the Building so that the view of the Tenant Logo is not obstructed. Tenant shall be responsible, at its sole cost and expense, for the maintenance, repair and replacement of the Tenant Logo at all times throughout the term of the Lease. Tenant hereby agrees that on or before the Expiration Date, it shall remove the Tenant Logo from the façade of the Building and restore the façade to its original condition, ordinary wear and tear excepted.</w:t>
      </w:r>
    </w:p>
    <w:p>
      <w:pPr>
        <w:sectPr>
          <w:pgSz w:w="11900" w:h="16838" w:orient="portrait"/>
          <w:cols w:equalWidth="0" w:num="1">
            <w:col w:w="11420"/>
          </w:cols>
          <w:pgMar w:left="240" w:top="337" w:right="239" w:bottom="0" w:gutter="0" w:footer="0" w:header="0"/>
        </w:sectPr>
      </w:pPr>
    </w:p>
    <w:bookmarkStart w:id="23" w:name="page24"/>
    <w:bookmarkEnd w:id="23"/>
    <w:p>
      <w:pPr>
        <w:ind w:right="200" w:firstLine="656"/>
        <w:spacing w:after="0" w:line="266" w:lineRule="auto"/>
        <w:tabs>
          <w:tab w:leader="none" w:pos="1292"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Options</w:t>
      </w:r>
      <w:r>
        <w:rPr>
          <w:rFonts w:ascii="Arial" w:cs="Arial" w:eastAsia="Arial" w:hAnsi="Arial"/>
          <w:sz w:val="18"/>
          <w:szCs w:val="18"/>
          <w:color w:val="auto"/>
        </w:rPr>
        <w:t>. Landlord and Tenant hereby acknowledge and agree that Tenant’s Expansion Option and Right of First Offer,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Sections 19.28 and 19.29 of the Lease, respectively, are hereby ratified and confirmed and shall continue to be and remain in full force and effect in accordance with the Lease.</w:t>
      </w:r>
    </w:p>
    <w:p>
      <w:pPr>
        <w:spacing w:after="0" w:line="176" w:lineRule="exact"/>
        <w:rPr>
          <w:rFonts w:ascii="Arial" w:cs="Arial" w:eastAsia="Arial" w:hAnsi="Arial"/>
          <w:sz w:val="18"/>
          <w:szCs w:val="18"/>
          <w:color w:val="auto"/>
        </w:rPr>
      </w:pPr>
    </w:p>
    <w:p>
      <w:pPr>
        <w:ind w:right="120" w:firstLine="656"/>
        <w:spacing w:after="0" w:line="303" w:lineRule="auto"/>
        <w:tabs>
          <w:tab w:leader="none" w:pos="1292"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Amendment may be executed in any number of counterparts, each of which shall be deemed an original but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shall constitute one Amendment. Furthermore, this Amendment may be executed by a party’s signature transmitted by facsimile or by electronic mail in pdf format (“</w:t>
      </w:r>
      <w:r>
        <w:rPr>
          <w:rFonts w:ascii="Arial" w:cs="Arial" w:eastAsia="Arial" w:hAnsi="Arial"/>
          <w:sz w:val="16"/>
          <w:szCs w:val="16"/>
          <w:b w:val="1"/>
          <w:bCs w:val="1"/>
          <w:color w:val="auto"/>
        </w:rPr>
        <w:t>pdf</w:t>
      </w:r>
      <w:r>
        <w:rPr>
          <w:rFonts w:ascii="Arial" w:cs="Arial" w:eastAsia="Arial" w:hAnsi="Arial"/>
          <w:sz w:val="16"/>
          <w:szCs w:val="16"/>
          <w:color w:val="auto"/>
        </w:rPr>
        <w:t>”), and copies of this Lease executed and delivered by means of faxed or pdf signatures shall have the same force and effect as copies hereof executed and delivered with original signatures. All parties hereto may rely upon faxed or pdf signatures as if such signatures were originals.</w:t>
      </w:r>
    </w:p>
    <w:p>
      <w:pPr>
        <w:spacing w:after="0" w:line="151" w:lineRule="exact"/>
        <w:rPr>
          <w:rFonts w:ascii="Arial" w:cs="Arial" w:eastAsia="Arial" w:hAnsi="Arial"/>
          <w:sz w:val="16"/>
          <w:szCs w:val="16"/>
          <w:color w:val="auto"/>
        </w:rPr>
      </w:pPr>
    </w:p>
    <w:p>
      <w:pPr>
        <w:ind w:right="160" w:firstLine="656"/>
        <w:spacing w:after="0" w:line="313" w:lineRule="auto"/>
        <w:tabs>
          <w:tab w:leader="none" w:pos="1292"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Amendment</w:t>
      </w:r>
      <w:r>
        <w:rPr>
          <w:rFonts w:ascii="Arial" w:cs="Arial" w:eastAsia="Arial" w:hAnsi="Arial"/>
          <w:sz w:val="17"/>
          <w:szCs w:val="17"/>
          <w:color w:val="auto"/>
        </w:rPr>
        <w:t>. As modified and amended by this Amendment, all of the terms, covenants and conditions of the Lease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ratified and confirmed and shall continue to be and remain in full force and effect throughout the remainder of the term thereof.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left intentionally blank. 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executed as of the day and year first above written.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CROWN PERRYVILLE, LLC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Crown NJ, LLC, Its Managing Member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Davar Rad</w:t>
      </w:r>
    </w:p>
    <w:p>
      <w:pPr>
        <w:spacing w:after="0" w:line="23" w:lineRule="exact"/>
        <w:rPr>
          <w:sz w:val="20"/>
          <w:szCs w:val="20"/>
          <w:color w:val="auto"/>
        </w:rPr>
      </w:pPr>
    </w:p>
    <w:p>
      <w:pPr>
        <w:ind w:left="6200"/>
        <w:spacing w:after="0"/>
        <w:tabs>
          <w:tab w:leader="none" w:pos="6920" w:val="left"/>
        </w:tabs>
        <w:rPr>
          <w:sz w:val="20"/>
          <w:szCs w:val="20"/>
          <w:color w:val="auto"/>
        </w:rPr>
      </w:pPr>
      <w:r>
        <w:rPr>
          <w:rFonts w:ascii="Arial" w:cs="Arial" w:eastAsia="Arial" w:hAnsi="Arial"/>
          <w:sz w:val="18"/>
          <w:szCs w:val="18"/>
          <w:color w:val="auto"/>
        </w:rPr>
        <w:t>Name:</w:t>
        <w:tab/>
        <w:t>Davar 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Anthony S. Marucci</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Expansion Space — Floor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New Exhibit G — Parking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Proposed Location for Tenant Logo</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160" w:firstLine="648"/>
        <w:spacing w:after="0" w:line="31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EMPLOYMENT AGREEMENT</w:t>
      </w:r>
      <w:r>
        <w:rPr>
          <w:rFonts w:ascii="Arial" w:cs="Arial" w:eastAsia="Arial" w:hAnsi="Arial"/>
          <w:sz w:val="16"/>
          <w:szCs w:val="16"/>
          <w:color w:val="auto"/>
        </w:rPr>
        <w:t xml:space="preserve"> (the “Agreement”) is entered into this 1st day of July, 2015 (the “Effective Date”), between </w:t>
      </w:r>
      <w:r>
        <w:rPr>
          <w:rFonts w:ascii="Arial" w:cs="Arial" w:eastAsia="Arial" w:hAnsi="Arial"/>
          <w:sz w:val="16"/>
          <w:szCs w:val="16"/>
          <w:b w:val="1"/>
          <w:bCs w:val="1"/>
          <w:color w:val="auto"/>
        </w:rPr>
        <w:t>Richard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Wright </w:t>
      </w:r>
      <w:r>
        <w:rPr>
          <w:rFonts w:ascii="Arial" w:cs="Arial" w:eastAsia="Arial" w:hAnsi="Arial"/>
          <w:sz w:val="16"/>
          <w:szCs w:val="16"/>
          <w:color w:val="auto"/>
        </w:rPr>
        <w:t>(the “Executive”) and CELLDEX THERAPEUTICS, INC., a Delaware corporation (the “Company”) (collectively, the Executive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referred to as the “Parties”). In consideration of the mutual promises and agreements contained herein, the Parties agree as follows:</w:t>
      </w:r>
    </w:p>
    <w:p>
      <w:pPr>
        <w:spacing w:after="0" w:line="142" w:lineRule="exact"/>
        <w:rPr>
          <w:sz w:val="20"/>
          <w:szCs w:val="20"/>
          <w:color w:val="auto"/>
        </w:rPr>
      </w:pPr>
    </w:p>
    <w:p>
      <w:pPr>
        <w:ind w:right="260" w:firstLine="656"/>
        <w:spacing w:after="0" w:line="266" w:lineRule="auto"/>
        <w:tabs>
          <w:tab w:leader="none" w:pos="136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Company desires to continue to avail itself of the services of the Executive as Senior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and the Executive desires to continue to provide such services in accordance with the terms of this Agreement. The Parties agree that the duties and obligations expected of the Executive and of the Company are as set forth in this Agreement.</w:t>
      </w:r>
    </w:p>
    <w:p>
      <w:pPr>
        <w:spacing w:after="0" w:line="176" w:lineRule="exact"/>
        <w:rPr>
          <w:rFonts w:ascii="Arial" w:cs="Arial" w:eastAsia="Arial" w:hAnsi="Arial"/>
          <w:sz w:val="18"/>
          <w:szCs w:val="18"/>
          <w:b w:val="1"/>
          <w:bCs w:val="1"/>
          <w:color w:val="auto"/>
        </w:rPr>
      </w:pPr>
    </w:p>
    <w:p>
      <w:pPr>
        <w:ind w:right="220" w:firstLine="656"/>
        <w:spacing w:after="0" w:line="258" w:lineRule="auto"/>
        <w:tabs>
          <w:tab w:leader="none" w:pos="136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AND TERM. </w:t>
      </w:r>
      <w:r>
        <w:rPr>
          <w:rFonts w:ascii="Arial" w:cs="Arial" w:eastAsia="Arial" w:hAnsi="Arial"/>
          <w:sz w:val="18"/>
          <w:szCs w:val="18"/>
          <w:color w:val="auto"/>
        </w:rPr>
        <w:t>This Agreement shall be effective, and its term (the “Term”) shall commence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Term shall continue through and until December 31, 2016 (the “Initial Term”), unless terminated sooner as provided by this Agreement or extended by the Parties. The Term shall be automatically renewed for successive periods of one year each (each, a “Renewal Term”), unless either Party gives to the other written notice of intent not to renew at least ninety (90) days prior to the expiration of the Initial Term or any Renewal Term (a “Notice of Non-Renewal”).</w:t>
      </w:r>
    </w:p>
    <w:p>
      <w:pPr>
        <w:spacing w:after="0" w:line="183" w:lineRule="exact"/>
        <w:rPr>
          <w:rFonts w:ascii="Arial" w:cs="Arial" w:eastAsia="Arial" w:hAnsi="Arial"/>
          <w:sz w:val="18"/>
          <w:szCs w:val="18"/>
          <w:b w:val="1"/>
          <w:bCs w:val="1"/>
          <w:color w:val="auto"/>
        </w:rPr>
      </w:pPr>
    </w:p>
    <w:p>
      <w:pPr>
        <w:ind w:left="1380" w:hanging="724"/>
        <w:spacing w:after="0"/>
        <w:tabs>
          <w:tab w:leader="none" w:pos="1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rFonts w:ascii="Arial" w:cs="Arial" w:eastAsia="Arial" w:hAnsi="Arial"/>
          <w:sz w:val="18"/>
          <w:szCs w:val="18"/>
          <w:b w:val="1"/>
          <w:bCs w:val="1"/>
          <w:color w:val="auto"/>
        </w:rPr>
      </w:pPr>
    </w:p>
    <w:p>
      <w:pPr>
        <w:ind w:right="100" w:firstLine="1305"/>
        <w:spacing w:after="0" w:line="261" w:lineRule="auto"/>
        <w:tabs>
          <w:tab w:leader="none" w:pos="2011"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During the Term, the Company shall pay or cause to be paid to the Executive, in installments pursuant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practices as in effect from time to time, a base salary at a rate of $313,025.48 per annum or such greater amount as may from time to time be determined by the Company (the “Base Salary”). The Base Salary shall be reviewed annually in accordance with the Company’s compensation and review policies and, in the sole discretion of the Company, may be increased.</w:t>
      </w:r>
    </w:p>
    <w:p>
      <w:pPr>
        <w:spacing w:after="0" w:line="180" w:lineRule="exact"/>
        <w:rPr>
          <w:rFonts w:ascii="Arial" w:cs="Arial" w:eastAsia="Arial" w:hAnsi="Arial"/>
          <w:sz w:val="18"/>
          <w:szCs w:val="18"/>
          <w:b w:val="1"/>
          <w:bCs w:val="1"/>
          <w:color w:val="auto"/>
        </w:rPr>
      </w:pPr>
    </w:p>
    <w:p>
      <w:pPr>
        <w:ind w:right="20" w:firstLine="1305"/>
        <w:spacing w:after="0" w:line="291" w:lineRule="auto"/>
        <w:tabs>
          <w:tab w:leader="none" w:pos="2002"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With respect to each fiscal year of the Company that ends during the Term, the Executive shall be eligible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annual bonus having a target of 35% of the Executive’s then Base Salary (the “Annual Bonus”) based upon the Executive’s overall performance of services on behalf of the Company during such fiscal year, and/or based upon the Company’s attainment of pre-established goals relating to such fiscal year (which if applicable, will be determined by the Chief Executive Officer (“CEO”) of the Company and communicated to the Executive within 30 days following the beginning of the applicable fiscal year). The attainment of any applicable performance goals and the amount to be paid in respect of the Annual Bonus shall be determined by the CEO in good faith and in accordance with such written goals and policies as may be established from time to time by the Company. The Annual Bonus shall be deemed to have been earned and accrued only upon the formal approval of the CEO of the amount of the Annual Bonus following such determination. The Annual Bonus, if any, shall be payable as a lump-sum payment within sixty (60) days immediately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last day of the applicable fiscal year. The Board may delegate all or any of its obligations under this Agreement to the Compensation Committee of the Board.</w:t>
      </w:r>
    </w:p>
    <w:p>
      <w:pPr>
        <w:spacing w:after="0" w:line="166" w:lineRule="exact"/>
        <w:rPr>
          <w:sz w:val="20"/>
          <w:szCs w:val="20"/>
          <w:color w:val="auto"/>
        </w:rPr>
      </w:pPr>
    </w:p>
    <w:p>
      <w:pPr>
        <w:ind w:right="260" w:firstLine="1305"/>
        <w:spacing w:after="0" w:line="266" w:lineRule="auto"/>
        <w:tabs>
          <w:tab w:leader="none" w:pos="2011"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Company shall reimburse the Executive for any travel, hotel, entertainment and other expenses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the Executive in furtherance of the Executive’s duties under this Agreement subject to and in accordance with the Company’s applicable travel and expense reimbursement policies.</w:t>
      </w:r>
    </w:p>
    <w:p>
      <w:pPr>
        <w:spacing w:after="0" w:line="176" w:lineRule="exact"/>
        <w:rPr>
          <w:rFonts w:ascii="Arial" w:cs="Arial" w:eastAsia="Arial" w:hAnsi="Arial"/>
          <w:sz w:val="18"/>
          <w:szCs w:val="18"/>
          <w:b w:val="1"/>
          <w:bCs w:val="1"/>
          <w:color w:val="auto"/>
        </w:rPr>
      </w:pPr>
    </w:p>
    <w:p>
      <w:pPr>
        <w:ind w:firstLine="1305"/>
        <w:spacing w:after="0" w:line="271" w:lineRule="auto"/>
        <w:tabs>
          <w:tab w:leader="none" w:pos="2011" w:val="left"/>
        </w:tabs>
        <w:numPr>
          <w:ilvl w:val="1"/>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Benefits. </w:t>
      </w:r>
      <w:r>
        <w:rPr>
          <w:rFonts w:ascii="Arial" w:cs="Arial" w:eastAsia="Arial" w:hAnsi="Arial"/>
          <w:sz w:val="17"/>
          <w:szCs w:val="17"/>
          <w:color w:val="auto"/>
        </w:rPr>
        <w:t>The Executive shall be entitled to participate in any and all employee benefit plans in effect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that are provided generally to employees of the Company, and in any executive perquisite programs in effect from time to time that provide benefits to other executives of the Company of comparable stature and with comparable duties and responsibilities. During the Term, the Company shall acquire and pay for, or reimburse the Executive for, hospitalization, dental, major medical, or other health insurance for the benefit of the Executive and his dependents at least equal to that generally provided other executive employees under the Company’s group health insurance plan(s). The Executive shall, during the Term, be entitled to paid time off in accordance with applicable Company policies in effect from time to time, in addition to public holidays observed by the Company. The Executive shall be entitled to twenty (20) business days of vacation each year (increasing to twenty five (25) business days after ten (10) years of service as an employee of the Company (including employment with any subsidiary of the Company)). The Executive shall be entitled to carry any unused vacation days over to the next calendar year.</w:t>
      </w:r>
    </w:p>
    <w:p>
      <w:pPr>
        <w:spacing w:after="0" w:line="174" w:lineRule="exact"/>
        <w:rPr>
          <w:rFonts w:ascii="Arial" w:cs="Arial" w:eastAsia="Arial" w:hAnsi="Arial"/>
          <w:sz w:val="17"/>
          <w:szCs w:val="17"/>
          <w:b w:val="1"/>
          <w:bCs w:val="1"/>
          <w:color w:val="auto"/>
        </w:rPr>
      </w:pPr>
    </w:p>
    <w:p>
      <w:pPr>
        <w:ind w:left="1380" w:hanging="724"/>
        <w:spacing w:after="0"/>
        <w:tabs>
          <w:tab w:leader="none" w:pos="1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THE EXECUTIVE.</w:t>
      </w:r>
    </w:p>
    <w:p>
      <w:pPr>
        <w:spacing w:after="0" w:line="225" w:lineRule="exact"/>
        <w:rPr>
          <w:rFonts w:ascii="Arial" w:cs="Arial" w:eastAsia="Arial" w:hAnsi="Arial"/>
          <w:sz w:val="18"/>
          <w:szCs w:val="18"/>
          <w:b w:val="1"/>
          <w:bCs w:val="1"/>
          <w:color w:val="auto"/>
        </w:rPr>
      </w:pPr>
    </w:p>
    <w:p>
      <w:pPr>
        <w:ind w:right="20" w:firstLine="1305"/>
        <w:spacing w:after="0" w:line="314" w:lineRule="auto"/>
        <w:tabs>
          <w:tab w:leader="none" w:pos="2011"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w:t>
      </w:r>
      <w:r>
        <w:rPr>
          <w:rFonts w:ascii="Arial" w:cs="Arial" w:eastAsia="Arial" w:hAnsi="Arial"/>
          <w:sz w:val="16"/>
          <w:szCs w:val="16"/>
          <w:color w:val="auto"/>
        </w:rPr>
        <w:t>During the Term, the Executive shall hold the title of Senior Vice President, Commercial and shall perform such duties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reasonably require and shall use his best efforts to carry into effect the directions of Company senior management. The Executive shall report to the CEO or any other officer of the Company that the CEO or the Board of Directors (the “Board”) shall designate from time to time.</w:t>
      </w:r>
    </w:p>
    <w:p>
      <w:pPr>
        <w:spacing w:after="0" w:line="142" w:lineRule="exact"/>
        <w:rPr>
          <w:rFonts w:ascii="Arial" w:cs="Arial" w:eastAsia="Arial" w:hAnsi="Arial"/>
          <w:sz w:val="16"/>
          <w:szCs w:val="16"/>
          <w:b w:val="1"/>
          <w:bCs w:val="1"/>
          <w:color w:val="auto"/>
        </w:rPr>
      </w:pPr>
    </w:p>
    <w:p>
      <w:pPr>
        <w:ind w:right="60" w:firstLine="1305"/>
        <w:spacing w:after="0" w:line="261" w:lineRule="auto"/>
        <w:tabs>
          <w:tab w:leader="none" w:pos="2002"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 </w:t>
      </w:r>
      <w:r>
        <w:rPr>
          <w:rFonts w:ascii="Arial" w:cs="Arial" w:eastAsia="Arial" w:hAnsi="Arial"/>
          <w:sz w:val="18"/>
          <w:szCs w:val="18"/>
          <w:color w:val="auto"/>
        </w:rPr>
        <w:t>During the Term, the Executive shall well and faithfully serve the Company and use the Executive’s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promote the interests of the Company. The Executive shall at all times give the Company the full benefit of his knowledge, expertise, technical skill and ingenuity in the performance of his duties and exercise of his powers and authority in the capacity or capacities described in </w:t>
      </w:r>
      <w:r>
        <w:rPr>
          <w:rFonts w:ascii="Arial" w:cs="Arial" w:eastAsia="Arial" w:hAnsi="Arial"/>
          <w:sz w:val="18"/>
          <w:szCs w:val="18"/>
          <w:u w:val="single" w:color="auto"/>
          <w:color w:val="auto"/>
        </w:rPr>
        <w:t>Section 4(A</w:t>
      </w:r>
      <w:r>
        <w:rPr>
          <w:rFonts w:ascii="Arial" w:cs="Arial" w:eastAsia="Arial" w:hAnsi="Arial"/>
          <w:sz w:val="18"/>
          <w:szCs w:val="18"/>
          <w:color w:val="auto"/>
        </w:rPr>
        <w:t>) hereof, as the case may be.</w:t>
      </w:r>
    </w:p>
    <w:p>
      <w:pPr>
        <w:spacing w:after="0" w:line="180" w:lineRule="exact"/>
        <w:rPr>
          <w:rFonts w:ascii="Arial" w:cs="Arial" w:eastAsia="Arial" w:hAnsi="Arial"/>
          <w:sz w:val="18"/>
          <w:szCs w:val="18"/>
          <w:b w:val="1"/>
          <w:bCs w:val="1"/>
          <w:color w:val="auto"/>
        </w:rPr>
      </w:pPr>
    </w:p>
    <w:p>
      <w:pPr>
        <w:ind w:right="520" w:firstLine="1305"/>
        <w:spacing w:after="0" w:line="282" w:lineRule="auto"/>
        <w:tabs>
          <w:tab w:leader="none" w:pos="2011"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Devoted by Executive. </w:t>
      </w:r>
      <w:r>
        <w:rPr>
          <w:rFonts w:ascii="Arial" w:cs="Arial" w:eastAsia="Arial" w:hAnsi="Arial"/>
          <w:sz w:val="18"/>
          <w:szCs w:val="18"/>
          <w:color w:val="auto"/>
        </w:rPr>
        <w:t>The Executive agrees to devote substantially all of the Executive’s time and attention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hours and such additional time and attention as may reasonably be required to perform his duties hereunder.</w:t>
      </w:r>
    </w:p>
    <w:p>
      <w:pPr>
        <w:spacing w:after="0" w:line="161" w:lineRule="exact"/>
        <w:rPr>
          <w:rFonts w:ascii="Arial" w:cs="Arial" w:eastAsia="Arial" w:hAnsi="Arial"/>
          <w:sz w:val="18"/>
          <w:szCs w:val="18"/>
          <w:b w:val="1"/>
          <w:bCs w:val="1"/>
          <w:color w:val="auto"/>
        </w:rPr>
      </w:pPr>
    </w:p>
    <w:p>
      <w:pPr>
        <w:ind w:left="1380" w:hanging="724"/>
        <w:spacing w:after="0"/>
        <w:tabs>
          <w:tab w:leader="none" w:pos="1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EXECUTIVE.</w:t>
      </w:r>
    </w:p>
    <w:p>
      <w:pPr>
        <w:spacing w:after="0" w:line="225" w:lineRule="exact"/>
        <w:rPr>
          <w:rFonts w:ascii="Arial" w:cs="Arial" w:eastAsia="Arial" w:hAnsi="Arial"/>
          <w:sz w:val="18"/>
          <w:szCs w:val="18"/>
          <w:b w:val="1"/>
          <w:bCs w:val="1"/>
          <w:color w:val="auto"/>
        </w:rPr>
      </w:pPr>
    </w:p>
    <w:p>
      <w:pPr>
        <w:ind w:right="40" w:firstLine="1305"/>
        <w:spacing w:after="0" w:line="314" w:lineRule="auto"/>
        <w:tabs>
          <w:tab w:leader="none" w:pos="2011"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Non-Disclosure of Confidential Information. </w:t>
      </w:r>
      <w:r>
        <w:rPr>
          <w:rFonts w:ascii="Arial" w:cs="Arial" w:eastAsia="Arial" w:hAnsi="Arial"/>
          <w:sz w:val="16"/>
          <w:szCs w:val="16"/>
          <w:color w:val="auto"/>
        </w:rPr>
        <w:t>All information learned or developed by the Executive during the course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by the Company or any subsidiary thereof will be deemed “Confidential Information” under the terms of this Agreement. Examples of Confidential Information include, but are not limited to, business, scientific and technical information owned or controlled by the Company, including the</w:t>
      </w:r>
    </w:p>
    <w:p>
      <w:pPr>
        <w:sectPr>
          <w:pgSz w:w="11900" w:h="16838" w:orient="portrait"/>
          <w:cols w:equalWidth="0" w:num="1">
            <w:col w:w="11420"/>
          </w:cols>
          <w:pgMar w:left="240" w:top="121" w:right="239" w:bottom="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5" w:name="page26"/>
    <w:bookmarkEnd w:id="25"/>
    <w:p>
      <w:pPr>
        <w:ind w:right="120"/>
        <w:spacing w:after="0" w:line="270" w:lineRule="auto"/>
        <w:rPr>
          <w:sz w:val="20"/>
          <w:szCs w:val="20"/>
          <w:color w:val="auto"/>
        </w:rPr>
      </w:pPr>
      <w:r>
        <w:rPr>
          <w:rFonts w:ascii="Arial" w:cs="Arial" w:eastAsia="Arial" w:hAnsi="Arial"/>
          <w:sz w:val="17"/>
          <w:szCs w:val="17"/>
          <w:color w:val="auto"/>
        </w:rPr>
        <w:t>Company’s business plans and strategies; business operations and systems; information concerning employees, customers, partners and/or licensees; patent applications; trade secrets; inventions; ideas; procedures; formulations; processes; formulae; data and all other information of any nature whatsoever which relate to the Company’s business, science, technology and/or products. In addition, Confidential Information shall include, but not be limited to, all information which the Company may receive from third parties. The Executive will not disclose to any person at any time or use in any way, except as directed by the Company, either during or after the employment of the Executive by the Company, any Confidential Information. The foregoing restrictions shall not apply to information which is or becomes part of the public domain though no act or failure to act by the Executive. In addition to the foregoing, in the process of the Executive’s employment with the Company, or thereafter, under no condition is the Executive to use or disclose to the Company, or incorporate or use in any of his work for the Company, any confidential information imparted to the Executive or with which he may have come into contact while in the employ of his former employer(s).</w:t>
      </w:r>
    </w:p>
    <w:p>
      <w:pPr>
        <w:spacing w:after="0" w:line="178" w:lineRule="exact"/>
        <w:rPr>
          <w:sz w:val="20"/>
          <w:szCs w:val="20"/>
          <w:color w:val="auto"/>
        </w:rPr>
      </w:pPr>
    </w:p>
    <w:p>
      <w:pPr>
        <w:ind w:right="20" w:firstLine="1305"/>
        <w:spacing w:after="0" w:line="273" w:lineRule="auto"/>
        <w:tabs>
          <w:tab w:leader="none" w:pos="200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Inventions. </w:t>
      </w:r>
      <w:r>
        <w:rPr>
          <w:rFonts w:ascii="Arial" w:cs="Arial" w:eastAsia="Arial" w:hAnsi="Arial"/>
          <w:sz w:val="17"/>
          <w:szCs w:val="17"/>
          <w:color w:val="auto"/>
        </w:rPr>
        <w:t>The term “Invention” means any invention, discovery, improvement, apparatus, implement, process, compound,</w:t>
      </w:r>
      <w:r>
        <w:rPr>
          <w:rFonts w:ascii="Arial" w:cs="Arial" w:eastAsia="Arial" w:hAnsi="Arial"/>
          <w:sz w:val="17"/>
          <w:szCs w:val="17"/>
          <w:b w:val="1"/>
          <w:bCs w:val="1"/>
          <w:color w:val="auto"/>
        </w:rPr>
        <w:t xml:space="preserve"> </w:t>
      </w:r>
      <w:r>
        <w:rPr>
          <w:rFonts w:ascii="Arial" w:cs="Arial" w:eastAsia="Arial" w:hAnsi="Arial"/>
          <w:sz w:val="17"/>
          <w:szCs w:val="17"/>
          <w:color w:val="auto"/>
        </w:rPr>
        <w:t>composition or formula, whether or not patentable, conceived or reduced to practice, in whole or in part, by the Executive (alone, or jointly with others) during any term of his employment by the Company and twelve (12) months thereafter which directly or indirectly relates to the business, science, technology or products of the Company and /or any Confidential Information. The Executive will keep, on behalf of the Company, complete, accurate, and authentic accounts, notes, data, and records (“Records”) of each and every Invention, which Records will, at all times, be the property of the Company. The Executive will comply with the directions of the Company with respect to the manner and form of keeping or surrendering Records and will surrender to the Company all Records at the end of the Executive’s term of employment by the Company.</w:t>
      </w:r>
    </w:p>
    <w:p>
      <w:pPr>
        <w:spacing w:after="0" w:line="176" w:lineRule="exact"/>
        <w:rPr>
          <w:sz w:val="20"/>
          <w:szCs w:val="20"/>
          <w:color w:val="auto"/>
        </w:rPr>
      </w:pPr>
    </w:p>
    <w:p>
      <w:pPr>
        <w:ind w:right="120" w:firstLine="1945"/>
        <w:spacing w:after="0" w:line="257" w:lineRule="auto"/>
        <w:rPr>
          <w:sz w:val="20"/>
          <w:szCs w:val="20"/>
          <w:color w:val="auto"/>
        </w:rPr>
      </w:pPr>
      <w:r>
        <w:rPr>
          <w:rFonts w:ascii="Arial" w:cs="Arial" w:eastAsia="Arial" w:hAnsi="Arial"/>
          <w:sz w:val="18"/>
          <w:szCs w:val="18"/>
          <w:color w:val="auto"/>
        </w:rPr>
        <w:t>Each Invention will be the sole and exclusive property of the Company. The Executive will, at the request of the Company, make application in due form for United States letters patent and foreign letters patent (each, a “Patent”) on any Invention and execute any necessary documents in connection with the Patents. The Executive will assign and transfer to the Company all right, title, and interest of the Executive in any Patents or Patent applications. The Executive agrees to cooperate with any actions necessary to continue, renew or retain the Patents. The Company will bear the entire expense of applying for and obtaining the Patents.</w:t>
      </w:r>
    </w:p>
    <w:p>
      <w:pPr>
        <w:spacing w:after="0" w:line="188" w:lineRule="exact"/>
        <w:rPr>
          <w:sz w:val="20"/>
          <w:szCs w:val="20"/>
          <w:color w:val="auto"/>
        </w:rPr>
      </w:pPr>
    </w:p>
    <w:p>
      <w:pPr>
        <w:ind w:right="440" w:firstLine="1945"/>
        <w:spacing w:after="0" w:line="277" w:lineRule="auto"/>
        <w:rPr>
          <w:sz w:val="20"/>
          <w:szCs w:val="20"/>
          <w:color w:val="auto"/>
        </w:rPr>
      </w:pPr>
      <w:r>
        <w:rPr>
          <w:rFonts w:ascii="Arial" w:cs="Arial" w:eastAsia="Arial" w:hAnsi="Arial"/>
          <w:sz w:val="18"/>
          <w:szCs w:val="18"/>
          <w:color w:val="auto"/>
        </w:rPr>
        <w:t>For one year after the termination of the term of the Executive’s employment by the Company, the Executive will not file any applications for Patents on any Invention other than those filed at the request of and on behalf of the Company.</w:t>
      </w:r>
    </w:p>
    <w:p>
      <w:pPr>
        <w:spacing w:after="0" w:line="170" w:lineRule="exact"/>
        <w:rPr>
          <w:sz w:val="20"/>
          <w:szCs w:val="20"/>
          <w:color w:val="auto"/>
        </w:rPr>
      </w:pPr>
    </w:p>
    <w:p>
      <w:pPr>
        <w:ind w:right="60" w:firstLine="1945"/>
        <w:spacing w:after="0" w:line="279" w:lineRule="auto"/>
        <w:rPr>
          <w:sz w:val="20"/>
          <w:szCs w:val="20"/>
          <w:color w:val="auto"/>
        </w:rPr>
      </w:pPr>
      <w:r>
        <w:rPr>
          <w:rFonts w:ascii="Arial" w:cs="Arial" w:eastAsia="Arial" w:hAnsi="Arial"/>
          <w:sz w:val="17"/>
          <w:szCs w:val="17"/>
          <w:color w:val="auto"/>
        </w:rPr>
        <w:t>The Executive, as a condition of his employment, hereby represents that, to the best of his knowledge, there is not as of the date of this Agreement any agreement or obligation outstanding with or to any of his former employers or other party, which would restrict, limit or in any way prohibit all or any portion of his work or employment, nor is there in his possession any confidential information used by any of his former employers or any other party (except as may have been revealed in generally available publications or otherwise made publicly available).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20" w:hanging="715"/>
        <w:spacing w:after="0"/>
        <w:tabs>
          <w:tab w:leader="none" w:pos="20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Non-Solicitation.</w:t>
      </w:r>
    </w:p>
    <w:p>
      <w:pPr>
        <w:spacing w:after="0" w:line="225" w:lineRule="exact"/>
        <w:rPr>
          <w:rFonts w:ascii="Arial" w:cs="Arial" w:eastAsia="Arial" w:hAnsi="Arial"/>
          <w:sz w:val="18"/>
          <w:szCs w:val="18"/>
          <w:b w:val="1"/>
          <w:bCs w:val="1"/>
          <w:color w:val="auto"/>
        </w:rPr>
      </w:pPr>
    </w:p>
    <w:p>
      <w:pPr>
        <w:ind w:firstLine="1953"/>
        <w:spacing w:after="0" w:line="261" w:lineRule="auto"/>
        <w:tabs>
          <w:tab w:leader="none" w:pos="2244"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During the Term, without the consent of the Board, and thereafter as specifically provided in Subsection</w:t>
      </w:r>
      <w:r>
        <w:rPr>
          <w:rFonts w:ascii="Arial" w:cs="Arial" w:eastAsia="Arial" w:hAnsi="Arial"/>
          <w:sz w:val="18"/>
          <w:szCs w:val="18"/>
          <w:b w:val="1"/>
          <w:bCs w:val="1"/>
          <w:color w:val="auto"/>
        </w:rPr>
        <w:t xml:space="preserve"> </w:t>
      </w:r>
      <w:r>
        <w:rPr>
          <w:rFonts w:ascii="Arial" w:cs="Arial" w:eastAsia="Arial" w:hAnsi="Arial"/>
          <w:sz w:val="18"/>
          <w:szCs w:val="18"/>
          <w:color w:val="auto"/>
        </w:rPr>
        <w:t>6.A.(2), 6.B.(4) or 6.C.(2), the Executive may not directly or indirectly engage in, or have any interest in, any business (whether as employee, officer, director, agent, security holder, creditor, consultant, or otherwise) that competes with the vaccine and/or antibody business of the Company or any subsidiary thereof (as such business may exist during the Term).</w:t>
      </w:r>
    </w:p>
    <w:p>
      <w:pPr>
        <w:spacing w:after="0" w:line="180" w:lineRule="exact"/>
        <w:rPr>
          <w:rFonts w:ascii="Arial" w:cs="Arial" w:eastAsia="Arial" w:hAnsi="Arial"/>
          <w:sz w:val="18"/>
          <w:szCs w:val="18"/>
          <w:b w:val="1"/>
          <w:bCs w:val="1"/>
          <w:color w:val="auto"/>
        </w:rPr>
      </w:pPr>
    </w:p>
    <w:p>
      <w:pPr>
        <w:ind w:left="2260" w:hanging="307"/>
        <w:spacing w:after="0"/>
        <w:tabs>
          <w:tab w:leader="none" w:pos="2260" w:val="left"/>
        </w:tabs>
        <w:numPr>
          <w:ilvl w:val="1"/>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of Employees. </w:t>
      </w:r>
      <w:r>
        <w:rPr>
          <w:rFonts w:ascii="Arial" w:cs="Arial" w:eastAsia="Arial" w:hAnsi="Arial"/>
          <w:sz w:val="17"/>
          <w:szCs w:val="17"/>
          <w:color w:val="auto"/>
        </w:rPr>
        <w:t>During the Term, and thereafter as specifically provided in Subsection 6.A.(2), 6.B.(4) or</w:t>
      </w:r>
    </w:p>
    <w:p>
      <w:pPr>
        <w:spacing w:after="0" w:line="3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6.C.(2), the Executive shall not, directly or indirectly induce or solicit any employee or independent contractor of the Company or any subsidiary thereof to terminate his or her employment with the Company for the purpose of joining another company in which the Executive has an interest (whether as an employee, officer, director, agent, security holder, creditor, consultant, or otherwise).</w:t>
      </w:r>
    </w:p>
    <w:p>
      <w:pPr>
        <w:spacing w:after="0" w:line="186" w:lineRule="exact"/>
        <w:rPr>
          <w:sz w:val="20"/>
          <w:szCs w:val="20"/>
          <w:color w:val="auto"/>
        </w:rPr>
      </w:pPr>
    </w:p>
    <w:p>
      <w:pPr>
        <w:ind w:right="160" w:firstLine="656"/>
        <w:spacing w:after="0" w:line="274" w:lineRule="auto"/>
        <w:tabs>
          <w:tab w:leader="none" w:pos="1363"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Breach. </w:t>
      </w:r>
      <w:r>
        <w:rPr>
          <w:rFonts w:ascii="Arial" w:cs="Arial" w:eastAsia="Arial" w:hAnsi="Arial"/>
          <w:sz w:val="17"/>
          <w:szCs w:val="17"/>
          <w:color w:val="auto"/>
        </w:rPr>
        <w:t>The Executive acknowledges that there may be circumstances in which his breach of any covenant set forth in this 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could cause substantial harm to the Company which may not be compensable by monetary damages alone, and which could potentially entitle the Company to injunctive relief. However, by acknowledging this possibility, the Executive is not agreeing to waive his right to require the Company to meet its evidentiary burdens as required by law in any cause of action brought by the Company seeking such injunctive relief. The restrictions contained in Subsection 5.C. above shall not prohibit Executive from owning (beneficially or of record) less than 5% of any class of equity or debt security issued by a publicly-held company, regardless of whether that publicly-held company is otherwise a competitor of the Company.</w:t>
      </w:r>
    </w:p>
    <w:p>
      <w:pPr>
        <w:spacing w:after="0" w:line="174" w:lineRule="exact"/>
        <w:rPr>
          <w:sz w:val="20"/>
          <w:szCs w:val="20"/>
          <w:color w:val="auto"/>
        </w:rPr>
      </w:pPr>
    </w:p>
    <w:p>
      <w:pPr>
        <w:ind w:left="1380" w:hanging="724"/>
        <w:spacing w:after="0"/>
        <w:tabs>
          <w:tab w:leader="none" w:pos="1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Termination for Cause by the Company.</w:t>
      </w:r>
    </w:p>
    <w:p>
      <w:pPr>
        <w:spacing w:after="0" w:line="229" w:lineRule="exact"/>
        <w:rPr>
          <w:rFonts w:ascii="Arial" w:cs="Arial" w:eastAsia="Arial" w:hAnsi="Arial"/>
          <w:sz w:val="18"/>
          <w:szCs w:val="18"/>
          <w:b w:val="1"/>
          <w:bCs w:val="1"/>
          <w:color w:val="auto"/>
        </w:rPr>
      </w:pPr>
    </w:p>
    <w:p>
      <w:pPr>
        <w:ind w:right="40" w:firstLine="1953"/>
        <w:spacing w:after="0" w:line="288" w:lineRule="auto"/>
        <w:tabs>
          <w:tab w:leader="none" w:pos="2245" w:val="left"/>
        </w:tabs>
        <w:numPr>
          <w:ilvl w:val="2"/>
          <w:numId w:val="28"/>
        </w:numPr>
        <w:rPr>
          <w:rFonts w:ascii="Arial" w:cs="Arial" w:eastAsia="Arial" w:hAnsi="Arial"/>
          <w:sz w:val="16"/>
          <w:szCs w:val="16"/>
          <w:b w:val="1"/>
          <w:bCs w:val="1"/>
          <w:color w:val="auto"/>
        </w:rPr>
      </w:pPr>
      <w:r>
        <w:rPr>
          <w:rFonts w:ascii="Arial" w:cs="Arial" w:eastAsia="Arial" w:hAnsi="Arial"/>
          <w:sz w:val="16"/>
          <w:szCs w:val="16"/>
          <w:color w:val="auto"/>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 not be terminated for the cause specified in the notice. During such thirty (30) day period, the Term shall continue and the Executive shall continue to receive his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26" w:name="page27"/>
    <w:bookmarkEnd w:id="26"/>
    <w:p>
      <w:pPr>
        <w:ind w:right="320"/>
        <w:spacing w:after="0" w:line="308" w:lineRule="auto"/>
        <w:rPr>
          <w:sz w:val="20"/>
          <w:szCs w:val="20"/>
          <w:color w:val="auto"/>
        </w:rPr>
      </w:pPr>
      <w:r>
        <w:rPr>
          <w:rFonts w:ascii="Arial" w:cs="Arial" w:eastAsia="Arial" w:hAnsi="Arial"/>
          <w:sz w:val="17"/>
          <w:szCs w:val="17"/>
          <w:color w:val="auto"/>
        </w:rPr>
        <w:t>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spacing w:after="0" w:line="147" w:lineRule="exact"/>
        <w:rPr>
          <w:sz w:val="20"/>
          <w:szCs w:val="20"/>
          <w:color w:val="auto"/>
        </w:rPr>
      </w:pPr>
    </w:p>
    <w:p>
      <w:pPr>
        <w:ind w:right="40" w:firstLine="1953"/>
        <w:spacing w:after="0" w:line="277" w:lineRule="auto"/>
        <w:tabs>
          <w:tab w:leader="none" w:pos="2245" w:val="left"/>
        </w:tabs>
        <w:numPr>
          <w:ilvl w:val="2"/>
          <w:numId w:val="29"/>
        </w:numPr>
        <w:rPr>
          <w:rFonts w:ascii="Arial" w:cs="Arial" w:eastAsia="Arial" w:hAnsi="Arial"/>
          <w:sz w:val="18"/>
          <w:szCs w:val="18"/>
          <w:b w:val="1"/>
          <w:bCs w:val="1"/>
          <w:color w:val="auto"/>
        </w:rPr>
      </w:pPr>
      <w:r>
        <w:rPr>
          <w:rFonts w:ascii="Arial" w:cs="Arial" w:eastAsia="Arial" w:hAnsi="Arial"/>
          <w:sz w:val="18"/>
          <w:szCs w:val="18"/>
          <w:color w:val="auto"/>
        </w:rPr>
        <w:t>In the event the Term is terminated by the Company for cause, the provisions of Subsections 5.C.(1) and 5.C.(2) shall continue to apply for one year after the conclusion of the Term.</w:t>
      </w:r>
    </w:p>
    <w:p>
      <w:pPr>
        <w:spacing w:after="0" w:line="170" w:lineRule="exact"/>
        <w:rPr>
          <w:rFonts w:ascii="Arial" w:cs="Arial" w:eastAsia="Arial" w:hAnsi="Arial"/>
          <w:sz w:val="18"/>
          <w:szCs w:val="18"/>
          <w:b w:val="1"/>
          <w:bCs w:val="1"/>
          <w:color w:val="auto"/>
        </w:rPr>
      </w:pPr>
    </w:p>
    <w:p>
      <w:pPr>
        <w:ind w:right="340" w:firstLine="1953"/>
        <w:spacing w:after="0" w:line="342" w:lineRule="auto"/>
        <w:tabs>
          <w:tab w:leader="none" w:pos="2245" w:val="left"/>
        </w:tabs>
        <w:numPr>
          <w:ilvl w:val="2"/>
          <w:numId w:val="29"/>
        </w:numPr>
        <w:rPr>
          <w:rFonts w:ascii="Arial" w:cs="Arial" w:eastAsia="Arial" w:hAnsi="Arial"/>
          <w:sz w:val="16"/>
          <w:szCs w:val="16"/>
          <w:b w:val="1"/>
          <w:bCs w:val="1"/>
          <w:color w:val="auto"/>
        </w:rPr>
      </w:pPr>
      <w:r>
        <w:rPr>
          <w:rFonts w:ascii="Arial" w:cs="Arial" w:eastAsia="Arial" w:hAnsi="Arial"/>
          <w:sz w:val="16"/>
          <w:szCs w:val="16"/>
          <w:color w:val="auto"/>
        </w:rPr>
        <w:t>In the event the Term is terminated by the Company for cause, the Executive’s entire right to salary and benefits hereunder (with the exception of Base Salary and Annual Bonus (if any) earned and accrued prior to termination) shall cease upon such termination.</w:t>
      </w:r>
    </w:p>
    <w:p>
      <w:pPr>
        <w:spacing w:after="0" w:line="119" w:lineRule="exact"/>
        <w:rPr>
          <w:rFonts w:ascii="Arial" w:cs="Arial" w:eastAsia="Arial" w:hAnsi="Arial"/>
          <w:sz w:val="16"/>
          <w:szCs w:val="16"/>
          <w:b w:val="1"/>
          <w:bCs w:val="1"/>
          <w:color w:val="auto"/>
        </w:rPr>
      </w:pPr>
    </w:p>
    <w:p>
      <w:pPr>
        <w:ind w:left="2000" w:hanging="695"/>
        <w:spacing w:after="0"/>
        <w:tabs>
          <w:tab w:leader="none" w:pos="200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Without Cause by the Company or for Good Reason by the Executive.</w:t>
      </w:r>
    </w:p>
    <w:p>
      <w:pPr>
        <w:spacing w:after="0" w:line="229" w:lineRule="exact"/>
        <w:rPr>
          <w:rFonts w:ascii="Arial" w:cs="Arial" w:eastAsia="Arial" w:hAnsi="Arial"/>
          <w:sz w:val="18"/>
          <w:szCs w:val="18"/>
          <w:b w:val="1"/>
          <w:bCs w:val="1"/>
          <w:color w:val="auto"/>
        </w:rPr>
      </w:pPr>
    </w:p>
    <w:p>
      <w:pPr>
        <w:ind w:left="2260" w:hanging="307"/>
        <w:spacing w:after="0"/>
        <w:tabs>
          <w:tab w:leader="none" w:pos="2260" w:val="left"/>
        </w:tabs>
        <w:numPr>
          <w:ilvl w:val="2"/>
          <w:numId w:val="30"/>
        </w:numPr>
        <w:rPr>
          <w:rFonts w:ascii="Arial" w:cs="Arial" w:eastAsia="Arial" w:hAnsi="Arial"/>
          <w:sz w:val="16"/>
          <w:szCs w:val="16"/>
          <w:b w:val="1"/>
          <w:bCs w:val="1"/>
          <w:color w:val="auto"/>
        </w:rPr>
      </w:pPr>
      <w:r>
        <w:rPr>
          <w:rFonts w:ascii="Arial" w:cs="Arial" w:eastAsia="Arial" w:hAnsi="Arial"/>
          <w:sz w:val="16"/>
          <w:szCs w:val="16"/>
          <w:color w:val="auto"/>
        </w:rPr>
        <w:t>The Company shall have the right to terminate the Term, at any time, without cause upon ninety (90) days’ written notice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Executive.</w:t>
      </w:r>
    </w:p>
    <w:p>
      <w:pPr>
        <w:spacing w:after="0" w:line="210" w:lineRule="exact"/>
        <w:rPr>
          <w:rFonts w:ascii="Arial" w:cs="Arial" w:eastAsia="Arial" w:hAnsi="Arial"/>
          <w:sz w:val="16"/>
          <w:szCs w:val="16"/>
          <w:b w:val="1"/>
          <w:bCs w:val="1"/>
          <w:color w:val="auto"/>
        </w:rPr>
      </w:pPr>
    </w:p>
    <w:p>
      <w:pPr>
        <w:ind w:right="240" w:firstLine="1953"/>
        <w:spacing w:after="0" w:line="286" w:lineRule="auto"/>
        <w:tabs>
          <w:tab w:leader="none" w:pos="2245" w:val="left"/>
        </w:tabs>
        <w:numPr>
          <w:ilvl w:val="2"/>
          <w:numId w:val="30"/>
        </w:numPr>
        <w:rPr>
          <w:rFonts w:ascii="Arial" w:cs="Arial" w:eastAsia="Arial" w:hAnsi="Arial"/>
          <w:sz w:val="16"/>
          <w:szCs w:val="16"/>
          <w:b w:val="1"/>
          <w:bCs w:val="1"/>
          <w:color w:val="auto"/>
        </w:rPr>
      </w:pPr>
      <w:r>
        <w:rPr>
          <w:rFonts w:ascii="Arial" w:cs="Arial" w:eastAsia="Arial" w:hAnsi="Arial"/>
          <w:sz w:val="16"/>
          <w:szCs w:val="16"/>
          <w:color w:val="auto"/>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the Executive’s title or reporting relationships shall not provide the basis for a termination with good reason;</w:t>
      </w:r>
    </w:p>
    <w:p>
      <w:pPr>
        <w:spacing w:after="0" w:line="1" w:lineRule="exact"/>
        <w:rPr>
          <w:rFonts w:ascii="Arial" w:cs="Arial" w:eastAsia="Arial" w:hAnsi="Arial"/>
          <w:sz w:val="16"/>
          <w:szCs w:val="16"/>
          <w:b w:val="1"/>
          <w:bCs w:val="1"/>
          <w:color w:val="auto"/>
        </w:rPr>
      </w:pPr>
    </w:p>
    <w:p>
      <w:pPr>
        <w:ind w:right="40" w:firstLine="8"/>
        <w:spacing w:after="0" w:line="271"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relocation of the Executive’s business office to a location more than fifty (50) miles from the location in Hampton, NJ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6.C.(1).</w:t>
      </w:r>
    </w:p>
    <w:p>
      <w:pPr>
        <w:spacing w:after="0" w:line="178" w:lineRule="exact"/>
        <w:rPr>
          <w:rFonts w:ascii="Arial" w:cs="Arial" w:eastAsia="Arial" w:hAnsi="Arial"/>
          <w:sz w:val="17"/>
          <w:szCs w:val="17"/>
          <w:color w:val="auto"/>
        </w:rPr>
      </w:pPr>
    </w:p>
    <w:p>
      <w:pPr>
        <w:ind w:right="80" w:firstLine="1953"/>
        <w:spacing w:after="0" w:line="290" w:lineRule="auto"/>
        <w:tabs>
          <w:tab w:leader="none" w:pos="2245" w:val="left"/>
        </w:tabs>
        <w:numPr>
          <w:ilvl w:val="2"/>
          <w:numId w:val="31"/>
        </w:numPr>
        <w:rPr>
          <w:rFonts w:ascii="Arial" w:cs="Arial" w:eastAsia="Arial" w:hAnsi="Arial"/>
          <w:sz w:val="16"/>
          <w:szCs w:val="16"/>
          <w:b w:val="1"/>
          <w:bCs w:val="1"/>
          <w:color w:val="auto"/>
        </w:rPr>
      </w:pPr>
      <w:r>
        <w:rPr>
          <w:rFonts w:ascii="Arial" w:cs="Arial" w:eastAsia="Arial" w:hAnsi="Arial"/>
          <w:sz w:val="16"/>
          <w:szCs w:val="16"/>
          <w:color w:val="auto"/>
        </w:rPr>
        <w:t>In the event the Term is terminated pursuant to Subsection 6.B.(1) or 6.B.(2), or in the event that the Term is terminated at the end of the Initial Term in connection with the Company providing the Executive with a Notice of Non-Renewal effective in connection with the expiration of the Initial Term, the Company shall pay the Executive as a severance benefit a lump sum cash severance payment in an amount equal to 100% of the Executive’s then existing annual Base Salary (</w:t>
      </w:r>
      <w:r>
        <w:rPr>
          <w:rFonts w:ascii="Arial" w:cs="Arial" w:eastAsia="Arial" w:hAnsi="Arial"/>
          <w:sz w:val="16"/>
          <w:szCs w:val="16"/>
          <w:i w:val="1"/>
          <w:iCs w:val="1"/>
          <w:color w:val="auto"/>
        </w:rPr>
        <w:t>i.e.</w:t>
      </w:r>
      <w:r>
        <w:rPr>
          <w:rFonts w:ascii="Arial" w:cs="Arial" w:eastAsia="Arial" w:hAnsi="Arial"/>
          <w:sz w:val="16"/>
          <w:szCs w:val="16"/>
          <w:color w:val="auto"/>
        </w:rPr>
        <w:t>, twelve (12) months of Base Salary) (the “Severance Payment”) plus Base Salary and Annual Bonus (if any) earned and accrued prior to termination. In addition, if and to the extent the Executive timely elects to continue his health insurance employee benefits pursuant to COBRA, then the Company will pay the Executive for a period of 18 months, commencing with the payroll date on or following the 63rd day after the last day of his employment with the Company, subject to the effectiveness of the Release (as defined below) a monthly amount, payable in accordance with the Company’s regular payroll practices, equal to the applicable COBRA costs, subject to applicable tax withholdings (the “Supplemental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Payments”). The Severance Payment shall be paid within 10 days following the effectiveness of the Release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necessary to comply with the restriction in Section 409A(a)(2)(B) of the Internal Revenue Code of 1986, as amended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spacing w:after="0" w:line="171" w:lineRule="exact"/>
        <w:rPr>
          <w:sz w:val="20"/>
          <w:szCs w:val="20"/>
          <w:color w:val="auto"/>
        </w:rPr>
      </w:pPr>
    </w:p>
    <w:p>
      <w:pPr>
        <w:ind w:right="80" w:firstLine="1953"/>
        <w:spacing w:after="0" w:line="308" w:lineRule="auto"/>
        <w:tabs>
          <w:tab w:leader="none" w:pos="2245" w:val="left"/>
        </w:tabs>
        <w:numPr>
          <w:ilvl w:val="1"/>
          <w:numId w:val="32"/>
        </w:numPr>
        <w:rPr>
          <w:rFonts w:ascii="Arial" w:cs="Arial" w:eastAsia="Arial" w:hAnsi="Arial"/>
          <w:sz w:val="17"/>
          <w:szCs w:val="17"/>
          <w:b w:val="1"/>
          <w:bCs w:val="1"/>
          <w:color w:val="auto"/>
        </w:rPr>
      </w:pPr>
      <w:r>
        <w:rPr>
          <w:rFonts w:ascii="Arial" w:cs="Arial" w:eastAsia="Arial" w:hAnsi="Arial"/>
          <w:sz w:val="17"/>
          <w:szCs w:val="17"/>
          <w:color w:val="auto"/>
        </w:rPr>
        <w:t>In the event the Term is terminated or the Executive’s employment with the Company terminates in a manner described in this Section 6.B., the provisions of Subsections 5.C.(1) and 5.C.(2) shall continue to apply for one year after the conclusion of the Term.</w:t>
      </w:r>
    </w:p>
    <w:p>
      <w:pPr>
        <w:spacing w:after="0" w:line="146" w:lineRule="exact"/>
        <w:rPr>
          <w:rFonts w:ascii="Arial" w:cs="Arial" w:eastAsia="Arial" w:hAnsi="Arial"/>
          <w:sz w:val="17"/>
          <w:szCs w:val="17"/>
          <w:b w:val="1"/>
          <w:bCs w:val="1"/>
          <w:color w:val="auto"/>
        </w:rPr>
      </w:pPr>
    </w:p>
    <w:p>
      <w:pPr>
        <w:ind w:firstLine="1953"/>
        <w:spacing w:after="0" w:line="290" w:lineRule="auto"/>
        <w:tabs>
          <w:tab w:leader="none" w:pos="2245"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Notwithstanding any provision to the contrary contained herein, the Executive shall not be eligible or entitled to receive the Severance Payment, Supplemental Payments or Change in Control Payment (as defined below), as applicable, unless he executes (and does not revoke during any applicable revocation period) and delivers to the Company a separation agreement and release of claims, in such form prepared in good faith by the Company and provided to the Executive to review no later than 10 days following the last day of his employment with the Company, within 55 days following his last day of employment with the Company (the “Release”). Notwithstanding anything to the contrary contained herein, in the event such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6.B.(3) above), regardless of whether the Executive executes and delivers the Release in the first or the second calendar year encompassed in such 55-day period.</w:t>
      </w:r>
    </w:p>
    <w:p>
      <w:pPr>
        <w:spacing w:after="0" w:line="162" w:lineRule="exact"/>
        <w:rPr>
          <w:rFonts w:ascii="Arial" w:cs="Arial" w:eastAsia="Arial" w:hAnsi="Arial"/>
          <w:sz w:val="16"/>
          <w:szCs w:val="16"/>
          <w:b w:val="1"/>
          <w:bCs w:val="1"/>
          <w:color w:val="auto"/>
        </w:rPr>
      </w:pPr>
    </w:p>
    <w:p>
      <w:pPr>
        <w:ind w:left="2020" w:hanging="715"/>
        <w:spacing w:after="0"/>
        <w:tabs>
          <w:tab w:leader="none" w:pos="20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the Executive.</w:t>
      </w:r>
    </w:p>
    <w:p>
      <w:pPr>
        <w:spacing w:after="0" w:line="229" w:lineRule="exact"/>
        <w:rPr>
          <w:rFonts w:ascii="Arial" w:cs="Arial" w:eastAsia="Arial" w:hAnsi="Arial"/>
          <w:sz w:val="18"/>
          <w:szCs w:val="18"/>
          <w:b w:val="1"/>
          <w:bCs w:val="1"/>
          <w:color w:val="auto"/>
        </w:rPr>
      </w:pPr>
    </w:p>
    <w:p>
      <w:pPr>
        <w:jc w:val="both"/>
        <w:ind w:right="240" w:firstLine="1953"/>
        <w:spacing w:after="0" w:line="264" w:lineRule="auto"/>
        <w:tabs>
          <w:tab w:leader="none" w:pos="224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The Executive shall have the right to terminate the Term, by way of resignation, upon ninety (90) days’ written notice to the Company. A termination by the Executive for good reason pursuant to Subsection 6.B.(2) shall not be considered a resignation pursuant to this Subsection 6.C.(1).</w:t>
      </w:r>
    </w:p>
    <w:p>
      <w:pPr>
        <w:spacing w:after="0" w:line="181" w:lineRule="exact"/>
        <w:rPr>
          <w:rFonts w:ascii="Arial" w:cs="Arial" w:eastAsia="Arial" w:hAnsi="Arial"/>
          <w:sz w:val="18"/>
          <w:szCs w:val="18"/>
          <w:b w:val="1"/>
          <w:bCs w:val="1"/>
          <w:color w:val="auto"/>
        </w:rPr>
      </w:pPr>
    </w:p>
    <w:p>
      <w:pPr>
        <w:ind w:right="400" w:firstLine="1953"/>
        <w:spacing w:after="0" w:line="277" w:lineRule="auto"/>
        <w:tabs>
          <w:tab w:leader="none" w:pos="224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In the event the Term is terminated pursuant to Subsection 6.C.(1), the provisions of Subsections 5.C.(1) and 5.C.(2) shall continue to apply for one year after the conclusion of the Term.</w:t>
      </w:r>
    </w:p>
    <w:p>
      <w:pPr>
        <w:spacing w:after="0" w:line="170" w:lineRule="exact"/>
        <w:rPr>
          <w:rFonts w:ascii="Arial" w:cs="Arial" w:eastAsia="Arial" w:hAnsi="Arial"/>
          <w:sz w:val="18"/>
          <w:szCs w:val="18"/>
          <w:b w:val="1"/>
          <w:bCs w:val="1"/>
          <w:color w:val="auto"/>
        </w:rPr>
      </w:pPr>
    </w:p>
    <w:p>
      <w:pPr>
        <w:ind w:right="40" w:firstLine="1953"/>
        <w:spacing w:after="0" w:line="308" w:lineRule="auto"/>
        <w:tabs>
          <w:tab w:leader="none" w:pos="224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In the event the Term is terminated pursuant to Subsection 6.C.(1), the Executive’s entire right to salary and benefits hereunder (with the exception of Base Salary and Annual Bonus earned and accrued prior to termination) shall cease upon such termination.</w:t>
      </w:r>
    </w:p>
    <w:p>
      <w:pPr>
        <w:spacing w:after="0" w:line="142" w:lineRule="exact"/>
        <w:rPr>
          <w:rFonts w:ascii="Arial" w:cs="Arial" w:eastAsia="Arial" w:hAnsi="Arial"/>
          <w:sz w:val="17"/>
          <w:szCs w:val="17"/>
          <w:b w:val="1"/>
          <w:bCs w:val="1"/>
          <w:color w:val="auto"/>
        </w:rPr>
      </w:pPr>
    </w:p>
    <w:p>
      <w:pPr>
        <w:ind w:left="2020" w:hanging="715"/>
        <w:spacing w:after="0"/>
        <w:tabs>
          <w:tab w:leader="none" w:pos="20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Upon Change in Control.</w:t>
      </w:r>
    </w:p>
    <w:p>
      <w:pPr>
        <w:spacing w:after="0" w:line="229" w:lineRule="exact"/>
        <w:rPr>
          <w:rFonts w:ascii="Arial" w:cs="Arial" w:eastAsia="Arial" w:hAnsi="Arial"/>
          <w:sz w:val="18"/>
          <w:szCs w:val="18"/>
          <w:b w:val="1"/>
          <w:bCs w:val="1"/>
          <w:color w:val="auto"/>
        </w:rPr>
      </w:pPr>
    </w:p>
    <w:p>
      <w:pPr>
        <w:ind w:left="2260" w:hanging="307"/>
        <w:spacing w:after="0"/>
        <w:tabs>
          <w:tab w:leader="none" w:pos="2260"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For the purposes of this Agreement, a “Change in Control” shall mean any of the following events that occurs following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27" w:name="page28"/>
    <w:bookmarkEnd w:id="27"/>
    <w:p>
      <w:pPr>
        <w:spacing w:after="0" w:line="122" w:lineRule="exact"/>
        <w:rPr>
          <w:sz w:val="20"/>
          <w:szCs w:val="20"/>
          <w:color w:val="auto"/>
        </w:rPr>
      </w:pPr>
    </w:p>
    <w:p>
      <w:pPr>
        <w:ind w:right="120" w:firstLine="2601"/>
        <w:spacing w:after="0" w:line="291" w:lineRule="auto"/>
        <w:tabs>
          <w:tab w:leader="none" w:pos="3298"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An acquisition (other than directly from the Company) of any voting securities of the Company (the “Voting Securities”) other than in a “Non-Control Acquisition” (as defined below) by any “Person” (as the term “person” is used for purposes of Section 13(d) or 14(d) of the Securities Exchange Act of 1934, as amended, (the “1934 Act”)) which results in such Person first attaining “Beneficial Ownership” (within the meaning of Rule 13d-3 promulgated under the 1934 Act) of fifty-one percent (51%) or more of the combined voting power of the Company’s then outstanding Voting Securities. For purposes of the foregoing, a “Non-Control Acquisition”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“Subsidiary”), or (ii) the Company or any Subsidiary.</w:t>
      </w:r>
    </w:p>
    <w:p>
      <w:pPr>
        <w:spacing w:after="0" w:line="167" w:lineRule="exact"/>
        <w:rPr>
          <w:rFonts w:ascii="Arial" w:cs="Arial" w:eastAsia="Arial" w:hAnsi="Arial"/>
          <w:sz w:val="16"/>
          <w:szCs w:val="16"/>
          <w:b w:val="1"/>
          <w:bCs w:val="1"/>
          <w:color w:val="auto"/>
        </w:rPr>
      </w:pPr>
    </w:p>
    <w:p>
      <w:pPr>
        <w:ind w:right="60" w:firstLine="2601"/>
        <w:spacing w:after="0" w:line="255" w:lineRule="auto"/>
        <w:tabs>
          <w:tab w:leader="none" w:pos="330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The individuals who, as of the date of this Agreement, were members of the Board (the “Incumbent Board”) cease for any reason to constitute at least 66 2/3%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“Proxy Contest”) including by reason of any agreement intended to avoid or settle any Election Contest or Proxy Contest; or</w:t>
      </w:r>
    </w:p>
    <w:p>
      <w:pPr>
        <w:spacing w:after="0" w:line="189" w:lineRule="exact"/>
        <w:rPr>
          <w:rFonts w:ascii="Arial" w:cs="Arial" w:eastAsia="Arial" w:hAnsi="Arial"/>
          <w:sz w:val="18"/>
          <w:szCs w:val="18"/>
          <w:b w:val="1"/>
          <w:bCs w:val="1"/>
          <w:color w:val="auto"/>
        </w:rPr>
      </w:pPr>
    </w:p>
    <w:p>
      <w:pPr>
        <w:ind w:right="20" w:firstLine="2601"/>
        <w:spacing w:after="0" w:line="268" w:lineRule="auto"/>
        <w:tabs>
          <w:tab w:leader="none" w:pos="3288"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“Surviving Corporation”)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“Non-Control Transaction”); (2) a complete liquidation or dissolution of the Company; or (3) an agreement for the sale or other disposition of all or substantially all of the assets of the Company to any Person (other than a transfer to a Subsidiary).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2601"/>
        <w:spacing w:after="0" w:line="255" w:lineRule="auto"/>
        <w:tabs>
          <w:tab w:leader="none" w:pos="3308"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a Change in Control shall not be deemed to occur solely because the level of Beneficial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spacing w:after="0" w:line="189" w:lineRule="exact"/>
        <w:rPr>
          <w:rFonts w:ascii="Arial" w:cs="Arial" w:eastAsia="Arial" w:hAnsi="Arial"/>
          <w:sz w:val="18"/>
          <w:szCs w:val="18"/>
          <w:b w:val="1"/>
          <w:bCs w:val="1"/>
          <w:color w:val="auto"/>
        </w:rPr>
      </w:pPr>
    </w:p>
    <w:p>
      <w:pPr>
        <w:ind w:right="60" w:firstLine="1953"/>
        <w:spacing w:after="0" w:line="264" w:lineRule="auto"/>
        <w:tabs>
          <w:tab w:leader="none" w:pos="2245"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In the event of a termination of the Term pursuant to an event described in Section 6.B. above, that occurs within a period of one year immediately following a Change in Control, then this Section 6.D. shall apply instead of Section 6.B., and the Company shall provide the Executive the following benefits:</w:t>
      </w:r>
    </w:p>
    <w:p>
      <w:pPr>
        <w:spacing w:after="0" w:line="177" w:lineRule="exact"/>
        <w:rPr>
          <w:rFonts w:ascii="Arial" w:cs="Arial" w:eastAsia="Arial" w:hAnsi="Arial"/>
          <w:sz w:val="18"/>
          <w:szCs w:val="18"/>
          <w:b w:val="1"/>
          <w:bCs w:val="1"/>
          <w:color w:val="auto"/>
        </w:rPr>
      </w:pPr>
    </w:p>
    <w:p>
      <w:pPr>
        <w:ind w:right="60" w:firstLine="2601"/>
        <w:spacing w:after="0" w:line="255" w:lineRule="auto"/>
        <w:tabs>
          <w:tab w:leader="none" w:pos="3298"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w:t>
      </w:r>
      <w:r>
        <w:rPr>
          <w:rFonts w:ascii="Arial" w:cs="Arial" w:eastAsia="Arial" w:hAnsi="Arial"/>
          <w:sz w:val="18"/>
          <w:szCs w:val="18"/>
          <w:color w:val="auto"/>
        </w:rPr>
        <w:t>In addition to all compensation for services rendered by Executive to the Company up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the Company shall pay to Executive a single lump-sum payment in an amount equal to (i) twenty-four (24) times Executive’s highest monthly base compensation paid hereunder during the preceding twenty-four month period, plus (ii) 150% of the highest one-year Annual Bonus actually received by the Executive during the preceding two full fiscal years prior to the date of termination (such aggregate amount the “Change in Control Payment”). The Change in Control Payment shall be paid within 10 days following the effectiveness of the Release;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spacing w:after="0" w:line="185" w:lineRule="exact"/>
        <w:rPr>
          <w:rFonts w:ascii="Arial" w:cs="Arial" w:eastAsia="Arial" w:hAnsi="Arial"/>
          <w:sz w:val="18"/>
          <w:szCs w:val="18"/>
          <w:b w:val="1"/>
          <w:bCs w:val="1"/>
          <w:color w:val="auto"/>
        </w:rPr>
      </w:pPr>
    </w:p>
    <w:p>
      <w:pPr>
        <w:ind w:left="3320" w:hanging="719"/>
        <w:spacing w:after="0"/>
        <w:tabs>
          <w:tab w:leader="none" w:pos="3320"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 </w:t>
      </w:r>
      <w:r>
        <w:rPr>
          <w:rFonts w:ascii="Arial" w:cs="Arial" w:eastAsia="Arial" w:hAnsi="Arial"/>
          <w:sz w:val="17"/>
          <w:szCs w:val="17"/>
          <w:color w:val="auto"/>
        </w:rPr>
        <w:t>In addition to the payment described above, the Company shall provide the Executive with the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Supplemental Payments.</w:t>
      </w:r>
    </w:p>
    <w:p>
      <w:pPr>
        <w:spacing w:after="0" w:line="206" w:lineRule="exact"/>
        <w:rPr>
          <w:rFonts w:ascii="Arial" w:cs="Arial" w:eastAsia="Arial" w:hAnsi="Arial"/>
          <w:sz w:val="17"/>
          <w:szCs w:val="17"/>
          <w:b w:val="1"/>
          <w:bCs w:val="1"/>
          <w:color w:val="auto"/>
        </w:rPr>
      </w:pPr>
    </w:p>
    <w:p>
      <w:pPr>
        <w:ind w:right="40" w:firstLine="2601"/>
        <w:spacing w:after="0" w:line="271" w:lineRule="auto"/>
        <w:tabs>
          <w:tab w:leader="none" w:pos="3288"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Acceleration of Options: </w:t>
      </w:r>
      <w:r>
        <w:rPr>
          <w:rFonts w:ascii="Arial" w:cs="Arial" w:eastAsia="Arial" w:hAnsi="Arial"/>
          <w:sz w:val="17"/>
          <w:szCs w:val="17"/>
          <w:color w:val="auto"/>
        </w:rPr>
        <w:t>One hundred (100%) percent of the Executive’s outstanding, unvested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and/or equity awards (“Equity Awards”)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50% of the Executive’s outstanding, unvested Company Equity Awards shall become fully and immediately vested immediately prior to the consummation of the Change in Control (and the remaining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2601"/>
        <w:spacing w:after="0" w:line="293" w:lineRule="auto"/>
        <w:tabs>
          <w:tab w:leader="none" w:pos="3308"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Golden Parachute Payment Provisions: </w:t>
      </w:r>
      <w:r>
        <w:rPr>
          <w:rFonts w:ascii="Arial" w:cs="Arial" w:eastAsia="Arial" w:hAnsi="Arial"/>
          <w:sz w:val="16"/>
          <w:szCs w:val="16"/>
          <w:color w:val="auto"/>
        </w:rPr>
        <w:t>If any payment or benefit the Executive would receive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from the Company or otherwise (including, without limitation, the acceleration of any Company Equity Awards) (“Payment”) would</w:t>
      </w:r>
    </w:p>
    <w:p>
      <w:pPr>
        <w:spacing w:after="0" w:line="1" w:lineRule="exact"/>
        <w:rPr>
          <w:rFonts w:ascii="Arial" w:cs="Arial" w:eastAsia="Arial" w:hAnsi="Arial"/>
          <w:sz w:val="16"/>
          <w:szCs w:val="16"/>
          <w:b w:val="1"/>
          <w:bCs w:val="1"/>
          <w:color w:val="auto"/>
        </w:rPr>
      </w:pPr>
    </w:p>
    <w:p>
      <w:pPr>
        <w:ind w:firstLine="8"/>
        <w:spacing w:after="0" w:line="323"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constitute a “parachute payment” within the meaning of Section 280G of the Internal Revenue Code of 1986, as amended (the “Code”), and (ii) but for this sentence, be subject to the excise tax imposed by Section 4999 of the Code (the “Excise Tax”), then such Payment shall be reduced to the Reduced Amount.</w:t>
      </w:r>
    </w:p>
    <w:p>
      <w:pPr>
        <w:sectPr>
          <w:pgSz w:w="11900" w:h="16960" w:orient="portrait"/>
          <w:cols w:equalWidth="0" w:num="1">
            <w:col w:w="11400"/>
          </w:cols>
          <w:pgMar w:left="240" w:top="125" w:right="259" w:bottom="0" w:gutter="0" w:footer="0" w:header="0"/>
        </w:sectPr>
      </w:pPr>
    </w:p>
    <w:bookmarkStart w:id="28" w:name="page29"/>
    <w:bookmarkEnd w:id="28"/>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“Reduced Amount” shall be either (x) the largest portion of the Payment that would result in no portion of the Payment being subject to the Excise Tax or</w:t>
      </w:r>
    </w:p>
    <w:p>
      <w:pPr>
        <w:spacing w:after="0" w:line="46" w:lineRule="exact"/>
        <w:rPr>
          <w:sz w:val="20"/>
          <w:szCs w:val="20"/>
          <w:color w:val="auto"/>
        </w:rPr>
      </w:pPr>
    </w:p>
    <w:p>
      <w:pPr>
        <w:ind w:right="120" w:firstLine="8"/>
        <w:spacing w:after="0" w:line="269"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spacing w:after="0" w:line="181" w:lineRule="exact"/>
        <w:rPr>
          <w:sz w:val="20"/>
          <w:szCs w:val="20"/>
          <w:color w:val="auto"/>
        </w:rPr>
      </w:pPr>
    </w:p>
    <w:p>
      <w:pPr>
        <w:ind w:right="40" w:firstLine="3241"/>
        <w:spacing w:after="0" w:line="297" w:lineRule="auto"/>
        <w:rPr>
          <w:sz w:val="20"/>
          <w:szCs w:val="20"/>
          <w:color w:val="auto"/>
        </w:rPr>
      </w:pPr>
      <w:r>
        <w:rPr>
          <w:rFonts w:ascii="Arial" w:cs="Arial" w:eastAsia="Arial" w:hAnsi="Arial"/>
          <w:sz w:val="16"/>
          <w:szCs w:val="16"/>
          <w:color w:val="auto"/>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58" w:lineRule="exact"/>
        <w:rPr>
          <w:sz w:val="20"/>
          <w:szCs w:val="20"/>
          <w:color w:val="auto"/>
        </w:rPr>
      </w:pPr>
    </w:p>
    <w:p>
      <w:pPr>
        <w:ind w:firstLine="3241"/>
        <w:spacing w:after="0" w:line="286" w:lineRule="auto"/>
        <w:rPr>
          <w:sz w:val="20"/>
          <w:szCs w:val="20"/>
          <w:color w:val="auto"/>
        </w:rPr>
      </w:pPr>
      <w:r>
        <w:rPr>
          <w:rFonts w:ascii="Arial" w:cs="Arial" w:eastAsia="Arial" w:hAnsi="Arial"/>
          <w:sz w:val="17"/>
          <w:szCs w:val="17"/>
          <w:color w:val="auto"/>
        </w:rPr>
        <w:t xml:space="preserve">The accounting firm engaged to make </w:t>
      </w:r>
      <w:r>
        <w:rPr>
          <w:rFonts w:ascii="Arial" w:cs="Arial" w:eastAsia="Arial" w:hAnsi="Arial"/>
          <w:sz w:val="16"/>
          <w:szCs w:val="16"/>
          <w:color w:val="auto"/>
        </w:rPr>
        <w:t>the determinations hereunder shall provide its calculations, together with</w:t>
      </w:r>
      <w:r>
        <w:rPr>
          <w:rFonts w:ascii="Arial" w:cs="Arial" w:eastAsia="Arial" w:hAnsi="Arial"/>
          <w:sz w:val="17"/>
          <w:szCs w:val="17"/>
          <w:color w:val="auto"/>
        </w:rPr>
        <w:t xml:space="preserve"> </w:t>
      </w:r>
      <w:r>
        <w:rPr>
          <w:rFonts w:ascii="Arial" w:cs="Arial" w:eastAsia="Arial" w:hAnsi="Arial"/>
          <w:sz w:val="16"/>
          <w:szCs w:val="16"/>
          <w:color w:val="auto"/>
        </w:rPr>
        <w:t>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spacing w:after="0" w:line="166" w:lineRule="exact"/>
        <w:rPr>
          <w:sz w:val="20"/>
          <w:szCs w:val="20"/>
          <w:color w:val="auto"/>
        </w:rPr>
      </w:pPr>
    </w:p>
    <w:p>
      <w:pPr>
        <w:ind w:left="2000" w:hanging="695"/>
        <w:spacing w:after="0"/>
        <w:tabs>
          <w:tab w:leader="none" w:pos="20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Disability.</w:t>
      </w:r>
    </w:p>
    <w:p>
      <w:pPr>
        <w:spacing w:after="0" w:line="229" w:lineRule="exact"/>
        <w:rPr>
          <w:rFonts w:ascii="Arial" w:cs="Arial" w:eastAsia="Arial" w:hAnsi="Arial"/>
          <w:sz w:val="18"/>
          <w:szCs w:val="18"/>
          <w:b w:val="1"/>
          <w:bCs w:val="1"/>
          <w:color w:val="auto"/>
        </w:rPr>
      </w:pPr>
    </w:p>
    <w:p>
      <w:pPr>
        <w:ind w:right="80" w:firstLine="1953"/>
        <w:spacing w:after="0" w:line="264" w:lineRule="auto"/>
        <w:tabs>
          <w:tab w:leader="none" w:pos="2245"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953"/>
        <w:spacing w:after="0" w:line="293" w:lineRule="auto"/>
        <w:tabs>
          <w:tab w:leader="none" w:pos="2245" w:val="left"/>
        </w:tabs>
        <w:numPr>
          <w:ilvl w:val="2"/>
          <w:numId w:val="41"/>
        </w:numPr>
        <w:rPr>
          <w:rFonts w:ascii="Arial" w:cs="Arial" w:eastAsia="Arial" w:hAnsi="Arial"/>
          <w:sz w:val="16"/>
          <w:szCs w:val="16"/>
          <w:b w:val="1"/>
          <w:bCs w:val="1"/>
          <w:color w:val="auto"/>
        </w:rPr>
      </w:pPr>
      <w:r>
        <w:rPr>
          <w:rFonts w:ascii="Arial" w:cs="Arial" w:eastAsia="Arial" w:hAnsi="Arial"/>
          <w:sz w:val="16"/>
          <w:szCs w:val="16"/>
          <w:color w:val="auto"/>
        </w:rPr>
        <w:t>In the event the Term is terminated pursuant to Subsection 6.E.(1),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months from the final day of the Term or the expiration of the stated period of the option, whichever period is the shorter.</w:t>
      </w:r>
    </w:p>
    <w:p>
      <w:pPr>
        <w:spacing w:after="0" w:line="160" w:lineRule="exact"/>
        <w:rPr>
          <w:rFonts w:ascii="Arial" w:cs="Arial" w:eastAsia="Arial" w:hAnsi="Arial"/>
          <w:sz w:val="16"/>
          <w:szCs w:val="16"/>
          <w:b w:val="1"/>
          <w:bCs w:val="1"/>
          <w:color w:val="auto"/>
        </w:rPr>
      </w:pPr>
    </w:p>
    <w:p>
      <w:pPr>
        <w:ind w:right="40" w:firstLine="1305"/>
        <w:spacing w:after="0" w:line="277" w:lineRule="auto"/>
        <w:tabs>
          <w:tab w:leader="none" w:pos="1975"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Upon Death. </w:t>
      </w:r>
      <w:r>
        <w:rPr>
          <w:rFonts w:ascii="Arial" w:cs="Arial" w:eastAsia="Arial" w:hAnsi="Arial"/>
          <w:sz w:val="17"/>
          <w:szCs w:val="17"/>
          <w:color w:val="auto"/>
        </w:rPr>
        <w:t>The Term shall terminate upon the death of the Executive and the Company shall have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the Executive or his estate except to pay the Executive’s estate any Base Salary or Annual Bonus earned and accrued but remaining unpaid prior to his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months from the final day of the Term or the expiration of the stated period of the option, whichever period is the shorter.</w:t>
      </w:r>
    </w:p>
    <w:p>
      <w:pPr>
        <w:spacing w:after="0" w:line="168" w:lineRule="exact"/>
        <w:rPr>
          <w:rFonts w:ascii="Arial" w:cs="Arial" w:eastAsia="Arial" w:hAnsi="Arial"/>
          <w:sz w:val="17"/>
          <w:szCs w:val="17"/>
          <w:b w:val="1"/>
          <w:bCs w:val="1"/>
          <w:color w:val="auto"/>
        </w:rPr>
      </w:pPr>
    </w:p>
    <w:p>
      <w:pPr>
        <w:ind w:left="1380" w:hanging="724"/>
        <w:spacing w:after="0"/>
        <w:tabs>
          <w:tab w:leader="none" w:pos="1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ind w:right="120" w:firstLine="1305"/>
        <w:spacing w:after="0" w:line="266" w:lineRule="auto"/>
        <w:tabs>
          <w:tab w:leader="none" w:pos="2011"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Any notice to be given hereunder shall either be delivered personally and/or sent by first class certified mail and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mail. The address for service on the Company shall be its registered office, and the address for service on the Executive shall be his last known place of residence. A notice shall be deemed to have been served as follows:</w:t>
      </w:r>
    </w:p>
    <w:p>
      <w:pPr>
        <w:spacing w:after="0" w:line="180" w:lineRule="exact"/>
        <w:rPr>
          <w:rFonts w:ascii="Arial" w:cs="Arial" w:eastAsia="Arial" w:hAnsi="Arial"/>
          <w:sz w:val="18"/>
          <w:szCs w:val="18"/>
          <w:b w:val="1"/>
          <w:bCs w:val="1"/>
          <w:color w:val="auto"/>
        </w:rPr>
      </w:pPr>
    </w:p>
    <w:p>
      <w:pPr>
        <w:ind w:left="2260" w:hanging="307"/>
        <w:spacing w:after="0"/>
        <w:tabs>
          <w:tab w:leader="none" w:pos="2260" w:val="left"/>
        </w:tabs>
        <w:numPr>
          <w:ilvl w:val="2"/>
          <w:numId w:val="43"/>
        </w:numPr>
        <w:rPr>
          <w:rFonts w:ascii="Arial" w:cs="Arial" w:eastAsia="Arial" w:hAnsi="Arial"/>
          <w:sz w:val="18"/>
          <w:szCs w:val="18"/>
          <w:b w:val="1"/>
          <w:bCs w:val="1"/>
          <w:color w:val="auto"/>
        </w:rPr>
      </w:pPr>
      <w:r>
        <w:rPr>
          <w:rFonts w:ascii="Arial" w:cs="Arial" w:eastAsia="Arial" w:hAnsi="Arial"/>
          <w:sz w:val="18"/>
          <w:szCs w:val="18"/>
          <w:color w:val="auto"/>
        </w:rPr>
        <w:t>if personally delivered, at the time of delivery; and/or</w:t>
      </w:r>
    </w:p>
    <w:p>
      <w:pPr>
        <w:spacing w:after="0" w:line="225" w:lineRule="exact"/>
        <w:rPr>
          <w:rFonts w:ascii="Arial" w:cs="Arial" w:eastAsia="Arial" w:hAnsi="Arial"/>
          <w:sz w:val="18"/>
          <w:szCs w:val="18"/>
          <w:b w:val="1"/>
          <w:bCs w:val="1"/>
          <w:color w:val="auto"/>
        </w:rPr>
      </w:pPr>
    </w:p>
    <w:p>
      <w:pPr>
        <w:ind w:right="120" w:firstLine="1953"/>
        <w:spacing w:after="0" w:line="277" w:lineRule="auto"/>
        <w:tabs>
          <w:tab w:leader="none" w:pos="2245" w:val="left"/>
        </w:tabs>
        <w:numPr>
          <w:ilvl w:val="2"/>
          <w:numId w:val="43"/>
        </w:numPr>
        <w:rPr>
          <w:rFonts w:ascii="Arial" w:cs="Arial" w:eastAsia="Arial" w:hAnsi="Arial"/>
          <w:sz w:val="18"/>
          <w:szCs w:val="18"/>
          <w:b w:val="1"/>
          <w:bCs w:val="1"/>
          <w:color w:val="auto"/>
        </w:rPr>
      </w:pPr>
      <w:r>
        <w:rPr>
          <w:rFonts w:ascii="Arial" w:cs="Arial" w:eastAsia="Arial" w:hAnsi="Arial"/>
          <w:sz w:val="18"/>
          <w:szCs w:val="18"/>
          <w:color w:val="auto"/>
        </w:rPr>
        <w:t>if posted, at the expiration of 48 hours (10 days if international) after the envelope containing the same was delivered into the custody of the postal authorities.</w:t>
      </w:r>
    </w:p>
    <w:p>
      <w:pPr>
        <w:spacing w:after="0" w:line="166" w:lineRule="exact"/>
        <w:rPr>
          <w:rFonts w:ascii="Arial" w:cs="Arial" w:eastAsia="Arial" w:hAnsi="Arial"/>
          <w:sz w:val="18"/>
          <w:szCs w:val="18"/>
          <w:b w:val="1"/>
          <w:bCs w:val="1"/>
          <w:color w:val="auto"/>
        </w:rPr>
      </w:pPr>
    </w:p>
    <w:p>
      <w:pPr>
        <w:ind w:right="60" w:firstLine="1305"/>
        <w:spacing w:after="0" w:line="270" w:lineRule="auto"/>
        <w:tabs>
          <w:tab w:leader="none" w:pos="2002"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Any payments made pursuant to this Agreement shall be subject to any tax or similar withholding requirements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federal, state or local employment or income tax laws or similar statutes or other provisions of law then in effect. This Agreement is intended to comply with the requirements of Section 409A (“Section 409A”)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months after such separation from service shall nonetheless be delayed until the first business day of the seventh month following the Executive’s separation from service. In no event may the Executive, directly or indirectly, designate the calendar year of any</w:t>
      </w:r>
    </w:p>
    <w:p>
      <w:pPr>
        <w:sectPr>
          <w:pgSz w:w="11900" w:h="16941" w:orient="portrait"/>
          <w:cols w:equalWidth="0" w:num="1">
            <w:col w:w="11400"/>
          </w:cols>
          <w:pgMar w:left="240" w:top="125" w:right="259" w:bottom="0" w:gutter="0" w:footer="0" w:header="0"/>
        </w:sectPr>
      </w:pPr>
    </w:p>
    <w:bookmarkStart w:id="29" w:name="page30"/>
    <w:bookmarkEnd w:id="29"/>
    <w:p>
      <w:pPr>
        <w:ind w:right="80"/>
        <w:spacing w:after="0" w:line="255" w:lineRule="auto"/>
        <w:rPr>
          <w:sz w:val="20"/>
          <w:szCs w:val="20"/>
          <w:color w:val="auto"/>
        </w:rPr>
      </w:pPr>
      <w:r>
        <w:rPr>
          <w:rFonts w:ascii="Arial" w:cs="Arial" w:eastAsia="Arial" w:hAnsi="Arial"/>
          <w:sz w:val="18"/>
          <w:szCs w:val="18"/>
          <w:color w:val="auto"/>
        </w:rPr>
        <w:t>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spacing w:after="0" w:line="185" w:lineRule="exact"/>
        <w:rPr>
          <w:sz w:val="20"/>
          <w:szCs w:val="20"/>
          <w:color w:val="auto"/>
        </w:rPr>
      </w:pPr>
    </w:p>
    <w:p>
      <w:pPr>
        <w:ind w:right="280" w:firstLine="1305"/>
        <w:spacing w:after="0" w:line="261" w:lineRule="auto"/>
        <w:tabs>
          <w:tab w:leader="none" w:pos="201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Parties hereto and their respective heirs,</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spacing w:after="0" w:line="180" w:lineRule="exact"/>
        <w:rPr>
          <w:rFonts w:ascii="Arial" w:cs="Arial" w:eastAsia="Arial" w:hAnsi="Arial"/>
          <w:sz w:val="18"/>
          <w:szCs w:val="18"/>
          <w:b w:val="1"/>
          <w:bCs w:val="1"/>
          <w:color w:val="auto"/>
        </w:rPr>
      </w:pPr>
    </w:p>
    <w:p>
      <w:pPr>
        <w:ind w:firstLine="1305"/>
        <w:spacing w:after="0" w:line="266" w:lineRule="auto"/>
        <w:tabs>
          <w:tab w:leader="none" w:pos="201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Should any part or provision of this Agreement be held unenforceable by a court of competent jurisdiction,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remaining parts or provisions shall not be affected by such holding, unless such enforceability substantially impairs the benefit of the remaining portions of the Agreement.</w:t>
      </w:r>
    </w:p>
    <w:p>
      <w:pPr>
        <w:spacing w:after="0" w:line="176" w:lineRule="exact"/>
        <w:rPr>
          <w:rFonts w:ascii="Arial" w:cs="Arial" w:eastAsia="Arial" w:hAnsi="Arial"/>
          <w:sz w:val="18"/>
          <w:szCs w:val="18"/>
          <w:b w:val="1"/>
          <w:bCs w:val="1"/>
          <w:color w:val="auto"/>
        </w:rPr>
      </w:pPr>
    </w:p>
    <w:p>
      <w:pPr>
        <w:ind w:right="60" w:firstLine="1305"/>
        <w:spacing w:after="0" w:line="347" w:lineRule="auto"/>
        <w:tabs>
          <w:tab w:leader="none" w:pos="200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No failure or delay on the part of either Party in the exercise of any right or privilege hereunder shall operate as a 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nor shall any single or partial exercise of any such right or privilege preclude other or further exercise thereof or of any other right of privilege.</w:t>
      </w:r>
    </w:p>
    <w:p>
      <w:pPr>
        <w:spacing w:after="0" w:line="116" w:lineRule="exact"/>
        <w:rPr>
          <w:rFonts w:ascii="Arial" w:cs="Arial" w:eastAsia="Arial" w:hAnsi="Arial"/>
          <w:sz w:val="16"/>
          <w:szCs w:val="16"/>
          <w:b w:val="1"/>
          <w:bCs w:val="1"/>
          <w:color w:val="auto"/>
        </w:rPr>
      </w:pPr>
    </w:p>
    <w:p>
      <w:pPr>
        <w:ind w:right="160" w:firstLine="1305"/>
        <w:spacing w:after="0" w:line="282" w:lineRule="auto"/>
        <w:tabs>
          <w:tab w:leader="none" w:pos="197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The captions used in this Agreement are for convenience only and are not to be used in interpreting the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under this Agreement.</w:t>
      </w:r>
    </w:p>
    <w:p>
      <w:pPr>
        <w:spacing w:after="0" w:line="161" w:lineRule="exact"/>
        <w:rPr>
          <w:rFonts w:ascii="Arial" w:cs="Arial" w:eastAsia="Arial" w:hAnsi="Arial"/>
          <w:sz w:val="18"/>
          <w:szCs w:val="18"/>
          <w:b w:val="1"/>
          <w:bCs w:val="1"/>
          <w:color w:val="auto"/>
        </w:rPr>
      </w:pPr>
    </w:p>
    <w:p>
      <w:pPr>
        <w:ind w:right="440" w:firstLine="1305"/>
        <w:spacing w:after="0" w:line="261" w:lineRule="auto"/>
        <w:tabs>
          <w:tab w:leader="none" w:pos="202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The validity, construction and performance of this Agreement and all matters directly or indirectly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305"/>
        <w:spacing w:after="0" w:line="258" w:lineRule="auto"/>
        <w:tabs>
          <w:tab w:leader="none" w:pos="2021"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embodies the entire understanding of the Parties as it relates to the subject matter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as such, supersedes any prior agreement or understanding between the Parties relating to the terms of employment of the Executive (but not any option grant agreement issued by the Company to the Executive), including without limitation any agreement between the Executive and any other company acquired by the Company or with respect to which the Company is a successor in interest. No amendment or modification of this Agreement shall be valid or binding upon the Parties unless in writing executed by the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Agreement to be duly executed as of the day and year first written above.</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Anthony S. Marucci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Wright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RICHARD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10, 2015</w:t>
            </w:r>
          </w:p>
        </w:tc>
        <w:tc>
          <w:tcPr>
            <w:tcW w:w="2900" w:type="dxa"/>
            <w:vAlign w:val="bottom"/>
          </w:tcPr>
          <w:p>
            <w:pPr>
              <w:ind w:left="20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9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900" w:type="dxa"/>
            <w:vAlign w:val="bottom"/>
          </w:tcPr>
          <w:p>
            <w:pPr>
              <w:ind w:left="20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10, 2015</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8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10, 2015</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10, 2015</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5"/>
    </w:lvl>
  </w:abstractNum>
  <w:abstractNum w:abstractNumId="15">
    <w:nsid w:val="737B8DDC"/>
    <w:multiLevelType w:val="hybridMultilevel"/>
    <w:lvl w:ilvl="0">
      <w:lvlJc w:val="left"/>
      <w:lvlText w:val="%1."/>
      <w:numFmt w:val="decimal"/>
      <w:start w:val="6"/>
    </w:lvl>
  </w:abstractNum>
  <w:abstractNum w:abstractNumId="16">
    <w:nsid w:val="6CEAF087"/>
    <w:multiLevelType w:val="hybridMultilevel"/>
    <w:lvl w:ilvl="0">
      <w:lvlJc w:val="left"/>
      <w:lvlText w:val="%1."/>
      <w:numFmt w:val="decimal"/>
      <w:start w:val="7"/>
    </w:lvl>
    <w:lvl w:ilvl="1">
      <w:lvlJc w:val="left"/>
      <w:lvlText w:val="(%2)"/>
      <w:numFmt w:val="lowerLetter"/>
      <w:start w:val="1"/>
    </w:lvl>
  </w:abstractNum>
  <w:abstractNum w:abstractNumId="17">
    <w:nsid w:val="22221A70"/>
    <w:multiLevelType w:val="hybridMultilevel"/>
    <w:lvl w:ilvl="0">
      <w:lvlJc w:val="left"/>
      <w:lvlText w:val="%1."/>
      <w:numFmt w:val="decimal"/>
      <w:start w:val="8"/>
    </w:lvl>
  </w:abstractNum>
  <w:abstractNum w:abstractNumId="18">
    <w:nsid w:val="4516DDE9"/>
    <w:multiLevelType w:val="hybridMultilevel"/>
    <w:lvl w:ilvl="0">
      <w:lvlJc w:val="left"/>
      <w:lvlText w:val="%1."/>
      <w:numFmt w:val="decimal"/>
      <w:start w:val="12"/>
    </w:lvl>
  </w:abstractNum>
  <w:abstractNum w:abstractNumId="19">
    <w:nsid w:val="3006C83E"/>
    <w:multiLevelType w:val="hybridMultilevel"/>
    <w:lvl w:ilvl="0">
      <w:lvlJc w:val="left"/>
      <w:lvlText w:val="%1."/>
      <w:numFmt w:val="decimal"/>
      <w:start w:val="13"/>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
    </w:lvl>
    <w:lvl w:ilvl="1">
      <w:lvlJc w:val="left"/>
      <w:lvlText w:val="%2."/>
      <w:numFmt w:val="upperLetter"/>
      <w:start w:val="1"/>
    </w:lvl>
  </w:abstractNum>
  <w:abstractNum w:abstractNumId="22">
    <w:nsid w:val="5577F8E1"/>
    <w:multiLevelType w:val="hybridMultilevel"/>
    <w:lvl w:ilvl="0">
      <w:lvlJc w:val="left"/>
      <w:lvlText w:val="%1"/>
      <w:numFmt w:val="decimal"/>
      <w:start w:val="1"/>
    </w:lvl>
    <w:lvl w:ilvl="1">
      <w:lvlJc w:val="left"/>
      <w:lvlText w:val="%2."/>
      <w:numFmt w:val="upperLetter"/>
      <w:start w:val="3"/>
    </w:lvl>
  </w:abstractNum>
  <w:abstractNum w:abstractNumId="23">
    <w:nsid w:val="440BADFC"/>
    <w:multiLevelType w:val="hybridMultilevel"/>
    <w:lvl w:ilvl="0">
      <w:lvlJc w:val="left"/>
      <w:lvlText w:val="%1."/>
      <w:numFmt w:val="decimal"/>
      <w:start w:val="4"/>
    </w:lvl>
    <w:lvl w:ilvl="1">
      <w:lvlJc w:val="left"/>
      <w:lvlText w:val="%2."/>
      <w:numFmt w:val="upperLetter"/>
      <w:start w:val="1"/>
    </w:lvl>
  </w:abstractNum>
  <w:abstractNum w:abstractNumId="24">
    <w:nsid w:val="5072367"/>
    <w:multiLevelType w:val="hybridMultilevel"/>
    <w:lvl w:ilvl="0">
      <w:lvlJc w:val="left"/>
      <w:lvlText w:val="%1."/>
      <w:numFmt w:val="upperLetter"/>
      <w:start w:val="2"/>
    </w:lvl>
  </w:abstractNum>
  <w:abstractNum w:abstractNumId="25">
    <w:nsid w:val="3804823E"/>
    <w:multiLevelType w:val="hybridMultilevel"/>
    <w:lvl w:ilvl="0">
      <w:lvlJc w:val="left"/>
      <w:lvlText w:val="%1."/>
      <w:numFmt w:val="upperLetter"/>
      <w:start w:val="3"/>
    </w:lvl>
    <w:lvl w:ilvl="1">
      <w:lvlJc w:val="left"/>
      <w:lvlText w:val="(%2)"/>
      <w:numFmt w:val="decimal"/>
      <w:start w:val="1"/>
    </w:lvl>
  </w:abstractNum>
  <w:abstractNum w:abstractNumId="26">
    <w:nsid w:val="77465F01"/>
    <w:multiLevelType w:val="hybridMultilevel"/>
    <w:lvl w:ilvl="0">
      <w:lvlJc w:val="left"/>
      <w:lvlText w:val="%1."/>
      <w:numFmt w:val="upperLetter"/>
      <w:start w:val="4"/>
    </w:lvl>
  </w:abstractNum>
  <w:abstractNum w:abstractNumId="27">
    <w:nsid w:val="7724C67E"/>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28">
    <w:nsid w:val="5C482A97"/>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abstractNum>
  <w:abstractNum w:abstractNumId="29">
    <w:nsid w:val="2463B9EA"/>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30">
    <w:nsid w:val="5E884ADC"/>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3"/>
    </w:lvl>
  </w:abstractNum>
  <w:abstractNum w:abstractNumId="31">
    <w:nsid w:val="51EAD36B"/>
    <w:multiLevelType w:val="hybridMultilevel"/>
    <w:lvl w:ilvl="0">
      <w:lvlJc w:val="left"/>
      <w:lvlText w:val="%1"/>
      <w:numFmt w:val="upperLetter"/>
      <w:start w:val="1"/>
    </w:lvl>
    <w:lvl w:ilvl="1">
      <w:lvlJc w:val="left"/>
      <w:lvlText w:val="(%2)"/>
      <w:numFmt w:val="decimal"/>
      <w:start w:val="4"/>
    </w:lvl>
  </w:abstractNum>
  <w:abstractNum w:abstractNumId="32">
    <w:nsid w:val="2D517796"/>
    <w:multiLevelType w:val="hybridMultilevel"/>
    <w:lvl w:ilvl="0">
      <w:lvlJc w:val="left"/>
      <w:lvlText w:val="%1."/>
      <w:numFmt w:val="upperLetter"/>
      <w:start w:val="3"/>
    </w:lvl>
    <w:lvl w:ilvl="1">
      <w:lvlJc w:val="left"/>
      <w:lvlText w:val="(%2)"/>
      <w:numFmt w:val="decimal"/>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lvl w:ilvl="1">
      <w:lvlJc w:val="left"/>
      <w:lvlText w:val="(%2)"/>
      <w:numFmt w:val="lowerLetter"/>
      <w:start w:val="4"/>
    </w:lvl>
  </w:abstractNum>
  <w:abstractNum w:abstractNumId="35">
    <w:nsid w:val="3855585C"/>
    <w:multiLevelType w:val="hybridMultilevel"/>
    <w:lvl w:ilvl="0">
      <w:lvlJc w:val="left"/>
      <w:lvlText w:val="(%1)"/>
      <w:numFmt w:val="decimal"/>
      <w:start w:val="2"/>
    </w:lvl>
    <w:lvl w:ilvl="1">
      <w:lvlJc w:val="left"/>
      <w:lvlText w:val="(%2)"/>
      <w:numFmt w:val="lowerLetter"/>
      <w:start w:val="1"/>
    </w:lvl>
  </w:abstractNum>
  <w:abstractNum w:abstractNumId="36">
    <w:nsid w:val="70A64E2A"/>
    <w:multiLevelType w:val="hybridMultilevel"/>
    <w:lvl w:ilvl="0">
      <w:lvlJc w:val="left"/>
      <w:lvlText w:val="%1"/>
      <w:numFmt w:val="lowerLetter"/>
      <w:start w:val="1"/>
    </w:lvl>
    <w:lvl w:ilvl="1">
      <w:lvlJc w:val="left"/>
      <w:lvlText w:val="(%2)"/>
      <w:numFmt w:val="lowerLetter"/>
      <w:start w:val="4"/>
    </w:lvl>
  </w:abstractNum>
  <w:abstractNum w:abstractNumId="37">
    <w:nsid w:val="6A2342EC"/>
    <w:multiLevelType w:val="hybridMultilevel"/>
    <w:lvl w:ilvl="0">
      <w:lvlJc w:val="left"/>
      <w:lvlText w:val="(%1)"/>
      <w:numFmt w:val="lowerLetter"/>
      <w:start w:val="9"/>
    </w:lvl>
    <w:lvl w:ilvl="1">
      <w:lvlJc w:val="left"/>
      <w:lvlText w:val="%2"/>
      <w:numFmt w:val="lowerLetter"/>
      <w:start w:val="1"/>
    </w:lvl>
  </w:abstractNum>
  <w:abstractNum w:abstractNumId="38">
    <w:nsid w:val="2A487CB0"/>
    <w:multiLevelType w:val="hybridMultilevel"/>
    <w:lvl w:ilvl="0">
      <w:lvlJc w:val="left"/>
      <w:lvlText w:val="(%1)"/>
      <w:numFmt w:val="lowerLetter"/>
      <w:start w:val="25"/>
    </w:lvl>
  </w:abstractNum>
  <w:abstractNum w:abstractNumId="39">
    <w:nsid w:val="1D4ED43B"/>
    <w:multiLevelType w:val="hybridMultilevel"/>
    <w:lvl w:ilvl="0">
      <w:lvlJc w:val="left"/>
      <w:lvlText w:val="%1."/>
      <w:numFmt w:val="upperLetter"/>
      <w:start w:val="5"/>
    </w:lvl>
    <w:lvl w:ilvl="1">
      <w:lvlJc w:val="left"/>
      <w:lvlText w:val="(%2)"/>
      <w:numFmt w:val="decimal"/>
      <w:start w:val="1"/>
    </w:lvl>
  </w:abstractNum>
  <w:abstractNum w:abstractNumId="40">
    <w:nsid w:val="725A06FB"/>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41">
    <w:nsid w:val="2CD89A32"/>
    <w:multiLevelType w:val="hybridMultilevel"/>
    <w:lvl w:ilvl="0">
      <w:lvlJc w:val="left"/>
      <w:lvlText w:val="%1"/>
      <w:numFmt w:val="decimal"/>
      <w:start w:val="1"/>
    </w:lvl>
    <w:lvl w:ilvl="1">
      <w:lvlJc w:val="left"/>
      <w:lvlText w:val="%2."/>
      <w:numFmt w:val="upperLetter"/>
      <w:start w:val="6"/>
    </w:lvl>
    <w:lvl w:ilvl="2">
      <w:lvlJc w:val="left"/>
      <w:lvlText w:val="%3"/>
      <w:numFmt w:val="decimal"/>
      <w:start w:val="1"/>
    </w:lvl>
  </w:abstractNum>
  <w:abstractNum w:abstractNumId="42">
    <w:nsid w:val="57E4CCAF"/>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43">
    <w:nsid w:val="7A6D8D3C"/>
    <w:multiLevelType w:val="hybridMultilevel"/>
    <w:lvl w:ilvl="0">
      <w:lvlJc w:val="left"/>
      <w:lvlText w:val="%1."/>
      <w:numFmt w:val="upperLetter"/>
      <w:start w:val="3"/>
    </w:lvl>
  </w:abstractNum>
  <w:abstractNum w:abstractNumId="44">
    <w:nsid w:val="4B588F54"/>
    <w:multiLevelType w:val="hybridMultilevel"/>
    <w:lvl w:ilvl="0">
      <w:lvlJc w:val="left"/>
      <w:lvlText w:val="%1."/>
      <w:numFmt w:val="upperLetter"/>
      <w:start w:val="8"/>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2019-12-29T16:26:09Z</dcterms:created>
  <dcterms:modified xsi:type="dcterms:W3CDTF">2019-12-29T16:26:09Z</dcterms:modified>
</cp:coreProperties>
</file>