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Celldex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Yue Tang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5,840,567.00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Celldex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819"/>
        <w:spacing w:after="0"/>
        <w:rPr>
          <w:sz w:val="20"/>
          <w:szCs w:val="20"/>
          <w:color w:val="auto"/>
        </w:rPr>
      </w:pPr>
      <w:r>
        <w:rPr>
          <w:rFonts w:ascii="Times New Roman" w:cs="Times New Roman" w:eastAsia="Times New Roman" w:hAnsi="Times New Roman"/>
          <w:sz w:val="22"/>
          <w:szCs w:val="22"/>
          <w:color w:val="auto"/>
        </w:rPr>
        <w:t>53 FRONTAGE ROAD, SUITE 220, HAMPTON, NEW JERSEY 08827</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840"/>
        <w:spacing w:after="0" w:line="256" w:lineRule="auto"/>
        <w:rPr>
          <w:sz w:val="20"/>
          <w:szCs w:val="20"/>
          <w:color w:val="auto"/>
        </w:rPr>
      </w:pPr>
      <w:r>
        <w:rPr>
          <w:rFonts w:ascii="Times New Roman" w:cs="Times New Roman" w:eastAsia="Times New Roman" w:hAnsi="Times New Roman"/>
          <w:sz w:val="22"/>
          <w:szCs w:val="22"/>
          <w:color w:val="auto"/>
        </w:rPr>
        <w:t>Kynam Capital Management, LP Kynam Capital Management GP, LLC Yue Tang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221 ELM ROAD PRINCETON, New Jersey 08540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ectPr>
          <w:pgSz w:w="11900" w:h="16860" w:orient="portrait"/>
          <w:cols w:equalWidth="0" w:num="1">
            <w:col w:w="10860"/>
          </w:cols>
          <w:pgMar w:left="360" w:top="112" w:right="6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Kynam Capital Management, LP - DELAWARE Kynam Capital Management GP, LLC - DELAWARE Yue Tang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5,840,567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60" w:orient="portrait"/>
          <w:cols w:equalWidth="0" w:num="2">
            <w:col w:w="620" w:space="300"/>
            <w:col w:w="9940"/>
          </w:cols>
          <w:pgMar w:left="360" w:top="112" w:right="6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20"/>
        <w:spacing w:after="0" w:line="258" w:lineRule="auto"/>
        <w:rPr>
          <w:sz w:val="20"/>
          <w:szCs w:val="20"/>
          <w:color w:val="auto"/>
        </w:rPr>
      </w:pPr>
      <w:r>
        <w:rPr>
          <w:rFonts w:ascii="Times New Roman" w:cs="Times New Roman" w:eastAsia="Times New Roman" w:hAnsi="Times New Roman"/>
          <w:sz w:val="22"/>
          <w:szCs w:val="22"/>
          <w:color w:val="auto"/>
        </w:rPr>
        <w:t>Kynam Capital Management, LP - 5,840,567 Kynam Capital Management GP, LLC - 5,840,567 Yue Tang - 5,840,567</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620"/>
        <w:spacing w:after="0" w:line="258" w:lineRule="auto"/>
        <w:rPr>
          <w:sz w:val="20"/>
          <w:szCs w:val="20"/>
          <w:color w:val="auto"/>
        </w:rPr>
      </w:pPr>
      <w:r>
        <w:rPr>
          <w:rFonts w:ascii="Times New Roman" w:cs="Times New Roman" w:eastAsia="Times New Roman" w:hAnsi="Times New Roman"/>
          <w:sz w:val="22"/>
          <w:szCs w:val="22"/>
          <w:color w:val="auto"/>
        </w:rPr>
        <w:t>Kynam Capital Management, LP - 5,840,567 Kynam Capital Management GP, LLC - 5,840,567 Yue Tang - 5,840,567</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860"/>
          </w:cols>
          <w:pgMar w:left="360" w:top="112" w:right="67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Yue Tang</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2026-05-15T15:09:38Z</dcterms:created>
  <dcterms:modified xsi:type="dcterms:W3CDTF">2026-05-15T15:09:38Z</dcterms:modified>
</cp:coreProperties>
</file>