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ldx-20230930x10q.htm"/>
        <w:bookmarkStart w:id="1" w:name="kscldx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f7e65897_3521_4d8d_9671_160309a27af0"/>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QUARTERLY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TRANSITION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000-15006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CELLDEX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w9h9oRSZ9UGPsRdopZx4fg_1_2"/>
      <w:bookmarkStart w:id="4" w:name="Tc_T1UzPWsyL0yHW_3yYNQWqg_1_0"/>
      <w:bookmarkStart w:id="5" w:name="Tc_WLb0535Zd0GTDwGvcv__1Q_0_2"/>
      <w:bookmarkStart w:id="6" w:name="_d0dca1c5_cfbd_41ee_8326_31c42ddd1388"/>
      <w:bookmarkStart w:id="7" w:name="Tc_w9h9oRSZ9UGPsRdopZx4fg_1_2"/>
      <w:bookmarkStart w:id="8" w:name="Tc_T1UzPWsyL0yHW_3yYNQWqg_1_0"/>
      <w:bookmarkStart w:id="9" w:name="Tc_WLb0535Zd0GTDwGvcv__1Q_0_2"/>
      <w:bookmarkStart w:id="10" w:name="_d0dca1c5_cfbd_41ee_8326_31c42ddd1388"/>
      <w:bookmarkEnd w:id="7"/>
      <w:bookmarkEnd w:id="8"/>
      <w:bookmarkEnd w:id="9"/>
      <w:bookmarkEnd w:id="10"/>
    </w:p>
    <w:tbl>
      <w:tblPr>
        <w:tblW w:w="8323" w:type="dxa"/>
        <w:jc w:val="left"/>
        <w:tblInd w:w="0" w:type="dxa"/>
        <w:tblLayout w:type="fixed"/>
        <w:tblCellMar>
          <w:top w:w="0" w:type="dxa"/>
          <w:left w:w="0" w:type="dxa"/>
          <w:bottom w:w="0" w:type="dxa"/>
          <w:right w:w="0" w:type="dxa"/>
        </w:tblCellMar>
      </w:tblPr>
      <w:tblGrid>
        <w:gridCol w:w="4966"/>
        <w:gridCol w:w="326"/>
        <w:gridCol w:w="3031"/>
      </w:tblGrid>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13-3191702</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Perryville III Building, 53 Frontage Road, Suite 220, Hampton, New Jersey</w:t>
      </w:r>
      <w:r>
        <w:rPr>
          <w:rFonts w:ascii="Times New Roman;Times;serif" w:hAnsi="Times New Roman;Times;serif"/>
          <w:sz w:val="20"/>
        </w:rPr>
        <w:t xml:space="preserve"> </w:t>
      </w:r>
      <w:r>
        <w:rPr>
          <w:rFonts w:ascii="Times New Roman;Times;serif" w:hAnsi="Times New Roman;Times;serif"/>
          <w:b/>
          <w:sz w:val="20"/>
        </w:rPr>
        <w:t>08827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(908) 200-7500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1" w:name="Tc_QaWzXvtfQUOKzTc6jHwSyA_1_4"/>
      <w:bookmarkStart w:id="12" w:name="Tc_HlXlAb8sEkuw6J60gA-RmQ_0_4"/>
      <w:bookmarkStart w:id="13" w:name="Tc_GJMoETdwOU2rgGt-JyDSTA_0_2"/>
      <w:bookmarkStart w:id="14" w:name="Tc_1NDTBVd95UaSkGkXgL2WVw_0_0"/>
      <w:bookmarkStart w:id="15" w:name="_82a80587_f51d_4628_93ff_43a2d7fa089f"/>
      <w:bookmarkStart w:id="16" w:name="Tc_QaWzXvtfQUOKzTc6jHwSyA_1_4"/>
      <w:bookmarkStart w:id="17" w:name="Tc_HlXlAb8sEkuw6J60gA-RmQ_0_4"/>
      <w:bookmarkStart w:id="18" w:name="Tc_GJMoETdwOU2rgGt-JyDSTA_0_2"/>
      <w:bookmarkStart w:id="19" w:name="Tc_1NDTBVd95UaSkGkXgL2WVw_0_0"/>
      <w:bookmarkStart w:id="20" w:name="_82a80587_f51d_4628_93ff_43a2d7fa089f"/>
      <w:bookmarkEnd w:id="16"/>
      <w:bookmarkEnd w:id="17"/>
      <w:bookmarkEnd w:id="18"/>
      <w:bookmarkEnd w:id="19"/>
      <w:bookmarkEnd w:id="20"/>
    </w:p>
    <w:tbl>
      <w:tblPr>
        <w:tblW w:w="8425" w:type="dxa"/>
        <w:jc w:val="left"/>
        <w:tblInd w:w="0" w:type="dxa"/>
        <w:tblLayout w:type="fixed"/>
        <w:tblCellMar>
          <w:top w:w="0" w:type="dxa"/>
          <w:left w:w="0" w:type="dxa"/>
          <w:bottom w:w="28" w:type="dxa"/>
          <w:right w:w="0" w:type="dxa"/>
        </w:tblCellMar>
      </w:tblPr>
      <w:tblGrid>
        <w:gridCol w:w="2731"/>
        <w:gridCol w:w="326"/>
        <w:gridCol w:w="1561"/>
        <w:gridCol w:w="326"/>
        <w:gridCol w:w="3481"/>
      </w:tblGrid>
      <w:tr>
        <w:trPr/>
        <w:tc>
          <w:tcPr>
            <w:tcW w:w="27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5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7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CLDX</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Calibri;Helvetica;sans-serif" w:hAnsi="Calibri;Helvetica;sans-serif"/>
                <w:sz w:val="22"/>
              </w:rPr>
            </w:pPr>
            <w:r>
              <w:rPr>
                <w:rFonts w:ascii="Times New Roman;Times;serif" w:hAnsi="Times New Roman;Times;serif"/>
                <w:sz w:val="20"/>
              </w:rPr>
              <w:t>Nasdaq</w:t>
            </w:r>
            <w:r>
              <w:rPr>
                <w:rFonts w:ascii="Calibri;Helvetica;sans-serif" w:hAnsi="Calibri;Helvetica;sans-serif"/>
                <w:sz w:val="22"/>
              </w:rPr>
              <w:t xml:space="preserve"> </w:t>
            </w:r>
            <w:r>
              <w:rPr>
                <w:rFonts w:ascii="Times New Roman;Times;serif" w:hAnsi="Times New Roman;Times;serif"/>
                <w:sz w:val="20"/>
              </w:rPr>
              <w:t>Capital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w:t>
      </w:r>
    </w:p>
    <w:tbl>
      <w:tblPr>
        <w:tblW w:w="5053" w:type="dxa"/>
        <w:jc w:val="left"/>
        <w:tblInd w:w="0" w:type="dxa"/>
        <w:tblLayout w:type="fixed"/>
        <w:tblCellMar>
          <w:top w:w="0" w:type="dxa"/>
          <w:left w:w="0" w:type="dxa"/>
          <w:bottom w:w="0" w:type="dxa"/>
          <w:right w:w="0" w:type="dxa"/>
        </w:tblCellMar>
      </w:tblPr>
      <w:tblGrid>
        <w:gridCol w:w="2146"/>
        <w:gridCol w:w="326"/>
        <w:gridCol w:w="2581"/>
      </w:tblGrid>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October 27, 2023, 47,264,197 shares of common stock, $.001 par value per share, were outstanding.</w:t>
      </w:r>
    </w:p>
    <w:p>
      <w:pPr>
        <w:pStyle w:val="TextBody"/>
        <w:bidi w:val="0"/>
        <w:spacing w:before="0" w:after="0"/>
        <w:ind w:left="0" w:right="0" w:firstLine="36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1" w:name="_bba00b09_4c28_4b1c_8e6c_b5fc214025ca"/>
      <w:bookmarkEnd w:id="21"/>
      <w:r>
        <w:rPr>
          <w:rFonts w:ascii="Times New Roman;Times;serif" w:hAnsi="Times New Roman;Times;serif"/>
          <w:b/>
          <w:sz w:val="20"/>
        </w:rPr>
        <w:t>CELLDEX THERAPEUTICS,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2023</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bidi w:val="0"/>
        <w:spacing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68"/>
        <w:gridCol w:w="326"/>
        <w:gridCol w:w="511"/>
      </w:tblGrid>
      <w:tr>
        <w:trPr/>
        <w:tc>
          <w:tcPr>
            <w:tcW w:w="93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    </w:t>
            </w:r>
          </w:p>
        </w:tc>
        <w:tc>
          <w:tcPr>
            <w:tcW w:w="5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68" w:type="dxa"/>
            <w:tcBorders/>
            <w:shd w:fill="CCEEFF" w:val="clear"/>
            <w:vAlign w:val="center"/>
          </w:tcPr>
          <w:p>
            <w:pPr>
              <w:pStyle w:val="TableContents"/>
              <w:pBdr/>
              <w:bidi w:val="0"/>
              <w:spacing w:before="0" w:after="0"/>
              <w:ind w:left="0" w:right="0" w:hanging="0"/>
              <w:jc w:val="left"/>
              <w:rPr/>
            </w:pPr>
            <w:hyperlink w:anchor="PARTIFINANCIALINFORMATION_722713">
              <w:r>
                <w:rPr>
                  <w:rStyle w:val="InternetLink"/>
                  <w:rFonts w:ascii="Times New Roman;Times;serif" w:hAnsi="Times New Roman;Times;serif"/>
                  <w:b/>
                  <w:i w:val="false"/>
                  <w:caps w:val="false"/>
                  <w:smallCaps w:val="false"/>
                  <w:sz w:val="20"/>
                </w:rPr>
                <w:t>Part I — Financial Information</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368" w:type="dxa"/>
            <w:tcBorders/>
            <w:vAlign w:val="center"/>
          </w:tcPr>
          <w:p>
            <w:pPr>
              <w:pStyle w:val="TableContents"/>
              <w:pBdr/>
              <w:bidi w:val="0"/>
              <w:spacing w:before="0" w:after="0"/>
              <w:ind w:left="0" w:right="0" w:hanging="0"/>
              <w:jc w:val="left"/>
              <w:rPr/>
            </w:pPr>
            <w:hyperlink w:anchor="Item1unaudited">
              <w:r>
                <w:rPr>
                  <w:rStyle w:val="InternetLink"/>
                  <w:rFonts w:ascii="Times New Roman;Times;serif" w:hAnsi="Times New Roman;Times;serif"/>
                  <w:b w:val="false"/>
                  <w:i w:val="false"/>
                  <w:caps w:val="false"/>
                  <w:smallCaps w:val="false"/>
                  <w:sz w:val="20"/>
                </w:rPr>
                <w:t>Item 1. Unaudited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BALANCESHEETS_81311">
              <w:r>
                <w:rPr>
                  <w:rStyle w:val="InternetLink"/>
                  <w:rFonts w:ascii="Times New Roman;Times;serif" w:hAnsi="Times New Roman;Times;serif"/>
                  <w:b w:val="false"/>
                  <w:i w:val="false"/>
                  <w:caps w:val="false"/>
                  <w:smallCaps w:val="false"/>
                  <w:sz w:val="20"/>
                </w:rPr>
                <w:t>Condensed Consolidated Balance Sheets at September 30, 2023</w:t>
              </w:r>
            </w:hyperlink>
            <w:hyperlink w:anchor="CONDENSEDCONSOLIDATEDBALANCESHEETS_81311">
              <w:r>
                <w:rPr>
                  <w:rStyle w:val="InternetLink"/>
                  <w:rFonts w:ascii="Times New Roman;Times;serif" w:hAnsi="Times New Roman;Times;serif"/>
                  <w:caps w:val="false"/>
                  <w:smallCaps w:val="false"/>
                  <w:sz w:val="20"/>
                </w:rPr>
                <w:t xml:space="preserve"> </w:t>
              </w:r>
            </w:hyperlink>
            <w:hyperlink w:anchor="CONDENSEDCONSOLIDATEDBALANCESHEETS_81311">
              <w:r>
                <w:rPr>
                  <w:rStyle w:val="InternetLink"/>
                  <w:rFonts w:ascii="Times New Roman;Times;serif" w:hAnsi="Times New Roman;Times;serif"/>
                  <w:b w:val="false"/>
                  <w:i w:val="false"/>
                  <w:caps w:val="false"/>
                  <w:smallCaps w:val="false"/>
                  <w:sz w:val="20"/>
                </w:rPr>
                <w:t>and December 31, 2022</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vAlign w:val="center"/>
          </w:tcPr>
          <w:p>
            <w:pPr>
              <w:pStyle w:val="TableContents"/>
              <w:pBdr/>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and Nine Months Ended September 30, 2023 and 2022</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Nine Months Ended September 30, 2023 and 2022</w:t>
              </w:r>
            </w:hyperlink>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68" w:type="dxa"/>
            <w:tcBorders/>
            <w:vAlign w:val="center"/>
          </w:tcPr>
          <w:p>
            <w:pPr>
              <w:pStyle w:val="TableContents"/>
              <w:pBdr/>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68"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368"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368" w:type="dxa"/>
            <w:tcBorders/>
            <w:shd w:fill="CCEEFF" w:val="clear"/>
            <w:vAlign w:val="center"/>
          </w:tcPr>
          <w:p>
            <w:pPr>
              <w:pStyle w:val="TableContents"/>
              <w:pBdr/>
              <w:bidi w:val="0"/>
              <w:spacing w:before="0" w:after="0"/>
              <w:ind w:left="0" w:right="0" w:hanging="0"/>
              <w:jc w:val="left"/>
              <w:rPr/>
            </w:pPr>
            <w:hyperlink w:anchor="Item4ControlsandProcedures_940929">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368" w:type="dxa"/>
            <w:tcBorders/>
            <w:vAlign w:val="center"/>
          </w:tcPr>
          <w:p>
            <w:pPr>
              <w:pStyle w:val="TableContents"/>
              <w:pBdr/>
              <w:bidi w:val="0"/>
              <w:spacing w:before="0" w:after="0"/>
              <w:ind w:left="0" w:right="0" w:hanging="0"/>
              <w:jc w:val="left"/>
              <w:rPr/>
            </w:pPr>
            <w:hyperlink w:anchor="Item5OtherInformation_222271">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368" w:type="dxa"/>
            <w:tcBorders/>
            <w:shd w:fill="CCEEFF" w:val="clear"/>
            <w:vAlign w:val="center"/>
          </w:tcPr>
          <w:p>
            <w:pPr>
              <w:pStyle w:val="TableContents"/>
              <w:pBdr/>
              <w:bidi w:val="0"/>
              <w:spacing w:before="0" w:after="0"/>
              <w:ind w:left="0" w:right="0" w:hanging="0"/>
              <w:jc w:val="left"/>
              <w:rPr/>
            </w:pPr>
            <w:hyperlink w:anchor="PARTIIOTHERINFORMATION_770534">
              <w:r>
                <w:rPr>
                  <w:rStyle w:val="InternetLink"/>
                  <w:rFonts w:ascii="Times New Roman;Times;serif" w:hAnsi="Times New Roman;Times;serif"/>
                  <w:b/>
                  <w:i w:val="false"/>
                  <w:caps w:val="false"/>
                  <w:smallCaps w:val="false"/>
                  <w:sz w:val="20"/>
                </w:rPr>
                <w:t>Part II — Other Information</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9368" w:type="dxa"/>
            <w:tcBorders/>
            <w:vAlign w:val="center"/>
          </w:tcPr>
          <w:p>
            <w:pPr>
              <w:pStyle w:val="TableContents"/>
              <w:pBdr/>
              <w:bidi w:val="0"/>
              <w:spacing w:before="0" w:after="0"/>
              <w:ind w:left="0" w:right="0" w:hanging="0"/>
              <w:jc w:val="left"/>
              <w:rPr/>
            </w:pPr>
            <w:hyperlink w:anchor="Item1ARiskFactors_750939">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368" w:type="dxa"/>
            <w:tcBorders/>
            <w:shd w:fill="CCEEFF" w:val="clear"/>
            <w:vAlign w:val="center"/>
          </w:tcPr>
          <w:p>
            <w:pPr>
              <w:pStyle w:val="TableContents"/>
              <w:pBdr/>
              <w:bidi w:val="0"/>
              <w:spacing w:before="0" w:after="0"/>
              <w:ind w:left="0" w:right="0" w:hanging="0"/>
              <w:jc w:val="left"/>
              <w:rPr/>
            </w:pPr>
            <w:hyperlink w:anchor="Item6Exhibits_142075">
              <w:r>
                <w:rPr>
                  <w:rStyle w:val="InternetLink"/>
                  <w:rFonts w:ascii="Times New Roman;Times;serif" w:hAnsi="Times New Roman;Times;serif"/>
                  <w:b w:val="false"/>
                  <w:i w:val="false"/>
                  <w:caps w:val="false"/>
                  <w:smallCaps w:val="false"/>
                  <w:sz w:val="20"/>
                </w:rPr>
                <w:t>Item 6. Exhibits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368" w:type="dxa"/>
            <w:tcBorders/>
            <w:vAlign w:val="center"/>
          </w:tcPr>
          <w:p>
            <w:pPr>
              <w:pStyle w:val="TableContents"/>
              <w:pBdr/>
              <w:bidi w:val="0"/>
              <w:spacing w:before="0" w:after="0"/>
              <w:ind w:left="0" w:right="0" w:hanging="0"/>
              <w:jc w:val="left"/>
              <w:rPr/>
            </w:pPr>
            <w:hyperlink w:anchor="Exhibitindex">
              <w:r>
                <w:rPr>
                  <w:rStyle w:val="InternetLink"/>
                  <w:rFonts w:ascii="Times New Roman;Times;serif" w:hAnsi="Times New Roman;Times;serif"/>
                  <w:b/>
                  <w:i w:val="false"/>
                  <w:caps w:val="false"/>
                  <w:smallCaps w:val="false"/>
                  <w:sz w:val="20"/>
                </w:rPr>
                <w:t>Exhibit Index</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368" w:type="dxa"/>
            <w:tcBorders/>
            <w:shd w:fill="CCEEFF" w:val="clear"/>
            <w:vAlign w:val="center"/>
          </w:tcPr>
          <w:p>
            <w:pPr>
              <w:pStyle w:val="TableContents"/>
              <w:pBdr/>
              <w:bidi w:val="0"/>
              <w:spacing w:before="0" w:after="0"/>
              <w:ind w:left="0" w:right="0" w:hanging="0"/>
              <w:jc w:val="left"/>
              <w:rPr/>
            </w:pPr>
            <w:hyperlink w:anchor="SIGNATURES_933986">
              <w:r>
                <w:rPr>
                  <w:rStyle w:val="InternetLink"/>
                  <w:rFonts w:ascii="Times New Roman;Times;serif" w:hAnsi="Times New Roman;Times;serif"/>
                  <w:b/>
                  <w:i w:val="false"/>
                  <w:caps w:val="false"/>
                  <w:smallCaps w:val="false"/>
                  <w:sz w:val="20"/>
                </w:rPr>
                <w:t>Signatures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3" w:name="PARTIFINANCIALINFORMATION_722713"/>
      <w:bookmarkStart w:id="24" w:name="_f242a1f3_aa6d_43f0_aec8_a67a4c730b1d"/>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25" w:name="Item1unaudited"/>
      <w:bookmarkEnd w:id="25"/>
      <w:r>
        <w:rPr>
          <w:rFonts w:ascii="Times New Roman;Times;serif" w:hAnsi="Times New Roman;Times;serif"/>
          <w:b/>
          <w:sz w:val="20"/>
        </w:rPr>
        <w:t>Item 1. Unaudited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6" w:name="CONDENSEDCONSOLIDATEDBALANCESHEETS_81311"/>
      <w:bookmarkEnd w:id="2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HLR6rr-tgUi-R8oalYNqDg_33_5"/>
      <w:bookmarkStart w:id="28" w:name="Tc_C1NyNcnkmUiQujHLHZkGvQ_33_2"/>
      <w:bookmarkStart w:id="29" w:name="Tc_N5ZEEqM3V0u7ZTmMhPd_pg_33_0"/>
      <w:bookmarkStart w:id="30" w:name="Tc_iho1qHf_gka3JsS8wfwwOw_32_0"/>
      <w:bookmarkStart w:id="31" w:name="Tc_cm5FvLRXYUOQ0C4GZPrzRA_31_0"/>
      <w:bookmarkStart w:id="32" w:name="Tc_TwKtdYEKbUiD-gQS83Zn1g_30_0"/>
      <w:bookmarkStart w:id="33" w:name="Tc_P8B2HSoztUes1Yh8c5XZcg_29_0"/>
      <w:bookmarkStart w:id="34" w:name="Tc_7zXNqAftgUKuCtgjm1QFGA_28_0"/>
      <w:bookmarkStart w:id="35" w:name="_f945a6e9_adcb_42d0_94c6_056dbb4cce1a_3"/>
      <w:bookmarkStart w:id="36" w:name="_f945a6e9_adcb_42d0_94c6_056dbb4cce1a_2"/>
      <w:bookmarkStart w:id="37" w:name="_f945a6e9_adcb_42d0_94c6_056dbb4cce1a"/>
      <w:bookmarkStart w:id="38" w:name="Tc_8EdglFWFSUWKK8Oc-XHXFA_27_0"/>
      <w:bookmarkStart w:id="39" w:name="Tc_nMX6h4MGEEmTEQHyJS33mA_26_0"/>
      <w:bookmarkStart w:id="40" w:name="Tc_JbQooMmK3U2Ui7vLr50gUA_25_0"/>
      <w:bookmarkStart w:id="41" w:name="Tc_JNvlCtyIOkyFWkQUeNtROA_24_0"/>
      <w:bookmarkStart w:id="42" w:name="Tc_hZCHNJ7dCEaahj-6gDJlyg_23_0"/>
      <w:bookmarkStart w:id="43" w:name="Tc_u3r__8p__Em2GcAR6xm5bw_22_0"/>
      <w:bookmarkStart w:id="44" w:name="Tc_k1BtGB8E4ESHxdIIFEmTZw_21_0"/>
      <w:bookmarkStart w:id="45" w:name="Tc_CUypS3fuW0eyWLBe_e8n9g_20_0"/>
      <w:bookmarkStart w:id="46" w:name="Tc_fYDxP1luM0iDHj-LPdSc9g_19_0"/>
      <w:bookmarkStart w:id="47" w:name="Tc_2Q8yBs3tI02Xc59kZr2l9w_18_0"/>
      <w:bookmarkStart w:id="48" w:name="Tc_baBS8gmhjUC5xZUVcFu3Tg_17_5"/>
      <w:bookmarkStart w:id="49" w:name="Tc_fM7ldmEb00GJKfDKzg4cLg_17_2"/>
      <w:bookmarkStart w:id="50" w:name="Tc_RSgn8JIkqE67_Q2yYNd36A_17_0"/>
      <w:bookmarkStart w:id="51" w:name="Tc_tNPvfG4B-kCBB9bXNKAG4w_16_0"/>
      <w:bookmarkStart w:id="52" w:name="Tc_feFehAKClkm5abTdqsPjxg_15_0"/>
      <w:bookmarkStart w:id="53" w:name="Tc_sgniy4Ry2EiTB4fjOYn92Q_14_5"/>
      <w:bookmarkStart w:id="54" w:name="Tc_rByZ5U6GdECXMUwcDyOeww_14_2"/>
      <w:bookmarkStart w:id="55" w:name="Tc_kVPoyWdKv0GYBKHUed6Otw_14_0"/>
      <w:bookmarkStart w:id="56" w:name="Tc_bQKctZ9AnUWIv6X8p7IJ5g_13_0"/>
      <w:bookmarkStart w:id="57" w:name="Tc_7oLI3BtnhU-YJ8hyep584w_12_0"/>
      <w:bookmarkStart w:id="58" w:name="Tc_upWme0hsVkW3DRcYZwPAgg_11_0"/>
      <w:bookmarkStart w:id="59" w:name="Tc_BJfoxz6tV0-12MO_d_7Dgg_10_0"/>
      <w:bookmarkStart w:id="60" w:name="Tc_mTeo4OMXoECyufY9UtiW1g_9_0"/>
      <w:bookmarkStart w:id="61" w:name="Tc_qnacGGa110ekGbfwCq511w_8_0"/>
      <w:bookmarkStart w:id="62" w:name="Tc_ftaNVv-xcEO6_4C2VH0sTg_7_0"/>
      <w:bookmarkStart w:id="63" w:name="Tc_gaqEMqv-tka5pWKjfwJ-vA_6_0"/>
      <w:bookmarkStart w:id="64" w:name="Tc_MG24ynXacUaTwrASbuprCA_5_5"/>
      <w:bookmarkStart w:id="65" w:name="Tc_kTIjG84LxkSGy-o_idSEbg_5_2"/>
      <w:bookmarkStart w:id="66" w:name="Tc_sEnEOxeJr0CbcE8lXTxuRg_5_0"/>
      <w:bookmarkStart w:id="67" w:name="Tc_Lqxmkhb6vkantQwaM98s_Q_4_0"/>
      <w:bookmarkStart w:id="68" w:name="Tc_EdYgKXW0UkiwH3sqTvEShw_3_0"/>
      <w:bookmarkStart w:id="69" w:name="Tc_AtoSDkQJS0OMbl_UIk3R6w_2_5"/>
      <w:bookmarkStart w:id="70" w:name="Tc_Kfk_Pye-EEOnl3NlcvXMJA_2_2"/>
      <w:bookmarkStart w:id="71" w:name="Tc_UJXiikIZCU2oq3lFOYAMtA_1_5"/>
      <w:bookmarkStart w:id="72" w:name="Tc_FWk-oViqlEmLb75kEXN8gA_1_2"/>
      <w:bookmarkStart w:id="73" w:name="_1a341834_fd8a_4ea7_8c9b_3c4775173112"/>
      <w:bookmarkStart w:id="74" w:name="Tc_HLR6rr-tgUi-R8oalYNqDg_33_5"/>
      <w:bookmarkStart w:id="75" w:name="Tc_C1NyNcnkmUiQujHLHZkGvQ_33_2"/>
      <w:bookmarkStart w:id="76" w:name="Tc_N5ZEEqM3V0u7ZTmMhPd_pg_33_0"/>
      <w:bookmarkStart w:id="77" w:name="Tc_iho1qHf_gka3JsS8wfwwOw_32_0"/>
      <w:bookmarkStart w:id="78" w:name="Tc_cm5FvLRXYUOQ0C4GZPrzRA_31_0"/>
      <w:bookmarkStart w:id="79" w:name="Tc_TwKtdYEKbUiD-gQS83Zn1g_30_0"/>
      <w:bookmarkStart w:id="80" w:name="Tc_P8B2HSoztUes1Yh8c5XZcg_29_0"/>
      <w:bookmarkStart w:id="81" w:name="Tc_7zXNqAftgUKuCtgjm1QFGA_28_0"/>
      <w:bookmarkStart w:id="82" w:name="_f945a6e9_adcb_42d0_94c6_056dbb4cce1a_3"/>
      <w:bookmarkStart w:id="83" w:name="_f945a6e9_adcb_42d0_94c6_056dbb4cce1a_2"/>
      <w:bookmarkStart w:id="84" w:name="_f945a6e9_adcb_42d0_94c6_056dbb4cce1a"/>
      <w:bookmarkStart w:id="85" w:name="Tc_8EdglFWFSUWKK8Oc-XHXFA_27_0"/>
      <w:bookmarkStart w:id="86" w:name="Tc_nMX6h4MGEEmTEQHyJS33mA_26_0"/>
      <w:bookmarkStart w:id="87" w:name="Tc_JbQooMmK3U2Ui7vLr50gUA_25_0"/>
      <w:bookmarkStart w:id="88" w:name="Tc_JNvlCtyIOkyFWkQUeNtROA_24_0"/>
      <w:bookmarkStart w:id="89" w:name="Tc_hZCHNJ7dCEaahj-6gDJlyg_23_0"/>
      <w:bookmarkStart w:id="90" w:name="Tc_u3r__8p__Em2GcAR6xm5bw_22_0"/>
      <w:bookmarkStart w:id="91" w:name="Tc_k1BtGB8E4ESHxdIIFEmTZw_21_0"/>
      <w:bookmarkStart w:id="92" w:name="Tc_CUypS3fuW0eyWLBe_e8n9g_20_0"/>
      <w:bookmarkStart w:id="93" w:name="Tc_fYDxP1luM0iDHj-LPdSc9g_19_0"/>
      <w:bookmarkStart w:id="94" w:name="Tc_2Q8yBs3tI02Xc59kZr2l9w_18_0"/>
      <w:bookmarkStart w:id="95" w:name="Tc_baBS8gmhjUC5xZUVcFu3Tg_17_5"/>
      <w:bookmarkStart w:id="96" w:name="Tc_fM7ldmEb00GJKfDKzg4cLg_17_2"/>
      <w:bookmarkStart w:id="97" w:name="Tc_RSgn8JIkqE67_Q2yYNd36A_17_0"/>
      <w:bookmarkStart w:id="98" w:name="Tc_tNPvfG4B-kCBB9bXNKAG4w_16_0"/>
      <w:bookmarkStart w:id="99" w:name="Tc_feFehAKClkm5abTdqsPjxg_15_0"/>
      <w:bookmarkStart w:id="100" w:name="Tc_sgniy4Ry2EiTB4fjOYn92Q_14_5"/>
      <w:bookmarkStart w:id="101" w:name="Tc_rByZ5U6GdECXMUwcDyOeww_14_2"/>
      <w:bookmarkStart w:id="102" w:name="Tc_kVPoyWdKv0GYBKHUed6Otw_14_0"/>
      <w:bookmarkStart w:id="103" w:name="Tc_bQKctZ9AnUWIv6X8p7IJ5g_13_0"/>
      <w:bookmarkStart w:id="104" w:name="Tc_7oLI3BtnhU-YJ8hyep584w_12_0"/>
      <w:bookmarkStart w:id="105" w:name="Tc_upWme0hsVkW3DRcYZwPAgg_11_0"/>
      <w:bookmarkStart w:id="106" w:name="Tc_BJfoxz6tV0-12MO_d_7Dgg_10_0"/>
      <w:bookmarkStart w:id="107" w:name="Tc_mTeo4OMXoECyufY9UtiW1g_9_0"/>
      <w:bookmarkStart w:id="108" w:name="Tc_qnacGGa110ekGbfwCq511w_8_0"/>
      <w:bookmarkStart w:id="109" w:name="Tc_ftaNVv-xcEO6_4C2VH0sTg_7_0"/>
      <w:bookmarkStart w:id="110" w:name="Tc_gaqEMqv-tka5pWKjfwJ-vA_6_0"/>
      <w:bookmarkStart w:id="111" w:name="Tc_MG24ynXacUaTwrASbuprCA_5_5"/>
      <w:bookmarkStart w:id="112" w:name="Tc_kTIjG84LxkSGy-o_idSEbg_5_2"/>
      <w:bookmarkStart w:id="113" w:name="Tc_sEnEOxeJr0CbcE8lXTxuRg_5_0"/>
      <w:bookmarkStart w:id="114" w:name="Tc_Lqxmkhb6vkantQwaM98s_Q_4_0"/>
      <w:bookmarkStart w:id="115" w:name="Tc_EdYgKXW0UkiwH3sqTvEShw_3_0"/>
      <w:bookmarkStart w:id="116" w:name="Tc_AtoSDkQJS0OMbl_UIk3R6w_2_5"/>
      <w:bookmarkStart w:id="117" w:name="Tc_Kfk_Pye-EEOnl3NlcvXMJA_2_2"/>
      <w:bookmarkStart w:id="118" w:name="Tc_UJXiikIZCU2oq3lFOYAMtA_1_5"/>
      <w:bookmarkStart w:id="119" w:name="Tc_FWk-oViqlEmLb75kEXN8gA_1_2"/>
      <w:bookmarkStart w:id="120" w:name="_1a341834_fd8a_4ea7_8c9b_3c4775173112"/>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tbl>
      <w:tblPr>
        <w:tblW w:w="10205" w:type="dxa"/>
        <w:jc w:val="left"/>
        <w:tblInd w:w="0" w:type="dxa"/>
        <w:tblLayout w:type="fixed"/>
        <w:tblCellMar>
          <w:top w:w="0" w:type="dxa"/>
          <w:left w:w="0" w:type="dxa"/>
          <w:bottom w:w="0" w:type="dxa"/>
          <w:right w:w="0" w:type="dxa"/>
        </w:tblCellMar>
      </w:tblPr>
      <w:tblGrid>
        <w:gridCol w:w="7053"/>
        <w:gridCol w:w="326"/>
        <w:gridCol w:w="211"/>
        <w:gridCol w:w="1016"/>
        <w:gridCol w:w="326"/>
        <w:gridCol w:w="211"/>
        <w:gridCol w:w="1062"/>
      </w:tblGrid>
      <w:tr>
        <w:trPr/>
        <w:tc>
          <w:tcPr>
            <w:tcW w:w="7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78655" cy="175260"/>
                      <wp:effectExtent l="0" t="0" r="0" b="0"/>
                      <wp:wrapNone/>
                      <wp:docPr id="1" name="Frame1"/>
                      <a:graphic xmlns:a="http://schemas.openxmlformats.org/drawingml/2006/main">
                        <a:graphicData uri="http://schemas.microsoft.com/office/word/2010/wordprocessingShape">
                          <wps:wsp>
                            <wps:cNvSpPr txBox="1"/>
                            <wps:spPr>
                              <a:xfrm>
                                <a:off x="0" y="0"/>
                                <a:ext cx="447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5160" cy="175260"/>
                      <wp:effectExtent l="0" t="0" r="0" b="0"/>
                      <wp:wrapNone/>
                      <wp:docPr id="4" name="Frame4"/>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74370" cy="175260"/>
                      <wp:effectExtent l="0" t="0" r="0" b="0"/>
                      <wp:wrapNone/>
                      <wp:docPr id="7" name="Frame7"/>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2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29,429</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275,523</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and other receivables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and other current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12,394</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current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317,693</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net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352,735</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12,835</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18,610</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5,333</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26,531</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 $.01 par value; 3,000,000 shares authorized; no shares issued and outstanding at September 30, 2023 and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297,000,000 shares authorized; 47,264,197 and 47,200,695 shares issued and outstanding at September 30, 2023 and December 31, 2022,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1,598,591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1,580,829</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(1,354,055)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(1,255,932)</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326,204</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352,735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1" w:name="_3ed06f29_1209_4b99_927e_ed310247e3c5"/>
      <w:bookmarkEnd w:id="121"/>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122" w:name="CONDENSEDCONSOLIDATEDSTATEMENTSOFOPERATI"/>
      <w:bookmarkEnd w:id="122"/>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3" w:name="Tc_uc1CpPMBj0WumnT7Ay0GCg_27_11"/>
      <w:bookmarkStart w:id="124" w:name="Tc_A-joRMwo1UK7DV5B1tDUcQ_27_8"/>
      <w:bookmarkStart w:id="125" w:name="Tc_iPba4ErnnkG4AF2l27H7hQ_27_5"/>
      <w:bookmarkStart w:id="126" w:name="Tc_d4WQpFMoM0u1x7YplIjGGA_27_2"/>
      <w:bookmarkStart w:id="127" w:name="Tc_n0l-EI1kWUC-4_djFySENA_27_0"/>
      <w:bookmarkStart w:id="128" w:name="Tc_1ij3tz8coUi7F29dtWXMIQ_26_0"/>
      <w:bookmarkStart w:id="129" w:name="Tc_3bZa35Dm0EurJx1dbhyhRA_25_0"/>
      <w:bookmarkStart w:id="130" w:name="Tc_XF5O4tKAXEWBE2UUD4THXA_24_11"/>
      <w:bookmarkStart w:id="131" w:name="Tc_8ti29384-Ei6jqufNuquEA_24_8"/>
      <w:bookmarkStart w:id="132" w:name="Tc_ottg_xcE2U29iXe3FYlM3w_24_5"/>
      <w:bookmarkStart w:id="133" w:name="Tc_CAtJY3-C90-w0B_t35j58g_24_2"/>
      <w:bookmarkStart w:id="134" w:name="Tc_u34WrE-jZUKdMZrj5EuRjg_24_0"/>
      <w:bookmarkStart w:id="135" w:name="Tc_R7JYYm9fyUKi1EBx92In2Q_23_0"/>
      <w:bookmarkStart w:id="136" w:name="Tc_tXYIi9UBfE-YaCLSyUA_hQ_21_0"/>
      <w:bookmarkStart w:id="137" w:name="Tc_In6Z6Q45UkGKWFEY35Kz4A_19_11"/>
      <w:bookmarkStart w:id="138" w:name="Tc_aM3N7grmc0emXS0uyeE7yA_19_8"/>
      <w:bookmarkStart w:id="139" w:name="Tc_6IY_pC3MVUqGAuzoSa26KQ_19_5"/>
      <w:bookmarkStart w:id="140" w:name="Tc_Ju1jIWIQt06NqHKkCZuUqg_19_2"/>
      <w:bookmarkStart w:id="141" w:name="Tc_gifphOTKqUiR9jHfZOkzpg_19_0"/>
      <w:bookmarkStart w:id="142" w:name="Tc_jFZHCjOgR0KTrG8DFVu6dA_17_11"/>
      <w:bookmarkStart w:id="143" w:name="Tc_9A1FXd6TKUG0HPUdCSXKaQ_17_8"/>
      <w:bookmarkStart w:id="144" w:name="Tc_ua8ZDfF38U2lvunIDbHLBw_17_5"/>
      <w:bookmarkStart w:id="145" w:name="Tc_ZK2Ihx6e_EW8yVC5u9TCxw_17_2"/>
      <w:bookmarkStart w:id="146" w:name="Tc_ulwxHsyzWk6Uy8bKaXo8fA_17_0"/>
      <w:bookmarkStart w:id="147" w:name="Tc_FuAIIdeEJk2VsCdOlCm5DA_16_0"/>
      <w:bookmarkStart w:id="148" w:name="Tc_Fxe0S5KgnEeGr5ZzDF_K-A_15_0"/>
      <w:bookmarkStart w:id="149" w:name="Tc_bbyvaaRR4kmR_pBR4s4bHw_13_0"/>
      <w:bookmarkStart w:id="150" w:name="Tc_JZksum_8bkGlUNQNhZvXtQ_12_9"/>
      <w:bookmarkStart w:id="151" w:name="Tc_3C5r0cwdG0OKVIaPk-ARoA_12_6"/>
      <w:bookmarkStart w:id="152" w:name="Tc_FDeNhvTyeEKO4T4QpGR_uw_12_3"/>
      <w:bookmarkStart w:id="153" w:name="Tc_turIdSck5UKOPbZpJkKGTw_12_0"/>
      <w:bookmarkStart w:id="154" w:name="Tc_BYmNIUNnYkeRo1tfBBNlcg_11_9"/>
      <w:bookmarkStart w:id="155" w:name="Tc_Y_DefjXq1k2IbFTEXnX1Hg_11_6"/>
      <w:bookmarkStart w:id="156" w:name="Tc_NkmZhFvJa0SgR_74adPJ5g_11_3"/>
      <w:bookmarkStart w:id="157" w:name="Tc_mTb2rziGfUKkNIqRmrUg9w_11_0"/>
      <w:bookmarkStart w:id="158" w:name="Tc_j0iVEG7c_U6K22LjZXpEgA_10_0"/>
      <w:bookmarkStart w:id="159" w:name="Tc_RG-hxqT9vk2ziuEQLZYerQ_9_0"/>
      <w:bookmarkStart w:id="160" w:name="Tc_eeG-yE4HwkC8nZlCWanb2A_8_0"/>
      <w:bookmarkStart w:id="161" w:name="Tc_YxvDC81IakKIVdaoNltLEQ_6_0"/>
      <w:bookmarkStart w:id="162" w:name="Tc_iN3jCUT0gkWRWO9VoWYBAg_5_0"/>
      <w:bookmarkStart w:id="163" w:name="Tc_uYzgraK3006oaI5maEFm2w_4_11"/>
      <w:bookmarkStart w:id="164" w:name="Tc_JBjgqRYv3Uy1c09JZkI1Zg_4_8"/>
      <w:bookmarkStart w:id="165" w:name="Tc_oVYe4XS_pkuQRkGz1yQOTg_4_6"/>
      <w:bookmarkStart w:id="166" w:name="Tc_L3YiasVMDUC_90TC1-_PxA_4_5"/>
      <w:bookmarkStart w:id="167" w:name="Tc_QJDOyWorS0yWi4nweTaMZg_4_2"/>
      <w:bookmarkStart w:id="168" w:name="Tc_1HtVkEbxWketZgiZO85QfA_4_0"/>
      <w:bookmarkStart w:id="169" w:name="Tc_1e8ch7ebJEWYIc_KFpequQ_3_0"/>
      <w:bookmarkStart w:id="170" w:name="Tc_WG-xz9V29kSZF2vkc_zVMw_2_11"/>
      <w:bookmarkStart w:id="171" w:name="Tc_0wHamVaKIE6jrkrOHNppMg_2_8"/>
      <w:bookmarkStart w:id="172" w:name="Tc_H2CJUpzWgkGI1vGJc-lRWA_2_5"/>
      <w:bookmarkStart w:id="173" w:name="Tc_LuwGw2vm_EuNonTOLejVyg_2_2"/>
      <w:bookmarkStart w:id="174" w:name="Tc_AlVcmt9I8kqXw-vVUruv4Q_1_11"/>
      <w:bookmarkStart w:id="175" w:name="Tc_1IhBoQq270-kkPgqNWx85g_1_8"/>
      <w:bookmarkStart w:id="176" w:name="Tc_bOgq6uaKk0Og_RV7NqhQXQ_1_5"/>
      <w:bookmarkStart w:id="177" w:name="Tc_p5reKNn1iEa-GPBwaqtc5A_1_2"/>
      <w:bookmarkStart w:id="178" w:name="_be025735_3b83_40c4_9871_d6089a032502"/>
      <w:bookmarkStart w:id="179" w:name="_d47e9ac3_9f28_48aa_849a_efdebf818e65"/>
      <w:bookmarkStart w:id="180" w:name="Tc_uc1CpPMBj0WumnT7Ay0GCg_27_11"/>
      <w:bookmarkStart w:id="181" w:name="Tc_A-joRMwo1UK7DV5B1tDUcQ_27_8"/>
      <w:bookmarkStart w:id="182" w:name="Tc_iPba4ErnnkG4AF2l27H7hQ_27_5"/>
      <w:bookmarkStart w:id="183" w:name="Tc_d4WQpFMoM0u1x7YplIjGGA_27_2"/>
      <w:bookmarkStart w:id="184" w:name="Tc_n0l-EI1kWUC-4_djFySENA_27_0"/>
      <w:bookmarkStart w:id="185" w:name="Tc_1ij3tz8coUi7F29dtWXMIQ_26_0"/>
      <w:bookmarkStart w:id="186" w:name="Tc_3bZa35Dm0EurJx1dbhyhRA_25_0"/>
      <w:bookmarkStart w:id="187" w:name="Tc_XF5O4tKAXEWBE2UUD4THXA_24_11"/>
      <w:bookmarkStart w:id="188" w:name="Tc_8ti29384-Ei6jqufNuquEA_24_8"/>
      <w:bookmarkStart w:id="189" w:name="Tc_ottg_xcE2U29iXe3FYlM3w_24_5"/>
      <w:bookmarkStart w:id="190" w:name="Tc_CAtJY3-C90-w0B_t35j58g_24_2"/>
      <w:bookmarkStart w:id="191" w:name="Tc_u34WrE-jZUKdMZrj5EuRjg_24_0"/>
      <w:bookmarkStart w:id="192" w:name="Tc_R7JYYm9fyUKi1EBx92In2Q_23_0"/>
      <w:bookmarkStart w:id="193" w:name="Tc_tXYIi9UBfE-YaCLSyUA_hQ_21_0"/>
      <w:bookmarkStart w:id="194" w:name="Tc_In6Z6Q45UkGKWFEY35Kz4A_19_11"/>
      <w:bookmarkStart w:id="195" w:name="Tc_aM3N7grmc0emXS0uyeE7yA_19_8"/>
      <w:bookmarkStart w:id="196" w:name="Tc_6IY_pC3MVUqGAuzoSa26KQ_19_5"/>
      <w:bookmarkStart w:id="197" w:name="Tc_Ju1jIWIQt06NqHKkCZuUqg_19_2"/>
      <w:bookmarkStart w:id="198" w:name="Tc_gifphOTKqUiR9jHfZOkzpg_19_0"/>
      <w:bookmarkStart w:id="199" w:name="Tc_jFZHCjOgR0KTrG8DFVu6dA_17_11"/>
      <w:bookmarkStart w:id="200" w:name="Tc_9A1FXd6TKUG0HPUdCSXKaQ_17_8"/>
      <w:bookmarkStart w:id="201" w:name="Tc_ua8ZDfF38U2lvunIDbHLBw_17_5"/>
      <w:bookmarkStart w:id="202" w:name="Tc_ZK2Ihx6e_EW8yVC5u9TCxw_17_2"/>
      <w:bookmarkStart w:id="203" w:name="Tc_ulwxHsyzWk6Uy8bKaXo8fA_17_0"/>
      <w:bookmarkStart w:id="204" w:name="Tc_FuAIIdeEJk2VsCdOlCm5DA_16_0"/>
      <w:bookmarkStart w:id="205" w:name="Tc_Fxe0S5KgnEeGr5ZzDF_K-A_15_0"/>
      <w:bookmarkStart w:id="206" w:name="Tc_bbyvaaRR4kmR_pBR4s4bHw_13_0"/>
      <w:bookmarkStart w:id="207" w:name="Tc_JZksum_8bkGlUNQNhZvXtQ_12_9"/>
      <w:bookmarkStart w:id="208" w:name="Tc_3C5r0cwdG0OKVIaPk-ARoA_12_6"/>
      <w:bookmarkStart w:id="209" w:name="Tc_FDeNhvTyeEKO4T4QpGR_uw_12_3"/>
      <w:bookmarkStart w:id="210" w:name="Tc_turIdSck5UKOPbZpJkKGTw_12_0"/>
      <w:bookmarkStart w:id="211" w:name="Tc_BYmNIUNnYkeRo1tfBBNlcg_11_9"/>
      <w:bookmarkStart w:id="212" w:name="Tc_Y_DefjXq1k2IbFTEXnX1Hg_11_6"/>
      <w:bookmarkStart w:id="213" w:name="Tc_NkmZhFvJa0SgR_74adPJ5g_11_3"/>
      <w:bookmarkStart w:id="214" w:name="Tc_mTb2rziGfUKkNIqRmrUg9w_11_0"/>
      <w:bookmarkStart w:id="215" w:name="Tc_j0iVEG7c_U6K22LjZXpEgA_10_0"/>
      <w:bookmarkStart w:id="216" w:name="Tc_RG-hxqT9vk2ziuEQLZYerQ_9_0"/>
      <w:bookmarkStart w:id="217" w:name="Tc_eeG-yE4HwkC8nZlCWanb2A_8_0"/>
      <w:bookmarkStart w:id="218" w:name="Tc_YxvDC81IakKIVdaoNltLEQ_6_0"/>
      <w:bookmarkStart w:id="219" w:name="Tc_iN3jCUT0gkWRWO9VoWYBAg_5_0"/>
      <w:bookmarkStart w:id="220" w:name="Tc_uYzgraK3006oaI5maEFm2w_4_11"/>
      <w:bookmarkStart w:id="221" w:name="Tc_JBjgqRYv3Uy1c09JZkI1Zg_4_8"/>
      <w:bookmarkStart w:id="222" w:name="Tc_oVYe4XS_pkuQRkGz1yQOTg_4_6"/>
      <w:bookmarkStart w:id="223" w:name="Tc_L3YiasVMDUC_90TC1-_PxA_4_5"/>
      <w:bookmarkStart w:id="224" w:name="Tc_QJDOyWorS0yWi4nweTaMZg_4_2"/>
      <w:bookmarkStart w:id="225" w:name="Tc_1HtVkEbxWketZgiZO85QfA_4_0"/>
      <w:bookmarkStart w:id="226" w:name="Tc_1e8ch7ebJEWYIc_KFpequQ_3_0"/>
      <w:bookmarkStart w:id="227" w:name="Tc_WG-xz9V29kSZF2vkc_zVMw_2_11"/>
      <w:bookmarkStart w:id="228" w:name="Tc_0wHamVaKIE6jrkrOHNppMg_2_8"/>
      <w:bookmarkStart w:id="229" w:name="Tc_H2CJUpzWgkGI1vGJc-lRWA_2_5"/>
      <w:bookmarkStart w:id="230" w:name="Tc_LuwGw2vm_EuNonTOLejVyg_2_2"/>
      <w:bookmarkStart w:id="231" w:name="Tc_AlVcmt9I8kqXw-vVUruv4Q_1_11"/>
      <w:bookmarkStart w:id="232" w:name="Tc_1IhBoQq270-kkPgqNWx85g_1_8"/>
      <w:bookmarkStart w:id="233" w:name="Tc_bOgq6uaKk0Og_RV7NqhQXQ_1_5"/>
      <w:bookmarkStart w:id="234" w:name="Tc_p5reKNn1iEa-GPBwaqtc5A_1_2"/>
      <w:bookmarkStart w:id="235" w:name="_be025735_3b83_40c4_9871_d6089a032502"/>
      <w:bookmarkStart w:id="236" w:name="_d47e9ac3_9f28_48aa_849a_efdebf818e65"/>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tbl>
      <w:tblPr>
        <w:tblW w:w="10205" w:type="dxa"/>
        <w:jc w:val="left"/>
        <w:tblInd w:w="0" w:type="dxa"/>
        <w:tblLayout w:type="fixed"/>
        <w:tblCellMar>
          <w:top w:w="0" w:type="dxa"/>
          <w:left w:w="0" w:type="dxa"/>
          <w:bottom w:w="0" w:type="dxa"/>
          <w:right w:w="0" w:type="dxa"/>
        </w:tblCellMar>
      </w:tblPr>
      <w:tblGrid>
        <w:gridCol w:w="2672"/>
        <w:gridCol w:w="326"/>
        <w:gridCol w:w="344"/>
        <w:gridCol w:w="1202"/>
        <w:gridCol w:w="326"/>
        <w:gridCol w:w="344"/>
        <w:gridCol w:w="1202"/>
        <w:gridCol w:w="326"/>
        <w:gridCol w:w="310"/>
        <w:gridCol w:w="1236"/>
        <w:gridCol w:w="326"/>
        <w:gridCol w:w="338"/>
        <w:gridCol w:w="1253"/>
      </w:tblGrid>
      <w:tr>
        <w:trPr/>
        <w:tc>
          <w:tcPr>
            <w:tcW w:w="2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696720" cy="175260"/>
                      <wp:effectExtent l="0" t="0" r="0" b="0"/>
                      <wp:wrapNone/>
                      <wp:docPr id="8" name="Frame8"/>
                      <a:graphic xmlns:a="http://schemas.openxmlformats.org/drawingml/2006/main">
                        <a:graphicData uri="http://schemas.microsoft.com/office/word/2010/wordprocessingShape">
                          <wps:wsp>
                            <wps:cNvSpPr txBox="1"/>
                            <wps:spPr>
                              <a:xfrm>
                                <a:off x="0" y="0"/>
                                <a:ext cx="169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8440" cy="175260"/>
                      <wp:effectExtent l="0" t="0" r="0" b="0"/>
                      <wp:wrapNone/>
                      <wp:docPr id="10" name="Frame1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63270" cy="175260"/>
                      <wp:effectExtent l="0" t="0" r="0" b="0"/>
                      <wp:wrapNone/>
                      <wp:docPr id="11" name="Frame11"/>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8440" cy="175260"/>
                      <wp:effectExtent l="0" t="0" r="0" b="0"/>
                      <wp:wrapNone/>
                      <wp:docPr id="13" name="Frame13"/>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63270" cy="175260"/>
                      <wp:effectExtent l="0" t="0" r="0" b="0"/>
                      <wp:wrapNone/>
                      <wp:docPr id="14" name="Frame14"/>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96850" cy="175260"/>
                      <wp:effectExtent l="0" t="0" r="0" b="0"/>
                      <wp:wrapNone/>
                      <wp:docPr id="16" name="Frame16"/>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4860" cy="175260"/>
                      <wp:effectExtent l="0" t="0" r="0" b="0"/>
                      <wp:wrapNone/>
                      <wp:docPr id="17" name="Frame17"/>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4630" cy="175260"/>
                      <wp:effectExtent l="0" t="0" r="0" b="0"/>
                      <wp:wrapNone/>
                      <wp:docPr id="19" name="Frame19"/>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95655" cy="175260"/>
                      <wp:effectExtent l="0" t="0" r="0" b="0"/>
                      <wp:wrapNone/>
                      <wp:docPr id="20" name="Frame20"/>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br/>
              <w:t>Ended</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br/>
              <w:t>Ended</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w:t>
              <w:br/>
              <w:t>Ended</w:t>
            </w:r>
          </w:p>
        </w:tc>
        <w:tc>
          <w:tcPr>
            <w:tcW w:w="32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w:t>
              <w:br/>
              <w:t>Ended</w:t>
            </w:r>
          </w:p>
        </w:tc>
      </w:tr>
      <w:tr>
        <w:trPr/>
        <w:tc>
          <w:tcPr>
            <w:tcW w:w="26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2022</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2022</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3" w:type="dxa"/>
            <w:tcBorders/>
            <w:shd w:fill="CCEEFF" w:val="clear"/>
            <w:vAlign w:val="center"/>
          </w:tcPr>
          <w:p>
            <w:pPr>
              <w:pStyle w:val="TableContents"/>
              <w:bidi w:val="0"/>
              <w:spacing w:before="0" w:after="0"/>
              <w:ind w:left="0" w:right="0" w:hanging="0"/>
              <w:jc w:val="right"/>
              <w:rPr/>
            </w:pPr>
            <w:r>
              <w:rPr/>
              <w:t>​</w:t>
            </w:r>
          </w:p>
        </w:tc>
      </w:tr>
      <w:tr>
        <w:trPr/>
        <w:tc>
          <w:tcPr>
            <w:tcW w:w="26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r>
      <w:tr>
        <w:trPr/>
        <w:tc>
          <w:tcPr>
            <w:tcW w:w="26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26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3" w:type="dxa"/>
            <w:tcBorders/>
            <w:shd w:fill="CCEEFF" w:val="clear"/>
            <w:vAlign w:val="center"/>
          </w:tcPr>
          <w:p>
            <w:pPr>
              <w:pStyle w:val="TableContents"/>
              <w:bidi w:val="0"/>
              <w:spacing w:before="0" w:after="0"/>
              <w:ind w:left="0" w:right="0" w:hanging="0"/>
              <w:jc w:val="right"/>
              <w:rPr/>
            </w:pPr>
            <w:r>
              <w:rPr/>
              <w:t>​</w:t>
            </w:r>
          </w:p>
        </w:tc>
      </w:tr>
      <w:tr>
        <w:trPr/>
        <w:tc>
          <w:tcPr>
            <w:tcW w:w="267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1253" w:type="dxa"/>
            <w:tcBorders/>
            <w:vAlign w:val="center"/>
          </w:tcPr>
          <w:p>
            <w:pPr>
              <w:pStyle w:val="TableContents"/>
              <w:bidi w:val="0"/>
              <w:spacing w:before="0" w:after="0"/>
              <w:ind w:left="0" w:right="0" w:hanging="0"/>
              <w:jc w:val="right"/>
              <w:rPr/>
            </w:pPr>
            <w:r>
              <w:rPr/>
              <w:t>​</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34,535</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21,572</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87,585</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 </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59,359</w:t>
            </w:r>
          </w:p>
        </w:tc>
      </w:tr>
      <w:tr>
        <w:trPr/>
        <w:tc>
          <w:tcPr>
            <w:tcW w:w="26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8,221</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6,531</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22,082</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20,596</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r>
      <w:tr>
        <w:trPr/>
        <w:tc>
          <w:tcPr>
            <w:tcW w:w="26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settlement related loss</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42,756</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28,103</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109,667</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88,093</w:t>
            </w:r>
          </w:p>
        </w:tc>
      </w:tr>
      <w:tr>
        <w:trPr/>
        <w:tc>
          <w:tcPr>
            <w:tcW w:w="26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1253" w:type="dxa"/>
            <w:tcBorders/>
            <w:vAlign w:val="center"/>
          </w:tcPr>
          <w:p>
            <w:pPr>
              <w:pStyle w:val="TableContents"/>
              <w:bidi w:val="0"/>
              <w:spacing w:before="0" w:after="0"/>
              <w:ind w:left="0" w:right="0" w:hanging="0"/>
              <w:jc w:val="right"/>
              <w:rPr/>
            </w:pPr>
            <w:r>
              <w:rPr/>
              <w:t>​</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(41,239)</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(27,696)</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(106,915)</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 </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(87,349)</w:t>
            </w:r>
          </w:p>
        </w:tc>
      </w:tr>
      <w:tr>
        <w:trPr/>
        <w:tc>
          <w:tcPr>
            <w:tcW w:w="26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2,979</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8,792</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(38,260)</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(26,784)</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(98,123)</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(85,838)</w:t>
            </w:r>
          </w:p>
        </w:tc>
      </w:tr>
      <w:tr>
        <w:trPr/>
        <w:tc>
          <w:tcPr>
            <w:tcW w:w="26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1253" w:type="dxa"/>
            <w:tcBorders/>
            <w:vAlign w:val="center"/>
          </w:tcPr>
          <w:p>
            <w:pPr>
              <w:pStyle w:val="TableContents"/>
              <w:bidi w:val="0"/>
              <w:spacing w:before="0" w:after="0"/>
              <w:ind w:left="0" w:right="0" w:hanging="0"/>
              <w:jc w:val="right"/>
              <w:rPr/>
            </w:pPr>
            <w:r>
              <w:rPr/>
              <w:t>​</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26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1253" w:type="dxa"/>
            <w:tcBorders/>
            <w:vAlign w:val="center"/>
          </w:tcPr>
          <w:p>
            <w:pPr>
              <w:pStyle w:val="TableContents"/>
              <w:bidi w:val="0"/>
              <w:spacing w:before="0" w:after="0"/>
              <w:ind w:left="0" w:right="0" w:hanging="0"/>
              <w:jc w:val="right"/>
              <w:rPr/>
            </w:pPr>
            <w:r>
              <w:rPr/>
              <w:t>​</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calculating basic and diluted net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47,261</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46,916</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47,243</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46,806</w:t>
            </w:r>
          </w:p>
        </w:tc>
      </w:tr>
      <w:tr>
        <w:trPr/>
        <w:tc>
          <w:tcPr>
            <w:tcW w:w="26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1253" w:type="dxa"/>
            <w:tcBorders/>
            <w:vAlign w:val="center"/>
          </w:tcPr>
          <w:p>
            <w:pPr>
              <w:pStyle w:val="TableContents"/>
              <w:bidi w:val="0"/>
              <w:spacing w:before="0" w:after="0"/>
              <w:ind w:left="0" w:right="0" w:hanging="0"/>
              <w:jc w:val="right"/>
              <w:rPr/>
            </w:pPr>
            <w:r>
              <w:rPr/>
              <w:t>​</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3" w:type="dxa"/>
            <w:tcBorders/>
            <w:shd w:fill="CCEEFF" w:val="clear"/>
            <w:vAlign w:val="center"/>
          </w:tcPr>
          <w:p>
            <w:pPr>
              <w:pStyle w:val="TableContents"/>
              <w:bidi w:val="0"/>
              <w:spacing w:before="0" w:after="0"/>
              <w:ind w:left="0" w:right="0" w:hanging="0"/>
              <w:jc w:val="right"/>
              <w:rPr/>
            </w:pPr>
            <w:r>
              <w:rPr/>
              <w:t>​</w:t>
            </w:r>
          </w:p>
        </w:tc>
      </w:tr>
      <w:tr>
        <w:trPr/>
        <w:tc>
          <w:tcPr>
            <w:tcW w:w="26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(38,260)</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(26,784)</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(98,123)</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(85,838)</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3" w:type="dxa"/>
            <w:tcBorders/>
            <w:shd w:fill="CCEEFF" w:val="clear"/>
            <w:vAlign w:val="center"/>
          </w:tcPr>
          <w:p>
            <w:pPr>
              <w:pStyle w:val="TableContents"/>
              <w:bidi w:val="0"/>
              <w:spacing w:before="0" w:after="0"/>
              <w:ind w:left="0" w:right="0" w:hanging="0"/>
              <w:jc w:val="right"/>
              <w:rPr/>
            </w:pPr>
            <w:r>
              <w:rPr/>
              <w:t>​</w:t>
            </w:r>
          </w:p>
        </w:tc>
      </w:tr>
      <w:tr>
        <w:trPr/>
        <w:tc>
          <w:tcPr>
            <w:tcW w:w="26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marketable securities</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w:t>
            </w:r>
          </w:p>
        </w:tc>
      </w:tr>
      <w:tr>
        <w:trPr/>
        <w:tc>
          <w:tcPr>
            <w:tcW w:w="26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(38,197)</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(26,479)</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(97,248)</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(87,844)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7" w:name="_334b6a48_8a90_4cb4_baf7_12a8da86a9bf"/>
      <w:bookmarkEnd w:id="237"/>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38" w:name="CONDENSEDCONSOLIDATEDSTATEMENTSOFCASHFLO"/>
      <w:bookmarkEnd w:id="238"/>
      <w:r>
        <w:rPr>
          <w:rFonts w:ascii="Times New Roman;Times;serif" w:hAnsi="Times New Roman;Times;serif"/>
          <w:b/>
          <w:sz w:val="20"/>
        </w:rPr>
        <w:t>CONDENSED CONSOLIDATED STATEMENTS OF CASH FLOW</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39" w:name="Tc_-fkmTiG5Y0ilGsRIGeKzcQ_33_5"/>
      <w:bookmarkStart w:id="240" w:name="Tc_RUCn7UsNv0ejkrLYQ3S9Jw_33_2"/>
      <w:bookmarkStart w:id="241" w:name="Tc_4hK5DKJiy0ejPMWHfxO9VQ_33_0"/>
      <w:bookmarkStart w:id="242" w:name="Tc_5nKNPNcGBkGyHsN_bQZd-g_32_0"/>
      <w:bookmarkStart w:id="243" w:name="Tc_aM214fwrzEiQoNWoKKiOCg_30_5"/>
      <w:bookmarkStart w:id="244" w:name="Tc_B0LSP-7T2k6he_UChbM2ZQ_30_2"/>
      <w:bookmarkStart w:id="245" w:name="Tc_LJDyZNWRlk21cZWRyZsoLA_30_0"/>
      <w:bookmarkStart w:id="246" w:name="Tc_dIDCagb4OUSRVNWtI8AyiQ_29_0"/>
      <w:bookmarkStart w:id="247" w:name="Tc_hgpFPK-uW0ON6MdCnafacA_28_0"/>
      <w:bookmarkStart w:id="248" w:name="Tc_XQQK6_VTRUWDgTMHgueERA_26_0"/>
      <w:bookmarkStart w:id="249" w:name="Tc_nNBS8fvXh0uk3B28w_b1Bg_25_0"/>
      <w:bookmarkStart w:id="250" w:name="Tc_V1rirhTSq0icsiThgyYNrQ_24_0"/>
      <w:bookmarkStart w:id="251" w:name="Tc_7dDkf8bmjUyuij1t9OwU1g_23_0"/>
      <w:bookmarkStart w:id="252" w:name="Tc_9lADJl1pQU6qMhzRkq-mAg_22_3"/>
      <w:bookmarkStart w:id="253" w:name="Tc_W7XsqyT5MUSJ8F_amqW13Q_22_0"/>
      <w:bookmarkStart w:id="254" w:name="Tc_-k8k-SR_9EKM7byDUR1jlg_21_0"/>
      <w:bookmarkStart w:id="255" w:name="Tc_3ryEkUx-lkeCX9acv4ZuwA_20_0"/>
      <w:bookmarkStart w:id="256" w:name="Tc_WEgHeorIS0iyNr62YawFWg_19_0"/>
      <w:bookmarkStart w:id="257" w:name="Tc_s9K9rpdUT0O9Kf-3m-eiHA_18_0"/>
      <w:bookmarkStart w:id="258" w:name="Tc_BXMeBbcuEkGMQ8BE9JquLQ_17_0"/>
      <w:bookmarkStart w:id="259" w:name="Tc_Ds5geaXQDEqBsq82UIANNQ_16_0"/>
      <w:bookmarkStart w:id="260" w:name="Tc_pfGYXn3d5EmPqoPNMSXPgw_15_0"/>
      <w:bookmarkStart w:id="261" w:name="Tc_uzWgieDN_EOkCPv6it2aAQ_14_6"/>
      <w:bookmarkStart w:id="262" w:name="Tc_MdLb15PAsEC49HMigsa1-g_14_0"/>
      <w:bookmarkStart w:id="263" w:name="Tc_tA_gkOmnZkCqK4gV55f-vg_13_0"/>
      <w:bookmarkStart w:id="264" w:name="Tc_OsxS8i1BNEe2Mrd2OoIq6g_12_0"/>
      <w:bookmarkStart w:id="265" w:name="Tc_1rC6HKLtm0mW_2CHYzTG1w_11_0"/>
      <w:bookmarkStart w:id="266" w:name="Tc_Lp45nQkBEk6Pf_27Wltwdw_10_0"/>
      <w:bookmarkStart w:id="267" w:name="Tc_SdXmKNqkd0ODuwQXGBGo8w_9_3"/>
      <w:bookmarkStart w:id="268" w:name="Tc_4plbctBGR0mBtp-dOji44g_9_0"/>
      <w:bookmarkStart w:id="269" w:name="Tc_efeFS9iVuESEyWmhvIWwxg_8_3"/>
      <w:bookmarkStart w:id="270" w:name="Tc_jgK8lLs160SAaZfjy2Nj_A_8_0"/>
      <w:bookmarkStart w:id="271" w:name="Tc_YuQ2GJV0-kSGSPmBlZxZVQ_7_0"/>
      <w:bookmarkStart w:id="272" w:name="Tc_c3d6DGbSwU-rPxAjtYo15A_6_0"/>
      <w:bookmarkStart w:id="273" w:name="Tc_TjNpYGmwtES849Sjd5k1Ew_5_0"/>
      <w:bookmarkStart w:id="274" w:name="Tc_4KIju9_QS0eq6Gi768lzsA_4_5"/>
      <w:bookmarkStart w:id="275" w:name="Tc_o33u4hnYMUSf81v6olqf8g_4_2"/>
      <w:bookmarkStart w:id="276" w:name="Tc_AAI_m7P-1EqL-N30p3dYJQ_4_0"/>
      <w:bookmarkStart w:id="277" w:name="Tc_XfK1WcgSw0eL4qOnsA-4ug_3_0"/>
      <w:bookmarkStart w:id="278" w:name="Tc_M4ifFUY3ak6LBjXx5trGIQ_2_5"/>
      <w:bookmarkStart w:id="279" w:name="Tc_AI6R8qRNj0CO0S4Xx2vhsw_2_2"/>
      <w:bookmarkStart w:id="280" w:name="Tc_z47w2hOzyESeNicOVTowbQ_1_5"/>
      <w:bookmarkStart w:id="281" w:name="Tc_ogELnoflSU6mRGwMsnbJ9w_1_2"/>
      <w:bookmarkStart w:id="282" w:name="_9e3ec5e0_fdee_406d_b344_18d05335fb2c"/>
      <w:bookmarkStart w:id="283" w:name="Tc_-fkmTiG5Y0ilGsRIGeKzcQ_33_5"/>
      <w:bookmarkStart w:id="284" w:name="Tc_RUCn7UsNv0ejkrLYQ3S9Jw_33_2"/>
      <w:bookmarkStart w:id="285" w:name="Tc_4hK5DKJiy0ejPMWHfxO9VQ_33_0"/>
      <w:bookmarkStart w:id="286" w:name="Tc_5nKNPNcGBkGyHsN_bQZd-g_32_0"/>
      <w:bookmarkStart w:id="287" w:name="Tc_aM214fwrzEiQoNWoKKiOCg_30_5"/>
      <w:bookmarkStart w:id="288" w:name="Tc_B0LSP-7T2k6he_UChbM2ZQ_30_2"/>
      <w:bookmarkStart w:id="289" w:name="Tc_LJDyZNWRlk21cZWRyZsoLA_30_0"/>
      <w:bookmarkStart w:id="290" w:name="Tc_dIDCagb4OUSRVNWtI8AyiQ_29_0"/>
      <w:bookmarkStart w:id="291" w:name="Tc_hgpFPK-uW0ON6MdCnafacA_28_0"/>
      <w:bookmarkStart w:id="292" w:name="Tc_XQQK6_VTRUWDgTMHgueERA_26_0"/>
      <w:bookmarkStart w:id="293" w:name="Tc_nNBS8fvXh0uk3B28w_b1Bg_25_0"/>
      <w:bookmarkStart w:id="294" w:name="Tc_V1rirhTSq0icsiThgyYNrQ_24_0"/>
      <w:bookmarkStart w:id="295" w:name="Tc_7dDkf8bmjUyuij1t9OwU1g_23_0"/>
      <w:bookmarkStart w:id="296" w:name="Tc_9lADJl1pQU6qMhzRkq-mAg_22_3"/>
      <w:bookmarkStart w:id="297" w:name="Tc_W7XsqyT5MUSJ8F_amqW13Q_22_0"/>
      <w:bookmarkStart w:id="298" w:name="Tc_-k8k-SR_9EKM7byDUR1jlg_21_0"/>
      <w:bookmarkStart w:id="299" w:name="Tc_3ryEkUx-lkeCX9acv4ZuwA_20_0"/>
      <w:bookmarkStart w:id="300" w:name="Tc_WEgHeorIS0iyNr62YawFWg_19_0"/>
      <w:bookmarkStart w:id="301" w:name="Tc_s9K9rpdUT0O9Kf-3m-eiHA_18_0"/>
      <w:bookmarkStart w:id="302" w:name="Tc_BXMeBbcuEkGMQ8BE9JquLQ_17_0"/>
      <w:bookmarkStart w:id="303" w:name="Tc_Ds5geaXQDEqBsq82UIANNQ_16_0"/>
      <w:bookmarkStart w:id="304" w:name="Tc_pfGYXn3d5EmPqoPNMSXPgw_15_0"/>
      <w:bookmarkStart w:id="305" w:name="Tc_uzWgieDN_EOkCPv6it2aAQ_14_6"/>
      <w:bookmarkStart w:id="306" w:name="Tc_MdLb15PAsEC49HMigsa1-g_14_0"/>
      <w:bookmarkStart w:id="307" w:name="Tc_tA_gkOmnZkCqK4gV55f-vg_13_0"/>
      <w:bookmarkStart w:id="308" w:name="Tc_OsxS8i1BNEe2Mrd2OoIq6g_12_0"/>
      <w:bookmarkStart w:id="309" w:name="Tc_1rC6HKLtm0mW_2CHYzTG1w_11_0"/>
      <w:bookmarkStart w:id="310" w:name="Tc_Lp45nQkBEk6Pf_27Wltwdw_10_0"/>
      <w:bookmarkStart w:id="311" w:name="Tc_SdXmKNqkd0ODuwQXGBGo8w_9_3"/>
      <w:bookmarkStart w:id="312" w:name="Tc_4plbctBGR0mBtp-dOji44g_9_0"/>
      <w:bookmarkStart w:id="313" w:name="Tc_efeFS9iVuESEyWmhvIWwxg_8_3"/>
      <w:bookmarkStart w:id="314" w:name="Tc_jgK8lLs160SAaZfjy2Nj_A_8_0"/>
      <w:bookmarkStart w:id="315" w:name="Tc_YuQ2GJV0-kSGSPmBlZxZVQ_7_0"/>
      <w:bookmarkStart w:id="316" w:name="Tc_c3d6DGbSwU-rPxAjtYo15A_6_0"/>
      <w:bookmarkStart w:id="317" w:name="Tc_TjNpYGmwtES849Sjd5k1Ew_5_0"/>
      <w:bookmarkStart w:id="318" w:name="Tc_4KIju9_QS0eq6Gi768lzsA_4_5"/>
      <w:bookmarkStart w:id="319" w:name="Tc_o33u4hnYMUSf81v6olqf8g_4_2"/>
      <w:bookmarkStart w:id="320" w:name="Tc_AAI_m7P-1EqL-N30p3dYJQ_4_0"/>
      <w:bookmarkStart w:id="321" w:name="Tc_XfK1WcgSw0eL4qOnsA-4ug_3_0"/>
      <w:bookmarkStart w:id="322" w:name="Tc_M4ifFUY3ak6LBjXx5trGIQ_2_5"/>
      <w:bookmarkStart w:id="323" w:name="Tc_AI6R8qRNj0CO0S4Xx2vhsw_2_2"/>
      <w:bookmarkStart w:id="324" w:name="Tc_z47w2hOzyESeNicOVTowbQ_1_5"/>
      <w:bookmarkStart w:id="325" w:name="Tc_ogELnoflSU6mRGwMsnbJ9w_1_2"/>
      <w:bookmarkStart w:id="326" w:name="_9e3ec5e0_fdee_406d_b344_18d05335fb2c"/>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tbl>
      <w:tblPr>
        <w:tblW w:w="9820" w:type="dxa"/>
        <w:jc w:val="left"/>
        <w:tblInd w:w="0" w:type="dxa"/>
        <w:tblLayout w:type="fixed"/>
        <w:tblCellMar>
          <w:top w:w="0" w:type="dxa"/>
          <w:left w:w="0" w:type="dxa"/>
          <w:bottom w:w="0" w:type="dxa"/>
          <w:right w:w="0" w:type="dxa"/>
        </w:tblCellMar>
      </w:tblPr>
      <w:tblGrid>
        <w:gridCol w:w="6031"/>
        <w:gridCol w:w="326"/>
        <w:gridCol w:w="310"/>
        <w:gridCol w:w="1236"/>
        <w:gridCol w:w="326"/>
        <w:gridCol w:w="306"/>
        <w:gridCol w:w="1285"/>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29685" cy="175260"/>
                      <wp:effectExtent l="0" t="0" r="0" b="0"/>
                      <wp:wrapNone/>
                      <wp:docPr id="21" name="Frame21"/>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96850" cy="175260"/>
                      <wp:effectExtent l="0" t="0" r="0" b="0"/>
                      <wp:wrapNone/>
                      <wp:docPr id="23" name="Frame2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84860" cy="175260"/>
                      <wp:effectExtent l="0" t="0" r="0" b="0"/>
                      <wp:wrapNone/>
                      <wp:docPr id="24" name="Frame24"/>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94310" cy="175260"/>
                      <wp:effectExtent l="0" t="0" r="0" b="0"/>
                      <wp:wrapNone/>
                      <wp:docPr id="26" name="Frame26"/>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815975" cy="175260"/>
                      <wp:effectExtent l="0" t="0" r="0" b="0"/>
                      <wp:wrapNone/>
                      <wp:docPr id="27" name="Frame27"/>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w:t>
              <w:br/>
              <w:t>Ended</w:t>
            </w:r>
          </w:p>
        </w:tc>
        <w:tc>
          <w:tcPr>
            <w:tcW w:w="32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w:t>
              <w:br/>
              <w:t>Ended</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2022</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(98,123)</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(85,838)</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premium of marketable securities,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or disposal of assets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16,678</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11,103</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5,507</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(74,758)</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(81,970)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249,703</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192,866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(183,172)</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(132,613)</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or disposal of assets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65,379</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58,729</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stock from employee benefit plans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w:t>
            </w:r>
          </w:p>
        </w:tc>
      </w:tr>
      <w:tr>
        <w:trPr/>
        <w:tc>
          <w:tcPr>
            <w:tcW w:w="60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(8,295)</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29,429</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21,134</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18,583</w:t>
            </w:r>
          </w:p>
        </w:tc>
      </w:tr>
      <w:tr>
        <w:trPr/>
        <w:tc>
          <w:tcPr>
            <w:tcW w:w="60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activities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7" w:name="_b9f747d5_ce27_4d9d_936f_d376c64b0f21"/>
      <w:bookmarkEnd w:id="327"/>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328" w:name="NotestoUnaudited"/>
      <w:bookmarkStart w:id="329" w:name="NotestoUnauditedCondensedConsolidatedFin"/>
      <w:bookmarkEnd w:id="328"/>
      <w:bookmarkEnd w:id="329"/>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interim financial statements do not include all the information and footnotes required by U.S. GAAP for annual financial statements and should be read in conjunction with the audited financial statements for the year ended December 31, 2022, which are included in the Company’s Annual Report on Form 10-K filed with the Securities and Exchange Commission (the “SEC”) on February 28, 2023.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results of operations for the interim periods are not necessarily indicative of the results of operations to be expected for any future interim period or the fiscal year ending December 31, 2023.</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September 30, 2023, the Company had cash, cash equivalents and marketable securities of $235.3 million. The Company has had recurring losses and incurred a loss of $98.1 million for the nine months ended September 30, 2023. Net cash used in operations for the nine months ended September 30, 2023 was $74.8 million. The Company believes that the cash, cash equivalents and marketable securities at the filing date of this Quarterly Report on Form 10-Q will be sufficient to meet estimated working capital requirements and fund planned operations for at least the next twelve months from the date of issuance of these financial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amounts due under the Settlement Agreement (defined below) with Shareholder Representative Services LLC (“SRS”) (refer to Note 13), in the event that the Company achieves the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on this Quarterly Report on Form 10-Q for the three and nine months ended September 30, 2023 are consistent with those discussed in Note 2 to the financial statements in our Annual Report on Form 10-K for the year ended December 31, 2022, except as it relates to the adoption of new accounting standards during the first nine months of 2023 as discussed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Newly Adopted Accounting Pronouncements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 2023, the Company adopted ASU 2016-13: Financial Instruments - Credit Losses (Topic 326): Measurement of Credit Losses on Financial Instruments. The guidance requires that credit losses be reported using an expected losses model rather than the incurred losses model and establishes additional disclosure requirements related to credit risks. For available-for-sale debt securities with unrealized losses, the standard requires allowances to be recorded instead of reducing the amortized cost of the investment. The adoption of this guidance did not have a material impact on the Company’s consolidated financial statements and related disclosures.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are adopted by the Company as of the specified effective date. The Company has reviewed recently issued accounting pronouncements and concluded they are either not applicable to the business or not expected to have a material impact on the Company’s consolidated financial statements as a result of future adoption.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30" w:name="Tc_L5nyYdZO8Uy-miBZpxPyGA_7_12"/>
      <w:bookmarkStart w:id="331" w:name="Tc_hft9Gvt0R0Kc1daOPXPqvA_7_8"/>
      <w:bookmarkStart w:id="332" w:name="Tc_iblXYcsjzUGlzqOMK6og1g_7_6"/>
      <w:bookmarkStart w:id="333" w:name="Tc_RNXm0WFptUi6cURgv4HD5g_7_2"/>
      <w:bookmarkStart w:id="334" w:name="Tc_agzCDy7cOUu8PLq4MP5aSg_6_12"/>
      <w:bookmarkStart w:id="335" w:name="Tc_mk3uX3VjxUKl-G90MXcFzg_6_6"/>
      <w:bookmarkStart w:id="336" w:name="Tc_7eMiTGShDUezMRM4sG5BiQ_6_0"/>
      <w:bookmarkStart w:id="337" w:name="Tc_zE25Zmz2RU2pDotrGVrPaA_5_12"/>
      <w:bookmarkStart w:id="338" w:name="Tc_RkJE817GyUiN9DUlWdqOeQ_5_8"/>
      <w:bookmarkStart w:id="339" w:name="Tc_28NSUQfNHkiinO07x0D5UQ_5_6"/>
      <w:bookmarkStart w:id="340" w:name="Tc_3JSOzVR3M0-uh_ADZh9OIA_5_2"/>
      <w:bookmarkStart w:id="341" w:name="Tc_0RKwqGSvWUeCBcdKcuLswA_5_0"/>
      <w:bookmarkStart w:id="342" w:name="Tc_Drp1BHDDgUWraj0vPInlKA_4_0"/>
      <w:bookmarkStart w:id="343" w:name="Tc_MOWcylQkoE-yPjteKfC94A_3_2"/>
      <w:bookmarkStart w:id="344" w:name="Tc_YQeK5kq8l0aDt7Q36WNnTw_2_11"/>
      <w:bookmarkStart w:id="345" w:name="Tc_2Xe39DeHxkyWEehXExqbnw_2_8"/>
      <w:bookmarkStart w:id="346" w:name="Tc_WRTS-eing0ywH7AKSLoG5A_2_5"/>
      <w:bookmarkStart w:id="347" w:name="Tc_3zpRdgeWfEiPs2cCOt9FAA_2_2"/>
      <w:bookmarkStart w:id="348" w:name="Tc_n31HC_JE80Ci29cyggYzEg_1_2"/>
      <w:bookmarkStart w:id="349" w:name="_0e5afe75_0642_4fdb_a720_2952027a1163"/>
      <w:bookmarkStart w:id="350" w:name="Tc_1OJQf_VubE2gtma5yoNIyQ_7_12"/>
      <w:bookmarkStart w:id="351" w:name="Tc_zABeo_Vy6Uuvj7Rl6DyRMA_7_8"/>
      <w:bookmarkStart w:id="352" w:name="Tc_YPvrMOnOOEGeyXeTaqPgoQ_7_6"/>
      <w:bookmarkStart w:id="353" w:name="Tc_jBqLivEq-keM5-w2zFB6sA_7_2"/>
      <w:bookmarkStart w:id="354" w:name="Tc_iA5nxGbbIECWk0H7NC4HrA_6_12"/>
      <w:bookmarkStart w:id="355" w:name="Tc_7DoZR0oozkqmTNzqBk9ujA_6_6"/>
      <w:bookmarkStart w:id="356" w:name="Tc_qa2iD6p5j0SOBXk1I4XpCg_6_0"/>
      <w:bookmarkStart w:id="357" w:name="Tc_qrKt1LNDyka_azT6ArkUnA_5_12"/>
      <w:bookmarkStart w:id="358" w:name="Tc_xc0rL7stnk-32exNeP-Img_5_8"/>
      <w:bookmarkStart w:id="359" w:name="Tc_We9KVpEL3Ea6m4PhIKdLPQ_5_6"/>
      <w:bookmarkStart w:id="360" w:name="Tc_aue3Xthqt02AH7eR7jEIMg_5_2"/>
      <w:bookmarkStart w:id="361" w:name="Tc_pm0LZSrTeE6N8_1mAZxLbA_5_0"/>
      <w:bookmarkStart w:id="362" w:name="Tc_8oIELI_2I0Glb5YxLCv0yg_4_0"/>
      <w:bookmarkStart w:id="363" w:name="Tc_6225vFiZ40OYOBQ9erBRUQ_3_2"/>
      <w:bookmarkStart w:id="364" w:name="Tc_A-dW2nA_dk-YxAdbYLIwzw_2_11"/>
      <w:bookmarkStart w:id="365" w:name="Tc_exFwBnBy90GAzMHFGxUC-w_2_8"/>
      <w:bookmarkStart w:id="366" w:name="Tc_rB71wONwBEOb-zrIuIxMBw_2_5"/>
      <w:bookmarkStart w:id="367" w:name="Tc_x0b8Ub4G8kqumBVFy41l-Q_2_2"/>
      <w:bookmarkStart w:id="368" w:name="Tc_vtRFYTEXMUOeLjoW7dlc2g_1_2"/>
      <w:bookmarkStart w:id="369" w:name="_92faa322_03c3_45a8_81bb_24d6129864cc"/>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Pr>
          <w:rFonts w:ascii="Times New Roman;Times;serif" w:hAnsi="Times New Roman;Times;serif"/>
          <w:b/>
          <w:sz w:val="20"/>
        </w:rPr>
        <w:t>(3)  Fair Value Measurements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Company’s financial assets and liabilities subject to fair value measurements:</w:t>
      </w:r>
    </w:p>
    <w:p>
      <w:pPr>
        <w:pStyle w:val="TextBody"/>
        <w:bidi w:val="0"/>
        <w:spacing w:before="0" w:after="0"/>
        <w:ind w:left="0" w:right="0" w:hanging="0"/>
        <w:jc w:val="left"/>
        <w:rPr/>
      </w:pPr>
      <w:r>
        <w:rPr/>
        <w:t>​</w:t>
      </w:r>
    </w:p>
    <w:tbl>
      <w:tblPr>
        <w:tblW w:w="8735" w:type="dxa"/>
        <w:jc w:val="left"/>
        <w:tblInd w:w="0" w:type="dxa"/>
        <w:tblLayout w:type="fixed"/>
        <w:tblCellMar>
          <w:top w:w="0" w:type="dxa"/>
          <w:left w:w="0" w:type="dxa"/>
          <w:bottom w:w="0" w:type="dxa"/>
          <w:right w:w="0" w:type="dxa"/>
        </w:tblCellMar>
      </w:tblPr>
      <w:tblGrid>
        <w:gridCol w:w="3586"/>
        <w:gridCol w:w="326"/>
        <w:gridCol w:w="328"/>
        <w:gridCol w:w="1218"/>
        <w:gridCol w:w="326"/>
        <w:gridCol w:w="151"/>
        <w:gridCol w:w="480"/>
        <w:gridCol w:w="326"/>
        <w:gridCol w:w="211"/>
        <w:gridCol w:w="781"/>
        <w:gridCol w:w="326"/>
        <w:gridCol w:w="131"/>
        <w:gridCol w:w="545"/>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77110" cy="175260"/>
                      <wp:effectExtent l="0" t="0" r="0" b="0"/>
                      <wp:wrapNone/>
                      <wp:docPr id="28" name="Frame28"/>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8280" cy="175260"/>
                      <wp:effectExtent l="0" t="0" r="0" b="0"/>
                      <wp:wrapNone/>
                      <wp:docPr id="30" name="Frame3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73430" cy="175260"/>
                      <wp:effectExtent l="0" t="0" r="0" b="0"/>
                      <wp:wrapNone/>
                      <wp:docPr id="31" name="Frame31"/>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5885" cy="175260"/>
                      <wp:effectExtent l="0" t="0" r="0" b="0"/>
                      <wp:wrapNone/>
                      <wp:docPr id="33" name="Frame33"/>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04800" cy="175260"/>
                      <wp:effectExtent l="0" t="0" r="0" b="0"/>
                      <wp:wrapNone/>
                      <wp:docPr id="34" name="Frame34"/>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95935" cy="175260"/>
                      <wp:effectExtent l="0" t="0" r="0" b="0"/>
                      <wp:wrapNone/>
                      <wp:docPr id="37" name="Frame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83185" cy="175260"/>
                      <wp:effectExtent l="0" t="0" r="0" b="0"/>
                      <wp:wrapNone/>
                      <wp:docPr id="39" name="Frame39"/>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46075" cy="175260"/>
                      <wp:effectExtent l="0" t="0" r="0" b="0"/>
                      <wp:wrapNone/>
                      <wp:docPr id="40" name="Frame40"/>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73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2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and cash equivalents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10,979</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10,979</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214,214</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214,214</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225,193</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225,193</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8645" w:type="dxa"/>
        <w:jc w:val="left"/>
        <w:tblInd w:w="0" w:type="dxa"/>
        <w:tblLayout w:type="fixed"/>
        <w:tblCellMar>
          <w:top w:w="0" w:type="dxa"/>
          <w:left w:w="0" w:type="dxa"/>
          <w:bottom w:w="0" w:type="dxa"/>
          <w:right w:w="0" w:type="dxa"/>
        </w:tblCellMar>
      </w:tblPr>
      <w:tblGrid>
        <w:gridCol w:w="3541"/>
        <w:gridCol w:w="326"/>
        <w:gridCol w:w="319"/>
        <w:gridCol w:w="1182"/>
        <w:gridCol w:w="326"/>
        <w:gridCol w:w="151"/>
        <w:gridCol w:w="480"/>
        <w:gridCol w:w="326"/>
        <w:gridCol w:w="211"/>
        <w:gridCol w:w="781"/>
        <w:gridCol w:w="326"/>
        <w:gridCol w:w="131"/>
        <w:gridCol w:w="545"/>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248535" cy="175260"/>
                      <wp:effectExtent l="0" t="0" r="0" b="0"/>
                      <wp:wrapNone/>
                      <wp:docPr id="41" name="Frame41"/>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2565" cy="175260"/>
                      <wp:effectExtent l="0" t="0" r="0" b="0"/>
                      <wp:wrapNone/>
                      <wp:docPr id="43" name="Frame4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50570" cy="175260"/>
                      <wp:effectExtent l="0" t="0" r="0" b="0"/>
                      <wp:wrapNone/>
                      <wp:docPr id="44" name="Frame44"/>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5885" cy="175260"/>
                      <wp:effectExtent l="0" t="0" r="0" b="0"/>
                      <wp:wrapNone/>
                      <wp:docPr id="46" name="Frame46"/>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04800" cy="175260"/>
                      <wp:effectExtent l="0" t="0" r="0" b="0"/>
                      <wp:wrapNone/>
                      <wp:docPr id="47" name="Frame47"/>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50"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83185" cy="175260"/>
                      <wp:effectExtent l="0" t="0" r="0" b="0"/>
                      <wp:wrapNone/>
                      <wp:docPr id="52" name="Frame52"/>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46075" cy="175260"/>
                      <wp:effectExtent l="0" t="0" r="0" b="0"/>
                      <wp:wrapNone/>
                      <wp:docPr id="53" name="Frame53"/>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64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7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118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center"/>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center"/>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and cash equivalents</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16,813</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16,813</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275,523</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275,523</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292,336</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292,336</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Contingent consideration liabilities measured at fair value using Level 3 inputs were $0.0 million as of September 30, 2023 and December 31, 2022.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and nine months ended September 30, 2023, there was no gain or loss on fair value remeasurement of contingent consideration. During the three and nine months ended September 30, 2022, the Company recorded a $0.0 million and $6.9 million gain on fair value remeasurement of contingent consideration, respectively, primarily due to the Company’s decision to deprioritize the CDX-1140 program.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have any transfers in or out of Level 3 </w:t>
      </w:r>
      <w:r>
        <w:rPr>
          <w:rFonts w:ascii="Times New Roman;Times;serif" w:hAnsi="Times New Roman;Times;serif"/>
          <w:b w:val="false"/>
          <w:i w:val="false"/>
          <w:caps w:val="false"/>
          <w:smallCaps w:val="false"/>
          <w:sz w:val="20"/>
        </w:rPr>
        <w:t>assets</w:t>
      </w:r>
      <w:r>
        <w:rPr>
          <w:rFonts w:ascii="Times New Roman;Times;serif" w:hAnsi="Times New Roman;Times;serif"/>
          <w:sz w:val="20"/>
        </w:rPr>
        <w:t xml:space="preserve"> or </w:t>
      </w:r>
      <w:r>
        <w:rPr>
          <w:rFonts w:ascii="Times New Roman;Times;serif" w:hAnsi="Times New Roman;Times;serif"/>
          <w:b w:val="false"/>
          <w:i w:val="false"/>
          <w:caps w:val="false"/>
          <w:smallCaps w:val="false"/>
          <w:sz w:val="20"/>
        </w:rPr>
        <w:t>liabilities</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during</w:t>
      </w:r>
      <w:r>
        <w:rPr>
          <w:rFonts w:ascii="Times New Roman;Times;serif" w:hAnsi="Times New Roman;Times;serif"/>
          <w:sz w:val="20"/>
        </w:rPr>
        <w:t xml:space="preserve"> the nine months ended September 30, 2023. </w:t>
      </w:r>
    </w:p>
    <w:p>
      <w:pPr>
        <w:pStyle w:val="TextBody"/>
        <w:bidi w:val="0"/>
        <w:spacing w:before="0" w:after="0"/>
        <w:ind w:left="0" w:right="0" w:hanging="0"/>
        <w:jc w:val="left"/>
        <w:rPr>
          <w:rFonts w:ascii="Times New Roman;Times;serif" w:hAnsi="Times New Roman;Times;serif"/>
          <w:b/>
          <w:sz w:val="20"/>
        </w:rPr>
      </w:pPr>
      <w:bookmarkStart w:id="370" w:name="Tc_o84ZGidUp0altP-1GFQOmA_30_11"/>
      <w:bookmarkStart w:id="371" w:name="Tc_AV5ShRY5FESVWadnOUsJqQ_30_8"/>
      <w:bookmarkStart w:id="372" w:name="Tc_BOtDzjIRME-p6vRRI-akxQ_30_5"/>
      <w:bookmarkStart w:id="373" w:name="Tc_5ExuUPi3CUuaZfUcFGraiA_30_2"/>
      <w:bookmarkStart w:id="374" w:name="Tc_NVjlsiTAM0-enr94ZuhPJg_30_0"/>
      <w:bookmarkStart w:id="375" w:name="Tc_71ONHBuMP0iDz42AqwJoEA_29_11"/>
      <w:bookmarkStart w:id="376" w:name="Tc_ror-BiEri0uO_guhsbaJVQ_29_8"/>
      <w:bookmarkStart w:id="377" w:name="Tc_F2dtLJgw2Uy-OpgZNN6jNQ_29_5"/>
      <w:bookmarkStart w:id="378" w:name="Tc_2pccKeCm5ESdJusd7_HSAg_29_2"/>
      <w:bookmarkStart w:id="379" w:name="Tc_Ei4Hmt5YkEOIAXZA_g9RrA_29_0"/>
      <w:bookmarkStart w:id="380" w:name="Tc_GJB8QPRa5kmT44O7Gx7RDQ_28_12"/>
      <w:bookmarkStart w:id="381" w:name="Tc_ArpMQXKWYEKxCh8qkb-uew_28_9"/>
      <w:bookmarkStart w:id="382" w:name="Tc_H-M68XJX9k6RlgVU_OjPGA_28_3"/>
      <w:bookmarkStart w:id="383" w:name="Tc_L9bzW6_rC0mg5JBOiVYWeg_28_0"/>
      <w:bookmarkStart w:id="384" w:name="Tc_8nvZeEzZdkiJXBSonrot2Q_27_11"/>
      <w:bookmarkStart w:id="385" w:name="Tc_cSmNVYo1sUu_UjU-G-Apkw_27_8"/>
      <w:bookmarkStart w:id="386" w:name="Tc_vDGe6W5x_EeynuMHzfwFLQ_27_5"/>
      <w:bookmarkStart w:id="387" w:name="Tc_Z3WGvMMLIEW8jVo1-MARyA_27_2"/>
      <w:bookmarkStart w:id="388" w:name="Tc_ZX_RYlmJ1EGBObu_FDitkw_27_0"/>
      <w:bookmarkStart w:id="389" w:name="Tc_3lGNWu4eZkOsP-u0JmUJTw_26_0"/>
      <w:bookmarkStart w:id="390" w:name="Tc_LNkxE8PtZk-KmgubBkzZmQ_25_11"/>
      <w:bookmarkStart w:id="391" w:name="Tc_SwvEbtLkHkOZRD2DhWsqKQ_25_8"/>
      <w:bookmarkStart w:id="392" w:name="Tc_UwgPr3GOWkWGJhQo9NHF4w_25_5"/>
      <w:bookmarkStart w:id="393" w:name="Tc_BSBPZ0fhbUi6lwzQM0MRuQ_25_2"/>
      <w:bookmarkStart w:id="394" w:name="Tc_MhS91JkJ_UqAmEV8RSxTLw_25_0"/>
      <w:bookmarkStart w:id="395" w:name="Tc_jGOWUDikbUW2tef32RvSdw_24_12"/>
      <w:bookmarkStart w:id="396" w:name="Tc_FOTkUDUNykCMhfHi4ms5cw_24_9"/>
      <w:bookmarkStart w:id="397" w:name="Tc_YI1sj9dUtU-S6dDAYlhL6A_24_3"/>
      <w:bookmarkStart w:id="398" w:name="Tc_8VuBgBWzy0K3Iua24OPVJA_24_0"/>
      <w:bookmarkStart w:id="399" w:name="Tc_99kPwm6cIk-WB5OBhJYFvg_23_11"/>
      <w:bookmarkStart w:id="400" w:name="Tc_lmXearhpy0Km9MYHCAWSzg_23_8"/>
      <w:bookmarkStart w:id="401" w:name="Tc_dl3I-_x2gkeCmiNVghON4g_23_5"/>
      <w:bookmarkStart w:id="402" w:name="Tc_-aKNwcXDaEKOkEsFuGKxxw_23_2"/>
      <w:bookmarkStart w:id="403" w:name="Tc_AKFPYGYmJUuPHUa3Mr0crg_23_0"/>
      <w:bookmarkStart w:id="404" w:name="Tc_7Rs5t6ScRU6bKr9efYaZHQ_22_0"/>
      <w:bookmarkStart w:id="405" w:name="Tc_4IdgqujBOkSEakKokqWu3g_21_0"/>
      <w:bookmarkStart w:id="406" w:name="Tc_6SVjCOGlVEWsfX9N4-FG1w_20_0"/>
      <w:bookmarkStart w:id="407" w:name="Tc_Xk_I97Zm9kuEO2zwFpcT_w_19_2"/>
      <w:bookmarkStart w:id="408" w:name="Tc_OaPYNcsmh0abm7wyxLuvmw_18_11"/>
      <w:bookmarkStart w:id="409" w:name="Tc_j44QM6H3gkG1LIoFFGi2jA_18_8"/>
      <w:bookmarkStart w:id="410" w:name="Tc_rLtqHoI-6keVw_88EtL5zg_18_5"/>
      <w:bookmarkStart w:id="411" w:name="Tc_MhfRktTROUmEvxNfh82eZw_18_2"/>
      <w:bookmarkStart w:id="412" w:name="Tc_k_vyWVZw3kmbJ4sBn61oTQ_17_11"/>
      <w:bookmarkStart w:id="413" w:name="Tc_8n7-PUPU4EKDMX99vnv7Qg_17_8"/>
      <w:bookmarkStart w:id="414" w:name="Tc_QX4iHZgQiUunCNhduUNfQA_17_5"/>
      <w:bookmarkStart w:id="415" w:name="Tc_moR5EdmqL0KGrsBbYSs7wA_17_2"/>
      <w:bookmarkStart w:id="416" w:name="Tc_ozabBc-UFEGzRn1WoSeh-Q_14_11"/>
      <w:bookmarkStart w:id="417" w:name="Tc_fIqLGQgwKE-dU4NKgkZrQQ_14_8"/>
      <w:bookmarkStart w:id="418" w:name="Tc_t2rg3fWoJ0KC1jAFqK-3nQ_14_5"/>
      <w:bookmarkStart w:id="419" w:name="Tc_qIYaw8LFrk2TG_pj_DKlgg_14_2"/>
      <w:bookmarkStart w:id="420" w:name="Tc_3d4LbLr5_EiklODTGG-9Pw_14_0"/>
      <w:bookmarkStart w:id="421" w:name="Tc_Yb6GXWZSU0C5jf3o3QgQlA_13_11"/>
      <w:bookmarkStart w:id="422" w:name="Tc_Z3zxga3ypUmOozNNxEp0NQ_13_8"/>
      <w:bookmarkStart w:id="423" w:name="Tc_3fw2UIZWMUGB3dQuGBqTgA_13_5"/>
      <w:bookmarkStart w:id="424" w:name="Tc_ux0KsQg020iPG2AX10VV7g_13_2"/>
      <w:bookmarkStart w:id="425" w:name="Tc_rn6PP4E4r0mp6VJsHkkABw_13_0"/>
      <w:bookmarkStart w:id="426" w:name="Tc_a5lrMKfJg0CTTjhl6NBLdg_12_6"/>
      <w:bookmarkStart w:id="427" w:name="Tc_UPA4_QgPYkGHDCNe9evMAA_12_0"/>
      <w:bookmarkStart w:id="428" w:name="Tc_Csx7n7FItU2uytDaLo7huQ_11_11"/>
      <w:bookmarkStart w:id="429" w:name="Tc_AyLCzJsDbkSLngtT0vZAdA_11_8"/>
      <w:bookmarkStart w:id="430" w:name="Tc_DaOKpzV7WkOAh5M8b8TAHA_11_5"/>
      <w:bookmarkStart w:id="431" w:name="Tc_n2wyQwxpj0-xxKtNdxC7Xw_11_2"/>
      <w:bookmarkStart w:id="432" w:name="Tc_yl6Oe5uRk0ihlYAsB0pLkA_11_0"/>
      <w:bookmarkStart w:id="433" w:name="Tc_iLDAJiDBOEy-Yoo7DrPyAA_10_0"/>
      <w:bookmarkStart w:id="434" w:name="Tc_pGYjnYSE4EOPkA5uUv5eng_9_11"/>
      <w:bookmarkStart w:id="435" w:name="Tc_K0jGgTsy5Emt789itBd2bw_9_8"/>
      <w:bookmarkStart w:id="436" w:name="Tc_ZB5fdMZDq0OOtiMJpASd4A_9_6"/>
      <w:bookmarkStart w:id="437" w:name="Tc_F2wtWkOmikKwYabLLFH27A_9_5"/>
      <w:bookmarkStart w:id="438" w:name="Tc_5zvLxcLQq06wWOgsPe7ZVw_9_2"/>
      <w:bookmarkStart w:id="439" w:name="Tc_K9HTmYoQ-kWULYmmnL7Qbw_9_0"/>
      <w:bookmarkStart w:id="440" w:name="Tc_kJtYiQ1qAkaD4y9jKPqA2w_8_6"/>
      <w:bookmarkStart w:id="441" w:name="Tc_4KLlTlbHhE-Ok9Er4WTIEg_8_0"/>
      <w:bookmarkStart w:id="442" w:name="Tc_rc12ZgpiOUWYDZXjqwfmhw_7_11"/>
      <w:bookmarkStart w:id="443" w:name="Tc_BbIWOrek_UWr0u3UJ1JXoA_7_8"/>
      <w:bookmarkStart w:id="444" w:name="Tc_rwCbyPAnIUa7ucLUntNx4Q_7_6"/>
      <w:bookmarkStart w:id="445" w:name="Tc_yVkjh6KTUkGbYnddFp0huA_7_5"/>
      <w:bookmarkStart w:id="446" w:name="Tc_b-vcgqUbxUSGMrnbEVDM6Q_7_2"/>
      <w:bookmarkStart w:id="447" w:name="Tc_n4NSPeXHIEOdZhlIrTtiJw_7_0"/>
      <w:bookmarkStart w:id="448" w:name="Tc_4w9MM0D5-ESh1_Z-YShUdA_6_0"/>
      <w:bookmarkStart w:id="449" w:name="Tc__wE_COENZUa6-DKvGWV9BQ_5_0"/>
      <w:bookmarkStart w:id="450" w:name="Tc_up14XI6HdkKxJ2Y9ylNJEg_4_0"/>
      <w:bookmarkStart w:id="451" w:name="Tc_5ltTLSZtbEGofTfIONdq-w_3_2"/>
      <w:bookmarkStart w:id="452" w:name="Tc_Vg0uSkaB4Eeyj15cfk6miA_2_11"/>
      <w:bookmarkStart w:id="453" w:name="Tc_o-cxz0rnEk2fhqChlj4T9Q_2_8"/>
      <w:bookmarkStart w:id="454" w:name="Tc_tHmEKBo0vkGmHf7XUqsEnw_2_5"/>
      <w:bookmarkStart w:id="455" w:name="Tc_m7MA7i04SEm-AgPlSZYSZA_2_2"/>
      <w:bookmarkStart w:id="456" w:name="Tc__l451eZQzEu1rf2MljauPg_1_11"/>
      <w:bookmarkStart w:id="457" w:name="Tc_UwVkjpV2UUyOGtWDzUgXqA_1_8"/>
      <w:bookmarkStart w:id="458" w:name="Tc_HGeKF9k2CkCXmYzdU7rTIA_1_5"/>
      <w:bookmarkStart w:id="459" w:name="Tc_TorIVbXJbE-H9NR7Mzn6EA_1_2"/>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rFonts w:ascii="Times New Roman;Times;serif" w:hAnsi="Times New Roman;Times;serif"/>
          <w:b/>
          <w:sz w:val="20"/>
        </w:rPr>
        <w:t>(4)  Marketable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marketable debt securities, classified as available-for-sale: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20"/>
        <w:gridCol w:w="326"/>
        <w:gridCol w:w="211"/>
        <w:gridCol w:w="781"/>
        <w:gridCol w:w="326"/>
        <w:gridCol w:w="508"/>
        <w:gridCol w:w="837"/>
        <w:gridCol w:w="326"/>
        <w:gridCol w:w="315"/>
        <w:gridCol w:w="1030"/>
        <w:gridCol w:w="326"/>
        <w:gridCol w:w="211"/>
        <w:gridCol w:w="888"/>
      </w:tblGrid>
      <w:tr>
        <w:trPr/>
        <w:tc>
          <w:tcPr>
            <w:tcW w:w="4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616200" cy="175260"/>
                      <wp:effectExtent l="0" t="0" r="0" b="0"/>
                      <wp:wrapNone/>
                      <wp:docPr id="54" name="Frame54"/>
                      <a:graphic xmlns:a="http://schemas.openxmlformats.org/drawingml/2006/main">
                        <a:graphicData uri="http://schemas.microsoft.com/office/word/2010/wordprocessingShape">
                          <wps:wsp>
                            <wps:cNvSpPr txBox="1"/>
                            <wps:spPr>
                              <a:xfrm>
                                <a:off x="0" y="0"/>
                                <a:ext cx="261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57"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22580" cy="175260"/>
                      <wp:effectExtent l="0" t="0" r="0" b="0"/>
                      <wp:wrapNone/>
                      <wp:docPr id="59" name="Frame59"/>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1495" cy="175260"/>
                      <wp:effectExtent l="0" t="0" r="0" b="0"/>
                      <wp:wrapNone/>
                      <wp:docPr id="60" name="Frame60"/>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0025" cy="175260"/>
                      <wp:effectExtent l="0" t="0" r="0" b="0"/>
                      <wp:wrapNone/>
                      <wp:docPr id="62" name="Frame6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54050" cy="175260"/>
                      <wp:effectExtent l="0" t="0" r="0" b="0"/>
                      <wp:wrapNone/>
                      <wp:docPr id="63" name="Frame63"/>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63880" cy="175260"/>
                      <wp:effectExtent l="0" t="0" r="0" b="0"/>
                      <wp:wrapNone/>
                      <wp:docPr id="66" name="Frame66"/>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89,878</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89,692</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7,880</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7,836</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97,758</w:t>
            </w:r>
          </w:p>
        </w:tc>
        <w:tc>
          <w:tcPr>
            <w:tcW w:w="326" w:type="dxa"/>
            <w:tcBorders/>
            <w:vAlign w:val="center"/>
          </w:tcPr>
          <w:p>
            <w:pPr>
              <w:pStyle w:val="TableContents"/>
              <w:bidi w:val="0"/>
              <w:spacing w:before="0" w:after="0"/>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97,528</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86,866</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86,772</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30,052</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29,914</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116,918</w:t>
            </w:r>
          </w:p>
        </w:tc>
        <w:tc>
          <w:tcPr>
            <w:tcW w:w="326" w:type="dxa"/>
            <w:tcBorders/>
            <w:vAlign w:val="center"/>
          </w:tcPr>
          <w:p>
            <w:pPr>
              <w:pStyle w:val="TableContents"/>
              <w:bidi w:val="0"/>
              <w:spacing w:before="0" w:after="0"/>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116,686</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214,676</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214,214</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97,246</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96,882</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97,246</w:t>
            </w:r>
          </w:p>
        </w:tc>
        <w:tc>
          <w:tcPr>
            <w:tcW w:w="326" w:type="dxa"/>
            <w:tcBorders/>
            <w:vAlign w:val="center"/>
          </w:tcPr>
          <w:p>
            <w:pPr>
              <w:pStyle w:val="TableContents"/>
              <w:bidi w:val="0"/>
              <w:spacing w:before="0" w:after="0"/>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96,882</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debt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179,613</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178,641</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179,613</w:t>
            </w:r>
          </w:p>
        </w:tc>
        <w:tc>
          <w:tcPr>
            <w:tcW w:w="326" w:type="dxa"/>
            <w:tcBorders/>
            <w:vAlign w:val="center"/>
          </w:tcPr>
          <w:p>
            <w:pPr>
              <w:pStyle w:val="TableContents"/>
              <w:bidi w:val="0"/>
              <w:spacing w:before="0" w:after="0"/>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178,641</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276,859</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275,523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holds investment-grade marketable securities, and none were in a continuous unrealized loss position for more than twelve months as of September 30, 2023 and December 31, 2022. The unrealized losses are attributable to changes in interest rates and the Company does not believe any unrealized losses represent other-than-temporary impairments. The Company has the intent and ability to hold such marketable securities until recovery and has determined that there has been no material change to their credit risk. As a result, the Company determined it did not hold any investments with a credit loss at September 30, 2023.</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Marketable securities include $1.2 million and $0.8 million in accrued interest at September 30, 2023 and December 31, 2022,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60" w:name="_Hlk114785249"/>
      <w:bookmarkEnd w:id="460"/>
      <w:r>
        <w:rPr>
          <w:rFonts w:ascii="Times New Roman;Times;serif" w:hAnsi="Times New Roman;Times;serif"/>
          <w:b/>
          <w:sz w:val="20"/>
        </w:rPr>
        <w:t>(5)  Intangible Assets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September 30, 2023 and December 31, 2022, the carrying value of the Company’s indefinite-lived intangible assets was $27.2 million. Indefinite-lived intangible assets consist of acquired in-process research and development ("IPR&amp;D") related to the development of the anti-KIT program, including barzolvolimab (also referred to as CDX-0159), which was recorded in connection with the Kolltan acquisition. Barzolvolimab is in Phase 2 development. As of September 30, 2023, the IPR&amp;D asset related to the anti-KIT program had not reached technological feasibility nor did the asset have alternative future uses.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performs an impairment test on IPR&amp;D assets at least annually, or more frequently if events or changes in circumstances indicate that IPR&amp;D assets may be impaired. Due to the nature of IPR&amp;D projects, the Company may experience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delays or failures to obtain regulatory approvals to conduct clinical trials, failures of such clinical trials or other failures to achieve a commercially viable product, and as a result, may recognize further impairment losses in the future.</w:t>
      </w:r>
    </w:p>
    <w:p>
      <w:pPr>
        <w:pStyle w:val="TextBody"/>
        <w:bidi w:val="0"/>
        <w:spacing w:before="0" w:after="0"/>
        <w:ind w:left="0" w:right="0" w:hanging="0"/>
        <w:jc w:val="left"/>
        <w:rPr>
          <w:rFonts w:ascii="Times New Roman;Times;serif" w:hAnsi="Times New Roman;Times;serif"/>
          <w:b/>
          <w:sz w:val="20"/>
        </w:rPr>
      </w:pPr>
      <w:bookmarkStart w:id="461" w:name="Tc_N3FXaaPm2kWpxrnt0Te_Mw_9_5"/>
      <w:bookmarkStart w:id="462" w:name="Tc_LSRoFPlyVEyCvh41l2V1Fg_9_2"/>
      <w:bookmarkStart w:id="463" w:name="Tc_p2n-kSMMWkGEHE2sXS1L2A_9_0"/>
      <w:bookmarkStart w:id="464" w:name="Tc_aPkt35iy8EWZkznjb9sc6w_8_0"/>
      <w:bookmarkStart w:id="465" w:name="Tc_cKHxqb2q_0C-CNwKDI5EOA_7_0"/>
      <w:bookmarkStart w:id="466" w:name="Tc_BYGfGS7LzESTJvGywl3gZg_6_0"/>
      <w:bookmarkStart w:id="467" w:name="Tc_Zr6p5dUmPUq6h4TTi9YUxg_5_0"/>
      <w:bookmarkStart w:id="468" w:name="Tc_XZLfNO_UjUC-x39MgUVcUg_4_5"/>
      <w:bookmarkStart w:id="469" w:name="Tc_uHBDJu0900KPX55ZGTUROg_4_2"/>
      <w:bookmarkStart w:id="470" w:name="Tc_GP3Ph1pwZEqY-Bgxw0q-Aw_4_0"/>
      <w:bookmarkStart w:id="471" w:name="Tc_9IhLotzKuUOP732wCE5SzQ_3_2"/>
      <w:bookmarkStart w:id="472" w:name="Tc_BwgqaJyFmkyIEeijoabYbg_2_5"/>
      <w:bookmarkStart w:id="473" w:name="Tc_3yqTktA_fEWcQYHiBgSZ9g_2_2"/>
      <w:bookmarkStart w:id="474" w:name="Tc_6ui2zV5dNkyRYYp8GWHi_A_1_5"/>
      <w:bookmarkStart w:id="475" w:name="Tc_nM2NUcDmoEivm1L9JyvrLQ_1_2"/>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ascii="Times New Roman;Times;serif" w:hAnsi="Times New Roman;Times;serif"/>
          <w:b/>
          <w:sz w:val="20"/>
        </w:rPr>
        <w:t>(6) Other Long-Term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long-term liabilities include the following:</w:t>
      </w:r>
    </w:p>
    <w:p>
      <w:pPr>
        <w:pStyle w:val="TextBody"/>
        <w:bidi w:val="0"/>
        <w:spacing w:before="0" w:after="0"/>
        <w:ind w:left="0" w:right="0" w:hanging="0"/>
        <w:jc w:val="left"/>
        <w:rPr/>
      </w:pPr>
      <w:r>
        <w:rPr/>
        <w:t>​</w:t>
      </w:r>
    </w:p>
    <w:tbl>
      <w:tblPr>
        <w:tblW w:w="7508" w:type="dxa"/>
        <w:jc w:val="left"/>
        <w:tblInd w:w="0" w:type="dxa"/>
        <w:tblLayout w:type="fixed"/>
        <w:tblCellMar>
          <w:top w:w="0" w:type="dxa"/>
          <w:left w:w="0" w:type="dxa"/>
          <w:bottom w:w="0" w:type="dxa"/>
          <w:right w:w="0" w:type="dxa"/>
        </w:tblCellMar>
      </w:tblPr>
      <w:tblGrid>
        <w:gridCol w:w="4486"/>
        <w:gridCol w:w="326"/>
        <w:gridCol w:w="296"/>
        <w:gridCol w:w="889"/>
        <w:gridCol w:w="326"/>
        <w:gridCol w:w="281"/>
        <w:gridCol w:w="90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848610" cy="175260"/>
                      <wp:effectExtent l="0" t="0" r="0" b="0"/>
                      <wp:wrapNone/>
                      <wp:docPr id="67" name="Frame6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87960" cy="175260"/>
                      <wp:effectExtent l="0" t="0" r="0" b="0"/>
                      <wp:wrapNone/>
                      <wp:docPr id="69" name="Frame69"/>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64515" cy="175260"/>
                      <wp:effectExtent l="0" t="0" r="0" b="0"/>
                      <wp:wrapNone/>
                      <wp:docPr id="70" name="Frame70"/>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8435" cy="175260"/>
                      <wp:effectExtent l="0" t="0" r="0" b="0"/>
                      <wp:wrapNone/>
                      <wp:docPr id="72" name="Frame7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4040" cy="175260"/>
                      <wp:effectExtent l="0" t="0" r="0" b="0"/>
                      <wp:wrapNone/>
                      <wp:docPr id="73" name="Frame73"/>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50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 related to IPR&amp;D (Note 11)</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From Sale of Tax Benefits </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(Note 10)</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3,302</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8,635</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6,323</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5,333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$0.0 million and $0.9 million in other income related to the sale of these tax benefits during the three and nine months ended September 30, 2023.</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 Stockholders’ Equity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May 2016, the Company entered into a controlled equity offering sales agreement (the “Cantor Agreement”) with Cantor Fitzgerald &amp; Co. (“Cantor”) to allow the Company to issue and sell shares of its common stock from time to time through Cantor, acting as agent. At September 30, 2023, the Company had $50.0 million remaining in aggregate gross offering price available under the Company’s November 2020 prospectus.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476" w:name="Tc_ha9BI-lRVUWioqNY-j5WYA_21_16"/>
      <w:bookmarkStart w:id="477" w:name="Tc_Jj-CNk1RdEeYtZb1jEw5Ow_21_13"/>
      <w:bookmarkStart w:id="478" w:name="Tc_Xw9dlOwQ10OqfwUVhGEPIQ_21_10"/>
      <w:bookmarkStart w:id="479" w:name="Tc_ytVKZRxKmEm8to9FM4lilQ_21_7"/>
      <w:bookmarkStart w:id="480" w:name="Tc_m0TiiIWUTUKyT8j9pjgzbQ_21_4"/>
      <w:bookmarkStart w:id="481" w:name="Tc_gPhW7V4x2E-C2EtmBjqjtQ_21_0"/>
      <w:bookmarkStart w:id="482" w:name="Tc_Otga-jPR402Yd_ZARCjrnw_20_11"/>
      <w:bookmarkStart w:id="483" w:name="Tc_RPOjrkZLnU-lqRMO7ANk1w_20_8"/>
      <w:bookmarkStart w:id="484" w:name="Tc_M77ebm5_7UCx7FeC87RHOg_20_5"/>
      <w:bookmarkStart w:id="485" w:name="Tc_yqoRp5tIQ0ygythdmQH5yQ_20_2"/>
      <w:bookmarkStart w:id="486" w:name="Tc_QNKqcgg2qEKlTXmIjE06DQ_20_0"/>
      <w:bookmarkStart w:id="487" w:name="Tc_CnqyZopPZ0ST70NDnIIRqA_19_14"/>
      <w:bookmarkStart w:id="488" w:name="Tc_V9O2rg9gyky9vS5-kF9h5Q_19_8"/>
      <w:bookmarkStart w:id="489" w:name="Tc_Nj_RqbWsuEGcNJwYx60Kfg_19_5"/>
      <w:bookmarkStart w:id="490" w:name="Tc_d6AU2ZtZ-0C45OuzV3htoQ_19_2"/>
      <w:bookmarkStart w:id="491" w:name="Tc_SY6PRl_-T0GkqLcmlB1ATw_19_0"/>
      <w:bookmarkStart w:id="492" w:name="Tc_Kr1vCR0kz0-YYAW9mtJCjg_18_14"/>
      <w:bookmarkStart w:id="493" w:name="Tc_3zV1-LhW1EK_py8KJeQGfQ_18_11"/>
      <w:bookmarkStart w:id="494" w:name="Tc_Pyi8JTKIR0aIqaf8O0SLCQ_18_5"/>
      <w:bookmarkStart w:id="495" w:name="Tc_VoKgjAREg0eduJPp1730rg_18_2"/>
      <w:bookmarkStart w:id="496" w:name="Tc_k80VZ_1CdU2asu2YXagaLw_18_0"/>
      <w:bookmarkStart w:id="497" w:name="Tc_JLw7ikiTlEmyFAbPgmV1xA_17_14"/>
      <w:bookmarkStart w:id="498" w:name="Tc_xidrFIjjiku-qkNC5N_AOw_17_11"/>
      <w:bookmarkStart w:id="499" w:name="Tc_QoP-peiFm0ag8B4-PPOx-g_17_5"/>
      <w:bookmarkStart w:id="500" w:name="Tc_GBW4WJI3REOTPGwRZhiiGQ_17_0"/>
      <w:bookmarkStart w:id="501" w:name="Tc_AcqYuYJOlUiLg-4gMp083w_16_16"/>
      <w:bookmarkStart w:id="502" w:name="Tc_J5mpDBge30CjwTzpQODWdg_16_13"/>
      <w:bookmarkStart w:id="503" w:name="Tc_lDAUE5NPck6SxRL2066oiw_16_10"/>
      <w:bookmarkStart w:id="504" w:name="Tc_xgmPecjBtUqzvoLr5DHYiQ_16_7"/>
      <w:bookmarkStart w:id="505" w:name="Tc_y0Cr_dIUHUaZIVCvbFHR3g_16_4"/>
      <w:bookmarkStart w:id="506" w:name="Tc_HWttG2ymN0WejT3CB_zlGA_16_0"/>
      <w:bookmarkStart w:id="507" w:name="Tc_Cc_1EAYVQ0CUy3uEM93F-Q_15_11"/>
      <w:bookmarkStart w:id="508" w:name="Tc_S7q1prD5TEKE3eWcnec39w_15_8"/>
      <w:bookmarkStart w:id="509" w:name="Tc_IqRNtJ_kDU6q4tohUwOE1g_15_5"/>
      <w:bookmarkStart w:id="510" w:name="Tc_QGYQ2QoRlEC7Ht8nUDyBoQ_15_2"/>
      <w:bookmarkStart w:id="511" w:name="Tc_wNbRsfsjIEKyKih1VauvGw_15_0"/>
      <w:bookmarkStart w:id="512" w:name="Tc_fCQM9SEN8UeGSskZI_vUsg_14_14"/>
      <w:bookmarkStart w:id="513" w:name="Tc_4rbZO1twakOhwo_QbfKwRg_14_8"/>
      <w:bookmarkStart w:id="514" w:name="Tc_5fSvBgsvj0KBakQ7rotbQA_14_5"/>
      <w:bookmarkStart w:id="515" w:name="Tc_ypngsrHCZEKkTSm_3O6_bA_14_2"/>
      <w:bookmarkStart w:id="516" w:name="Tc_aismwRrn4UGPwRtsfENv1Q_14_0"/>
      <w:bookmarkStart w:id="517" w:name="Tc_Bi10flVwh0eMm46-6C_hiA_13_14"/>
      <w:bookmarkStart w:id="518" w:name="Tc_kL6Fa3l5y0KU7psQkC681A_13_11"/>
      <w:bookmarkStart w:id="519" w:name="Tc_NE0wYoczDUCVHfDyfLyVfQ_13_5"/>
      <w:bookmarkStart w:id="520" w:name="Tc_LAkYpwxQAkay1xOnGquqNg_13_2"/>
      <w:bookmarkStart w:id="521" w:name="Tc_-EHT8DQzgkaADm8vbmmo7Q_13_0"/>
      <w:bookmarkStart w:id="522" w:name="Tc_JHU3AAM5SEed0ePcot15HA_12_14"/>
      <w:bookmarkStart w:id="523" w:name="Tc_ZX1b5MJ_uUiT4WeEkRAyyw_12_11"/>
      <w:bookmarkStart w:id="524" w:name="Tc_W5NHTBV370uzxKszgMcUUg_12_5"/>
      <w:bookmarkStart w:id="525" w:name="Tc_AXwl5reUtUC7Mq_3pvVDJA_12_0"/>
      <w:bookmarkStart w:id="526" w:name="Tc_wwucEwc_tEaguSsfqNLFoQ_11_16"/>
      <w:bookmarkStart w:id="527" w:name="Tc_-X1Qka1qpkKIfY3iXA_oMQ_11_13"/>
      <w:bookmarkStart w:id="528" w:name="Tc_Jv-GfHSkQEScjsFeI14JUQ_11_10"/>
      <w:bookmarkStart w:id="529" w:name="Tc_6QvVV1Fu_0-3y8Z-8kijfg_11_7"/>
      <w:bookmarkStart w:id="530" w:name="Tc_Af48yu6wvEajFqzbLAe4VA_11_4"/>
      <w:bookmarkStart w:id="531" w:name="Tc_e3PoJo-SO0mjSj8_XwQtRQ_11_0"/>
      <w:bookmarkStart w:id="532" w:name="Tc_gf9Ygf4AIkmo8PAbWr9Hkw_10_11"/>
      <w:bookmarkStart w:id="533" w:name="Tc_YNYOKw-hMkqZwXiVMaT-Yw_10_8"/>
      <w:bookmarkStart w:id="534" w:name="Tc_COSXuHgW6U2zmBOsoOYDiw_10_5"/>
      <w:bookmarkStart w:id="535" w:name="Tc_3Zi2OljDdkK70b2ul1Daqg_10_2"/>
      <w:bookmarkStart w:id="536" w:name="Tc_CXQlBfqEZUy_uvhuPlEO9A_10_0"/>
      <w:bookmarkStart w:id="537" w:name="Tc_k73N5dHIXUeEOKyMSW8Kwg_9_14"/>
      <w:bookmarkStart w:id="538" w:name="Tc_s8fY4IpG9ESze83RdYTMJg_9_8"/>
      <w:bookmarkStart w:id="539" w:name="Tc_vfAvhXNw6kyAOZr5GgDAew_9_5"/>
      <w:bookmarkStart w:id="540" w:name="Tc_xIgOMoN4Kk-7TWJZFp6naA_9_2"/>
      <w:bookmarkStart w:id="541" w:name="Tc_7TS0BEW4C0SjuZrvCJdXfQ_9_0"/>
      <w:bookmarkStart w:id="542" w:name="Tc_znrF7zHQRUWEWlpC5dhMeA_8_14"/>
      <w:bookmarkStart w:id="543" w:name="Tc_wD69XcVhr0GTs0BfR_MeNA_8_11"/>
      <w:bookmarkStart w:id="544" w:name="Tc_yY28EGULWkS8syjStQxJYQ_8_5"/>
      <w:bookmarkStart w:id="545" w:name="Tc_7y3o8546d0iGDaSh8IrqSA_8_2"/>
      <w:bookmarkStart w:id="546" w:name="Tc_iC06MJIJ4kWN5-_lCB2APw_8_0"/>
      <w:bookmarkStart w:id="547" w:name="Tc_KdD7eOCIO0quYCILmwCtow_7_14"/>
      <w:bookmarkStart w:id="548" w:name="Tc_fiZEAKJrZECsG2cwbePjFA_7_11"/>
      <w:bookmarkStart w:id="549" w:name="Tc_pmIrFgf5ZE2esc3JlUSW3Q_7_5"/>
      <w:bookmarkStart w:id="550" w:name="Tc_TW9_1pUpj06U20LE1zGfKg_7_0"/>
      <w:bookmarkStart w:id="551" w:name="Tc_wtrC3oHQHkSvAH8tARmd6g_6_16"/>
      <w:bookmarkStart w:id="552" w:name="Tc_AvlkiiOtzE2iWLCcniG08A_6_13"/>
      <w:bookmarkStart w:id="553" w:name="Tc_UvRz2YVurEGlJuvoy-Kb_w_6_10"/>
      <w:bookmarkStart w:id="554" w:name="Tc_OhiHQVNSsUWZ2VG_CMzwaQ_6_7"/>
      <w:bookmarkStart w:id="555" w:name="Tc_X1-uUkY0I0WQRYaDaFeRtg_6_4"/>
      <w:bookmarkStart w:id="556" w:name="Tc_t3m0u0HjpUyb4A4wraOUWw_6_0"/>
      <w:bookmarkStart w:id="557" w:name="Tc_NDkrpHpCtkyyowIlbfz7DQ_5_2"/>
      <w:bookmarkStart w:id="558" w:name="Tc_wq5W6ei1BUCCbFL8KR0B9w_4_16"/>
      <w:bookmarkStart w:id="559" w:name="Tc_nWD8bZ46A0GPMOhN-E5CiQ_4_13"/>
      <w:bookmarkStart w:id="560" w:name="Tc_kQmuoxmgaUytHLgUemWOCw_4_10"/>
      <w:bookmarkStart w:id="561" w:name="Tc_hqiz2CUNWEGkW8d-fn5aSQ_4_7"/>
      <w:bookmarkStart w:id="562" w:name="Tc_CpKYpIAv5Uy5zicTPpAYTA_4_4"/>
      <w:bookmarkStart w:id="563" w:name="Tc_dVi9K8KBuE6FeLr5LZNB_w_4_2"/>
      <w:bookmarkStart w:id="564" w:name="Tc_8--2ea-Sr0KtGFO2pW5hlQ_3_16"/>
      <w:bookmarkStart w:id="565" w:name="Tc_rXUEReGsyUCR3Ay73ImZUg_3_13"/>
      <w:bookmarkStart w:id="566" w:name="Tc_CpZvCgAJC0i3qWEmuhv_cA_3_10"/>
      <w:bookmarkStart w:id="567" w:name="Tc_rKe_-SA7n0Kd3rc377YyvA_3_7"/>
      <w:bookmarkStart w:id="568" w:name="Tc_aQ30jd_B0kCrv6XGibDYEw_3_4"/>
      <w:bookmarkStart w:id="569" w:name="Tc_QRaat4mZR0-zaDbZgk_TXQ_3_2"/>
      <w:bookmarkStart w:id="570" w:name="Tc_NunVX_euB0O1nKy5LlFg3g_2_16"/>
      <w:bookmarkStart w:id="571" w:name="Tc_2DYL-oDySECM0H-y77cT9g_2_10"/>
      <w:bookmarkStart w:id="572" w:name="Tc_0Ivb2PSSWkigCGLAU9dqyA_2_7"/>
      <w:bookmarkStart w:id="573" w:name="Tc_M-Kd1tC4BU-MsL04Md0fRQ_2_4"/>
      <w:bookmarkStart w:id="574" w:name="Tc_DLEpMLsuCkKJKb13cD7ScA_2_2"/>
      <w:bookmarkStart w:id="575" w:name="Tc_iGmIxan1W0akUqzdawz1Mw_1_10"/>
      <w:bookmarkStart w:id="576" w:name="_72c75577_e744_4a8c_9098_303a744f0c65"/>
      <w:bookmarkStart w:id="577" w:name="Tc_XLGs3NtDEECnlzplbkaUQg_21_16"/>
      <w:bookmarkStart w:id="578" w:name="Tc_HIq5IU0puk2wL1WsaHZ9jg_21_13"/>
      <w:bookmarkStart w:id="579" w:name="Tc_fnx2V4FS10ivyyXV1SZECA_21_10"/>
      <w:bookmarkStart w:id="580" w:name="Tc_KfxuoDsOAk-VirSRpX3vRg_21_7"/>
      <w:bookmarkStart w:id="581" w:name="Tc_TauCzVTR5UiRhJ7ohtxmhQ_21_4"/>
      <w:bookmarkStart w:id="582" w:name="Tc_4LACKXRau0WSKH0wU3sJgw_21_0"/>
      <w:bookmarkStart w:id="583" w:name="Tc_cb_y0gww40Ct_EOFjMkrCg_20_11"/>
      <w:bookmarkStart w:id="584" w:name="Tc_IzCBYMaQPEub5xJSVJQjHA_20_8"/>
      <w:bookmarkStart w:id="585" w:name="Tc_-eer_J1pIEydFRrTueh0PA_20_5"/>
      <w:bookmarkStart w:id="586" w:name="Tc_B-o_P6DgnE2o1jwm3UxyHg_20_2"/>
      <w:bookmarkStart w:id="587" w:name="Tc_hx3bXm9c8EuuxKw9yckECA_20_0"/>
      <w:bookmarkStart w:id="588" w:name="Tc_XP7Kbq0_ZEysZXTgmUxybA_19_14"/>
      <w:bookmarkStart w:id="589" w:name="Tc_sfu7oAusRE6Zdj1IayQiRg_19_8"/>
      <w:bookmarkStart w:id="590" w:name="Tc_DCz3HcZqwEKt8zKOmakICw_19_5"/>
      <w:bookmarkStart w:id="591" w:name="Tc_beLhb8F2akKFD723Rh40xQ_19_2"/>
      <w:bookmarkStart w:id="592" w:name="Tc_Q1RFNiFP50-z-2l_wbVq3Q_19_0"/>
      <w:bookmarkStart w:id="593" w:name="Tc_B_EZn3t5hESzhMkemnmD0Q_18_14"/>
      <w:bookmarkStart w:id="594" w:name="Tc_18lxENJc6EKT-Q3Gig1cPA_18_11"/>
      <w:bookmarkStart w:id="595" w:name="Tc_sj_rQzJlZ0iDPgmizEAvNw_18_5"/>
      <w:bookmarkStart w:id="596" w:name="Tc_kMMOA_J6CkCU5PY_oOL-rQ_18_2"/>
      <w:bookmarkStart w:id="597" w:name="Tc_AfePr0ful02XxOROgVosig_18_0"/>
      <w:bookmarkStart w:id="598" w:name="Tc_tmXWIN6AgEO4m0GjeerVyQ_17_14"/>
      <w:bookmarkStart w:id="599" w:name="Tc_x7f-A0oGm0qPdpkKy1PfZA_17_11"/>
      <w:bookmarkStart w:id="600" w:name="Tc_jzvDTKhKhUO6npPpJUuepg_17_5"/>
      <w:bookmarkStart w:id="601" w:name="Tc__5QmEw6hbkCqKR6McoUU9A_17_0"/>
      <w:bookmarkStart w:id="602" w:name="Tc_qG-UPUU2EkaDBwk8U1ynCg_16_16"/>
      <w:bookmarkStart w:id="603" w:name="Tc_4ok4S3EyckGNED_bEb8vtw_16_13"/>
      <w:bookmarkStart w:id="604" w:name="Tc_ZhlWutnQZE6h0y8w-OukJA_16_10"/>
      <w:bookmarkStart w:id="605" w:name="Tc_fC64ShUbuEOTRcARsUyJYw_16_7"/>
      <w:bookmarkStart w:id="606" w:name="Tc_NFjFf9opOE2HoNEcSi0Z-w_16_4"/>
      <w:bookmarkStart w:id="607" w:name="Tc_6ABlRZHW1USw6b7bxH_RmA_16_0"/>
      <w:bookmarkStart w:id="608" w:name="Tc_CqIFfp_zqEy7MuAHE5N1Jg_15_11"/>
      <w:bookmarkStart w:id="609" w:name="Tc_uvUTXLyFV0KgwpBru3hU3w_15_8"/>
      <w:bookmarkStart w:id="610" w:name="Tc_c7JhMI15DEixEfc6xkwAnA_15_5"/>
      <w:bookmarkStart w:id="611" w:name="Tc_WWA10_mj10iUlYPvEQnOcw_15_2"/>
      <w:bookmarkStart w:id="612" w:name="Tc_HwNW6VvWJEKmqUk70N1TiQ_15_0"/>
      <w:bookmarkStart w:id="613" w:name="Tc_ub64l4uaEUunsxvBjWmxcA_14_14"/>
      <w:bookmarkStart w:id="614" w:name="Tc_JfN514e_jUCVfnfrcC6twQ_14_8"/>
      <w:bookmarkStart w:id="615" w:name="Tc_KpyOnrWelkaE8rCiC1KB3w_14_5"/>
      <w:bookmarkStart w:id="616" w:name="Tc_wOJ-IBqNEkyW8DZ957qvVg_14_2"/>
      <w:bookmarkStart w:id="617" w:name="Tc_IUKyywooQkKokABEx5ei3A_14_0"/>
      <w:bookmarkStart w:id="618" w:name="Tc_FiFG1tgSWUmuOJ8bbjSvtw_13_14"/>
      <w:bookmarkStart w:id="619" w:name="Tc_NwW2XYz__E2fWMUTaC70HQ_13_11"/>
      <w:bookmarkStart w:id="620" w:name="Tc_hpFjiXehfEqewgk8knsHkA_13_5"/>
      <w:bookmarkStart w:id="621" w:name="Tc_MqHJ7jbr-EyjwELS6PuN6g_13_2"/>
      <w:bookmarkStart w:id="622" w:name="Tc_z3S9hZDraUuwxIZMUjuZLQ_13_0"/>
      <w:bookmarkStart w:id="623" w:name="Tc_4Al3cfbz1kiactZw0ltbvA_12_14"/>
      <w:bookmarkStart w:id="624" w:name="Tc_wcGcQEn5o0i1iGEhD2RTxA_12_11"/>
      <w:bookmarkStart w:id="625" w:name="Tc_mGFy46o3zU6ApOgzY-YMZA_12_5"/>
      <w:bookmarkStart w:id="626" w:name="Tc_CwN2FMwIf0OhhN1xyZ1VjA_12_0"/>
      <w:bookmarkStart w:id="627" w:name="Tc_hLMHYrC9K0qaSwJjaA3RJg_11_16"/>
      <w:bookmarkStart w:id="628" w:name="Tc_q5s7RHUbCEysfLBeBcedJw_11_13"/>
      <w:bookmarkStart w:id="629" w:name="Tc_BRf8e2XI4Uye0abbQiKX_A_11_10"/>
      <w:bookmarkStart w:id="630" w:name="Tc_kp3-03Gec0KdV7mkq4t3fA_11_7"/>
      <w:bookmarkStart w:id="631" w:name="Tc_D31MAx9QQ0yAXOiqC8xSYw_11_4"/>
      <w:bookmarkStart w:id="632" w:name="Tc_xpDRYhnLkUebw6beGJ8cYQ_11_0"/>
      <w:bookmarkStart w:id="633" w:name="Tc_lfsSTSTW70CEMdMv8dEwzg_10_11"/>
      <w:bookmarkStart w:id="634" w:name="Tc_s_jMEfzYG06kfk_31GHMZA_10_8"/>
      <w:bookmarkStart w:id="635" w:name="Tc_0gpmDGmHMkefdA0Ehvl0aA_10_5"/>
      <w:bookmarkStart w:id="636" w:name="Tc_fa0ANPZ1mku7qTbcA43ATg_10_2"/>
      <w:bookmarkStart w:id="637" w:name="Tc_h2YAkZ3nOUug8k01s876eA_10_0"/>
      <w:bookmarkStart w:id="638" w:name="Tc_vPi0PJXbeUyRtjf9TaBQUg_9_14"/>
      <w:bookmarkStart w:id="639" w:name="Tc_4nWR9AcKEUKR-TayW4lKfA_9_8"/>
      <w:bookmarkStart w:id="640" w:name="Tc_FHOa8EGviUWnHfQpOlZjQg_9_5"/>
      <w:bookmarkStart w:id="641" w:name="Tc_cKnXde0CcESGS0bQmvjSWQ_9_2"/>
      <w:bookmarkStart w:id="642" w:name="Tc_gk2bXrlxvEeSHUmVEEZf3A_9_0"/>
      <w:bookmarkStart w:id="643" w:name="Tc_A3SqmDNdLk2d9n_u2xNWGA_8_14"/>
      <w:bookmarkStart w:id="644" w:name="Tc_EbFfl3LS8EyYPp7JdlanlA_8_11"/>
      <w:bookmarkStart w:id="645" w:name="Tc_74QO790orkWCovST7mOESg_8_5"/>
      <w:bookmarkStart w:id="646" w:name="Tc_RdEJ-8prc0G8ENfiL5tgig_8_2"/>
      <w:bookmarkStart w:id="647" w:name="Tc_mkowQPUMfU-EuKeU-TN3XQ_8_0"/>
      <w:bookmarkStart w:id="648" w:name="Tc_7cQinWfa0U-HQy4InUFLTQ_7_14"/>
      <w:bookmarkStart w:id="649" w:name="Tc_uxikfnLdl0S64_wlA5tMPg_7_11"/>
      <w:bookmarkStart w:id="650" w:name="Tc_Vp4Gm8GDRUiVDpznUTBA6Q_7_5"/>
      <w:bookmarkStart w:id="651" w:name="Tc_m-nHuaGR2EO_KE_cinzx2g_7_0"/>
      <w:bookmarkStart w:id="652" w:name="Tc_gd7n1_BKREGnqyZVREAImw_6_16"/>
      <w:bookmarkStart w:id="653" w:name="Tc_e54lj0eGike6aJVRomB38Q_6_13"/>
      <w:bookmarkStart w:id="654" w:name="Tc_XeJfzCr8-EOBHKRUjzHbfQ_6_10"/>
      <w:bookmarkStart w:id="655" w:name="Tc_plXqobcwykGCy-w_CvQ5sw_6_7"/>
      <w:bookmarkStart w:id="656" w:name="Tc_OG5-ms5takWtseRfBBqtnQ_6_4"/>
      <w:bookmarkStart w:id="657" w:name="Tc_LA223cC66Em68Zq5Kz8kxA_6_0"/>
      <w:bookmarkStart w:id="658" w:name="Tc_cX0Fb2hkm0WjN_QaESqNZw_5_2"/>
      <w:bookmarkStart w:id="659" w:name="Tc_vlRJ1j-yvkWRjFcKGDfrBQ_4_16"/>
      <w:bookmarkStart w:id="660" w:name="Tc_tnyqhQMXxU6-ELdcShh0kQ_4_13"/>
      <w:bookmarkStart w:id="661" w:name="Tc_uQhV0aBLXUmf8FP_tP--Ug_4_10"/>
      <w:bookmarkStart w:id="662" w:name="Tc_kFGTpOsqkEiG1lK9Jhuaew_4_7"/>
      <w:bookmarkStart w:id="663" w:name="Tc_rlY2TpoaHkaYz_JpHnrjHA_4_4"/>
      <w:bookmarkStart w:id="664" w:name="Tc_u89Iqvhky0ycnCX3ezFyLQ_4_2"/>
      <w:bookmarkStart w:id="665" w:name="Tc_BCLPoRUwQ0GvYb9_Z5Xtiw_3_16"/>
      <w:bookmarkStart w:id="666" w:name="Tc_xsHR45Vqzk29rKn3ThonWQ_3_13"/>
      <w:bookmarkStart w:id="667" w:name="Tc_zPMpFEzWykquEePU0fqG4Q_3_10"/>
      <w:bookmarkStart w:id="668" w:name="Tc_NMkXDUPYx0SLV5MRFMqLrQ_3_7"/>
      <w:bookmarkStart w:id="669" w:name="Tc_EXufaSxN7kazcNqZdpYxSA_3_4"/>
      <w:bookmarkStart w:id="670" w:name="Tc_Zmj-cB3bwEiXjO19FnLOzA_3_2"/>
      <w:bookmarkStart w:id="671" w:name="Tc_g0xz-uaDm0izPHr6i1l-nA_2_16"/>
      <w:bookmarkStart w:id="672" w:name="Tc_ZD3DLChKv0aJ8PShwvnylg_2_10"/>
      <w:bookmarkStart w:id="673" w:name="Tc__dzHWHWRdEeIFoj2BImueA_2_7"/>
      <w:bookmarkStart w:id="674" w:name="Tc_0pcvPsyfu0Gyo-qnodXpwQ_2_4"/>
      <w:bookmarkStart w:id="675" w:name="Tc_zCZZypmc4EiEuYT42mGBww_2_2"/>
      <w:bookmarkStart w:id="676" w:name="Tc_-jCvTZ3940uX9ggL2Ey0QQ_1_10"/>
      <w:bookmarkStart w:id="677" w:name="_7de56773_b0be_4ffa_955c_22483496e9d1"/>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rFonts w:ascii="Times New Roman;Times;serif" w:hAnsi="Times New Roman;Times;serif"/>
          <w:sz w:val="20"/>
        </w:rPr>
        <w:t>The changes in Stockholders’ Equity during the three and nine months ended September 30, 2023 and 2022 are summarized below:</w:t>
      </w:r>
    </w:p>
    <w:p>
      <w:pPr>
        <w:pStyle w:val="TextBody"/>
        <w:bidi w:val="0"/>
        <w:spacing w:before="0" w:after="0"/>
        <w:ind w:left="0" w:right="0" w:hanging="0"/>
        <w:jc w:val="left"/>
        <w:rPr/>
      </w:pPr>
      <w:r>
        <w:rPr/>
        <w:t>​</w:t>
      </w:r>
    </w:p>
    <w:tbl>
      <w:tblPr>
        <w:tblW w:w="10216" w:type="dxa"/>
        <w:jc w:val="left"/>
        <w:tblInd w:w="0" w:type="dxa"/>
        <w:tblLayout w:type="fixed"/>
        <w:tblCellMar>
          <w:top w:w="0" w:type="dxa"/>
          <w:left w:w="0" w:type="dxa"/>
          <w:bottom w:w="0" w:type="dxa"/>
          <w:right w:w="0" w:type="dxa"/>
        </w:tblCellMar>
      </w:tblPr>
      <w:tblGrid>
        <w:gridCol w:w="1741"/>
        <w:gridCol w:w="326"/>
        <w:gridCol w:w="1036"/>
        <w:gridCol w:w="326"/>
        <w:gridCol w:w="312"/>
        <w:gridCol w:w="514"/>
        <w:gridCol w:w="326"/>
        <w:gridCol w:w="211"/>
        <w:gridCol w:w="931"/>
        <w:gridCol w:w="326"/>
        <w:gridCol w:w="327"/>
        <w:gridCol w:w="889"/>
        <w:gridCol w:w="326"/>
        <w:gridCol w:w="211"/>
        <w:gridCol w:w="991"/>
        <w:gridCol w:w="326"/>
        <w:gridCol w:w="211"/>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105535" cy="175260"/>
                      <wp:effectExtent l="0" t="0" r="0" b="0"/>
                      <wp:wrapNone/>
                      <wp:docPr id="74" name="Frame7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57860" cy="175260"/>
                      <wp:effectExtent l="0" t="0" r="0" b="0"/>
                      <wp:wrapNone/>
                      <wp:docPr id="76" name="Frame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98120" cy="175260"/>
                      <wp:effectExtent l="0" t="0" r="0" b="0"/>
                      <wp:wrapNone/>
                      <wp:docPr id="78" name="Frame7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26390" cy="175260"/>
                      <wp:effectExtent l="0" t="0" r="0" b="0"/>
                      <wp:wrapNone/>
                      <wp:docPr id="79" name="Frame79"/>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1185" cy="175260"/>
                      <wp:effectExtent l="0" t="0" r="0" b="0"/>
                      <wp:wrapNone/>
                      <wp:docPr id="82" name="Frame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645" cy="175260"/>
                      <wp:effectExtent l="0" t="0" r="0" b="0"/>
                      <wp:wrapNone/>
                      <wp:docPr id="84" name="Frame84"/>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64515" cy="175260"/>
                      <wp:effectExtent l="0" t="0" r="0" b="0"/>
                      <wp:wrapNone/>
                      <wp:docPr id="85" name="Frame85"/>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29285" cy="175260"/>
                      <wp:effectExtent l="0" t="0" r="0" b="0"/>
                      <wp:wrapNone/>
                      <wp:docPr id="88" name="Frame8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62610" cy="175260"/>
                      <wp:effectExtent l="0" t="0" r="0" b="0"/>
                      <wp:wrapNone/>
                      <wp:docPr id="91" name="Frame9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10216"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49"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47,200,695</w:t>
            </w:r>
          </w:p>
        </w:tc>
        <w:tc>
          <w:tcPr>
            <w:tcW w:w="326"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1,580,829</w:t>
            </w:r>
          </w:p>
        </w:tc>
        <w:tc>
          <w:tcPr>
            <w:tcW w:w="326"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(1,255,932)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326,204</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43,986</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32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w:t>
            </w:r>
          </w:p>
        </w:tc>
        <w:tc>
          <w:tcPr>
            <w:tcW w:w="326"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47,244,681</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1,585,863</w:t>
            </w:r>
          </w:p>
        </w:tc>
        <w:tc>
          <w:tcPr>
            <w:tcW w:w="32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(1,285,293)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302,740</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9,132</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47,253,813</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1,591,213</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(1,315,795)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277,537</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10,384</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7,121</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7,121</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(38,260)</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September 30, 2023</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47,264,197</w:t>
            </w:r>
          </w:p>
        </w:tc>
        <w:tc>
          <w:tcPr>
            <w:tcW w:w="326" w:type="dxa"/>
            <w:tcBorders/>
            <w:vAlign w:val="center"/>
          </w:tcPr>
          <w:p>
            <w:pPr>
              <w:pStyle w:val="TableContents"/>
              <w:bidi w:val="0"/>
              <w:spacing w:before="0" w:after="0"/>
              <w:ind w:left="0" w:right="0" w:hanging="0"/>
              <w:jc w:val="righ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1,598,591</w:t>
            </w:r>
          </w:p>
        </w:tc>
        <w:tc>
          <w:tcPr>
            <w:tcW w:w="326"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(1,354,055)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246,718</w:t>
            </w:r>
          </w:p>
        </w:tc>
      </w:tr>
    </w:tbl>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1602"/>
        <w:gridCol w:w="326"/>
        <w:gridCol w:w="1036"/>
        <w:gridCol w:w="326"/>
        <w:gridCol w:w="335"/>
        <w:gridCol w:w="551"/>
        <w:gridCol w:w="326"/>
        <w:gridCol w:w="211"/>
        <w:gridCol w:w="931"/>
        <w:gridCol w:w="326"/>
        <w:gridCol w:w="319"/>
        <w:gridCol w:w="957"/>
        <w:gridCol w:w="326"/>
        <w:gridCol w:w="211"/>
        <w:gridCol w:w="995"/>
        <w:gridCol w:w="326"/>
        <w:gridCol w:w="211"/>
        <w:gridCol w:w="890"/>
      </w:tblGrid>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57860" cy="175260"/>
                      <wp:effectExtent l="0" t="0" r="0" b="0"/>
                      <wp:wrapNone/>
                      <wp:docPr id="93" name="Frame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2725" cy="175260"/>
                      <wp:effectExtent l="0" t="0" r="0" b="0"/>
                      <wp:wrapNone/>
                      <wp:docPr id="95" name="Frame9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49885" cy="175260"/>
                      <wp:effectExtent l="0" t="0" r="0" b="0"/>
                      <wp:wrapNone/>
                      <wp:docPr id="96" name="Frame9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91185" cy="175260"/>
                      <wp:effectExtent l="0" t="0" r="0" b="0"/>
                      <wp:wrapNone/>
                      <wp:docPr id="99" name="Frame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2565" cy="175260"/>
                      <wp:effectExtent l="0" t="0" r="0" b="0"/>
                      <wp:wrapNone/>
                      <wp:docPr id="101" name="Frame10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07695" cy="175260"/>
                      <wp:effectExtent l="0" t="0" r="0" b="0"/>
                      <wp:wrapNone/>
                      <wp:docPr id="102" name="Frame102"/>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31825" cy="175260"/>
                      <wp:effectExtent l="0" t="0" r="0" b="0"/>
                      <wp:wrapNone/>
                      <wp:docPr id="105" name="Frame105"/>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5150" cy="175260"/>
                      <wp:effectExtent l="0" t="0" r="0" b="0"/>
                      <wp:wrapNone/>
                      <wp:docPr id="108" name="Frame108"/>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890" w:type="dxa"/>
            <w:tcBorders/>
            <w:vAlign w:val="center"/>
          </w:tcPr>
          <w:p>
            <w:pPr>
              <w:pStyle w:val="TableContents"/>
              <w:bidi w:val="0"/>
              <w:spacing w:before="0" w:after="0"/>
              <w:ind w:left="0" w:right="0" w:hanging="0"/>
              <w:jc w:val="left"/>
              <w:rPr/>
            </w:pPr>
            <w:r>
              <w:rPr/>
              <w:t>​</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7"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46,730,198</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1,561,142</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(1,143,607)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419,476</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24,150</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(23,050)</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46,754,348</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1,564,599</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(1,166,657)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398,101</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10,355</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(36,004)</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46,764,703</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1,568,124</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(1,202,661)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365,093</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331,360</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(26,784)</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September 30, 2022</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47,096,063</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1,574,926</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(1,229,445)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345,416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78" w:name="Tc_gmBDUWeVh0qOIRFjo0V7rA_6_0"/>
      <w:bookmarkStart w:id="679" w:name="Tc_8vz2bf13QEChLKgGvP_1gA_5_8"/>
      <w:bookmarkStart w:id="680" w:name="Tc_1RMCLGoU10inofo_ndJndw_5_6"/>
      <w:bookmarkStart w:id="681" w:name="Tc_8r-xzvbJ1kO93K230zFJpA_5_4"/>
      <w:bookmarkStart w:id="682" w:name="Tc_l9MkH8MRY0KQN3FsMb-H0A_5_0"/>
      <w:bookmarkStart w:id="683" w:name="Tc_7CCcN9BfOkaSoO3aaGv7ww_4_8"/>
      <w:bookmarkStart w:id="684" w:name="Tc_cHDe8CNpvk2iXQT3NvtxxA_4_6"/>
      <w:bookmarkStart w:id="685" w:name="Tc_t0N-ak1FZ0yWvSaqpUymWg_4_4"/>
      <w:bookmarkStart w:id="686" w:name="Tc_ehe3ouWK6kOm_KL2hZYy4w_4_2"/>
      <w:bookmarkStart w:id="687" w:name="Tc_fmUUHORjS0uyTpCKGFwd6g_4_0"/>
      <w:bookmarkStart w:id="688" w:name="Tc_xxKhxoC47USZFc-aR3ZDvg_3_8"/>
      <w:bookmarkStart w:id="689" w:name="Tc_LBveh8N4NEenueF4UDJi3Q_3_0"/>
      <w:bookmarkStart w:id="690" w:name="Tc_-0tY1yvo_0aGW2vK1QLtHg_2_8"/>
      <w:bookmarkStart w:id="691" w:name="Tc_FCL0WxK7UECU-tbAPOeehw_2_6"/>
      <w:bookmarkStart w:id="692" w:name="Tc_BpgudpVx30uQCLG1jGkuzg_2_4"/>
      <w:bookmarkStart w:id="693" w:name="Tc_hBepP3i2JEa7wuXfiaiTcw_2_2"/>
      <w:bookmarkStart w:id="694" w:name="Tc_5RntUwUiFEupykl9iS02uw_1_6"/>
      <w:bookmarkStart w:id="695" w:name="Tc_dqwtdbq8DUOo60kU_DIbXw_1_2"/>
      <w:bookmarkStart w:id="696" w:name="Tc_z6UFrzY0YkqaqJjrlDCIog_6_11"/>
      <w:bookmarkStart w:id="697" w:name="Tc_bYn-T5raFkuJlz5fmn0ZuQ_6_8"/>
      <w:bookmarkStart w:id="698" w:name="Tc_o8XraO0dJkWLoO1lvUB8QQ_6_5"/>
      <w:bookmarkStart w:id="699" w:name="Tc_YE6fwQKAyUGBp7gdUBbgtQ_6_2"/>
      <w:bookmarkStart w:id="700" w:name="Tc_ZmmTMfuwhUOR49vgHuSrUg_6_0"/>
      <w:bookmarkStart w:id="701" w:name="Tc_GpkVIO7L5kieEVZ2jAF7sA_5_0"/>
      <w:bookmarkStart w:id="702" w:name="Tc_2fwDFfU1uU-DQtte_2PLLw_4_11"/>
      <w:bookmarkStart w:id="703" w:name="Tc_C8jRLgC_HESt2tCooeLDCg_4_8"/>
      <w:bookmarkStart w:id="704" w:name="Tc_8BOtzJtogkS-z3HFJJo6gw_4_5"/>
      <w:bookmarkStart w:id="705" w:name="Tc_Qxhp8dzrLk2GGEE7kn0_PQ_4_2"/>
      <w:bookmarkStart w:id="706" w:name="Tc_UlW5X20gl0eYJbkslDU-MQ_4_0"/>
      <w:bookmarkStart w:id="707" w:name="Tc_IsmTORK7GkykaKDbV2otUw_3_8"/>
      <w:bookmarkStart w:id="708" w:name="Tc_Xvu7pEahG0ap4mIVxm_FJQ_3_2"/>
      <w:bookmarkStart w:id="709" w:name="Tc_QHT-mJZW9UaooCAFsnrlAg_2_11"/>
      <w:bookmarkStart w:id="710" w:name="Tc_GhjUd_7GIESIGeOCO_uMmw_2_8"/>
      <w:bookmarkStart w:id="711" w:name="Tc_DEUComSj60CQEZ42PY-DgQ_2_5"/>
      <w:bookmarkStart w:id="712" w:name="Tc_-ut-C8pIm021SoVBuMjBdg_2_2"/>
      <w:bookmarkStart w:id="713" w:name="Tc_g2e4QJDSPUG5Ye8V-s6fqA_1_8"/>
      <w:bookmarkStart w:id="714" w:name="Tc_4a9Ewhf9eU2r86zn6chamQ_1_2"/>
      <w:bookmarkStart w:id="715" w:name="_208d867e_68e7_470e_b6b2_7f922333a701"/>
      <w:bookmarkStart w:id="716" w:name="Tc_M4PBGH-mmESMXhfxAZZTNw_13_0"/>
      <w:bookmarkStart w:id="717" w:name="Tc_2SUJEvXSMEGlxuDQqSf5zA_12_4"/>
      <w:bookmarkStart w:id="718" w:name="Tc_qUkGZ5L8JEGKt7iEoCgrUA_12_0"/>
      <w:bookmarkStart w:id="719" w:name="Tc_EsiWIyAPKEuCtldQSFUltQ_11_4"/>
      <w:bookmarkStart w:id="720" w:name="Tc_NasgAhhe7EKcxLuhAWplVg_11_0"/>
      <w:bookmarkStart w:id="721" w:name="Tc_4tc_POQ3tEe1qPcyJ6C-Hw_10_4"/>
      <w:bookmarkStart w:id="722" w:name="Tc_M2zPxeR-Qki0TDFj-GUpRg_10_0"/>
      <w:bookmarkStart w:id="723" w:name="Tc_Lmp49zjRrE2xQ2Z_zkM4xw_9_4"/>
      <w:bookmarkStart w:id="724" w:name="Tc_-2-USrNuWk6RLO_Em29kpQ_9_0"/>
      <w:bookmarkStart w:id="725" w:name="Tc_TnTJ-hEHfUWffiELRxmn-Q_8_4"/>
      <w:bookmarkStart w:id="726" w:name="Tc_OZ2OjhSesUqV_3rUNZdpgQ_8_0"/>
      <w:bookmarkStart w:id="727" w:name="Tc_vAOqnDCIJkCLLNOpncCHfw_7_4"/>
      <w:bookmarkStart w:id="728" w:name="Tc_w5Fk9UJ9C0a4hrgUXJSmjQ_7_0"/>
      <w:bookmarkStart w:id="729" w:name="Tc_BwlIKfGpPkWZpcx2SDjJ4A_6_4"/>
      <w:bookmarkStart w:id="730" w:name="Tc_ZdQ4GSy7iU-lZE6s3LKNYw_6_0"/>
      <w:bookmarkStart w:id="731" w:name="Tc_nUcsql4C4EOPpw46FFptXg_5_7"/>
      <w:bookmarkStart w:id="732" w:name="Tc_WXrYkUTtIkKxdFRy0Zwkkg_5_4"/>
      <w:bookmarkStart w:id="733" w:name="Tc_wY4vwtnkp0-roQF-iw53XQ_5_2"/>
      <w:bookmarkStart w:id="734" w:name="Tc_YpDSRT5N-0GbEj2oqSO7vQ_4_7"/>
      <w:bookmarkStart w:id="735" w:name="Tc_1Zc2YCXN0kCB8OafzRDQ6w_4_4"/>
      <w:bookmarkStart w:id="736" w:name="Tc_G8ZFS_WF1UStPd4R5G9GtQ_3_7"/>
      <w:bookmarkStart w:id="737" w:name="Tc_-kCwkRpUe02ji2ncUSkhAw_3_4"/>
      <w:bookmarkStart w:id="738" w:name="Tc_nxMCbpCF6EaOPLeqvaKO2Q_2_7"/>
      <w:bookmarkStart w:id="739" w:name="Tc_dbKWB-Zzm0GZYBkhN6h7cw_2_4"/>
      <w:bookmarkStart w:id="740" w:name="Tc_Y4-pgVSp40eNnRZav0iFzw_1_7"/>
      <w:bookmarkStart w:id="741" w:name="Tc_fGHcFZgQrEKuWjlyTjOUKQ_1_4"/>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r>
        <w:rPr>
          <w:rFonts w:ascii="Times New Roman;Times;serif" w:hAnsi="Times New Roman;Times;serif"/>
          <w:b/>
          <w:sz w:val="20"/>
        </w:rPr>
        <w:t>(8)  Stock-Based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summary of stock option activity for the nine months ended September 30, 2023 is as follows:</w:t>
      </w:r>
    </w:p>
    <w:p>
      <w:pPr>
        <w:pStyle w:val="TextBody"/>
        <w:bidi w:val="0"/>
        <w:spacing w:before="0" w:after="0"/>
        <w:ind w:left="0" w:right="0" w:hanging="0"/>
        <w:jc w:val="left"/>
        <w:rPr/>
      </w:pPr>
      <w:r>
        <w:rPr/>
        <w:t>​</w:t>
      </w:r>
    </w:p>
    <w:tbl>
      <w:tblPr>
        <w:tblW w:w="8962" w:type="dxa"/>
        <w:jc w:val="left"/>
        <w:tblInd w:w="0" w:type="dxa"/>
        <w:tblLayout w:type="fixed"/>
        <w:tblCellMar>
          <w:top w:w="0" w:type="dxa"/>
          <w:left w:w="0" w:type="dxa"/>
          <w:bottom w:w="0" w:type="dxa"/>
          <w:right w:w="0" w:type="dxa"/>
        </w:tblCellMar>
      </w:tblPr>
      <w:tblGrid>
        <w:gridCol w:w="4906"/>
        <w:gridCol w:w="326"/>
        <w:gridCol w:w="931"/>
        <w:gridCol w:w="326"/>
        <w:gridCol w:w="222"/>
        <w:gridCol w:w="604"/>
        <w:gridCol w:w="326"/>
        <w:gridCol w:w="1321"/>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115310" cy="175260"/>
                      <wp:effectExtent l="0" t="0" r="0" b="0"/>
                      <wp:wrapNone/>
                      <wp:docPr id="109" name="Frame109"/>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91185" cy="175260"/>
                      <wp:effectExtent l="0" t="0" r="0" b="0"/>
                      <wp:wrapNone/>
                      <wp:docPr id="111" name="Frame1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0970" cy="175260"/>
                      <wp:effectExtent l="0" t="0" r="0" b="0"/>
                      <wp:wrapNone/>
                      <wp:docPr id="113" name="Frame11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83540" cy="175260"/>
                      <wp:effectExtent l="0" t="0" r="0" b="0"/>
                      <wp:wrapNone/>
                      <wp:docPr id="114" name="Frame114"/>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838835" cy="175260"/>
                      <wp:effectExtent l="0" t="0" r="0" b="0"/>
                      <wp:wrapNone/>
                      <wp:docPr id="116" name="Frame11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5,085,662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1,553,275</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36.88</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Canceled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(180,580)</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87.57</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6,407,584</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at September 30, 2023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6,271,198</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at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3,088,826</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2021 Plan</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1,065,273</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weighted average grant-date fair value of stock options granted during the three and nine months ended September 30, 2023 was $25.80 and $28.38,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aggregate intrinsic value of stock options vested and expected to vest at September 30, 2023 was $41.2 million. The aggregate intrinsic value of stock options exercisable at September 30, 2023 was $32.6 million. As of September 30, 2023, total compensation cost related to non-vested employee, consultant and non-employee director stock options not yet recognized was approximately $67.6 million, net of estimated forfeitures, which is expected to be recognized as expense over a weighted average period of 2.7 years.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Stock-based compensation expense for the three and nine months ended September 30, 2023 and 2022 was recorded as follows:</w:t>
      </w:r>
    </w:p>
    <w:p>
      <w:pPr>
        <w:pStyle w:val="TextBody"/>
        <w:bidi w:val="0"/>
        <w:spacing w:before="0" w:after="0"/>
        <w:ind w:left="0" w:right="0" w:hanging="0"/>
        <w:jc w:val="left"/>
        <w:rPr/>
      </w:pPr>
      <w:r>
        <w:rPr/>
        <w:t>​</w:t>
      </w:r>
    </w:p>
    <w:tbl>
      <w:tblPr>
        <w:tblW w:w="9562" w:type="dxa"/>
        <w:jc w:val="left"/>
        <w:tblInd w:w="0" w:type="dxa"/>
        <w:tblLayout w:type="fixed"/>
        <w:tblCellMar>
          <w:top w:w="0" w:type="dxa"/>
          <w:left w:w="0" w:type="dxa"/>
          <w:bottom w:w="0" w:type="dxa"/>
          <w:right w:w="0" w:type="dxa"/>
        </w:tblCellMar>
      </w:tblPr>
      <w:tblGrid>
        <w:gridCol w:w="3496"/>
        <w:gridCol w:w="326"/>
        <w:gridCol w:w="304"/>
        <w:gridCol w:w="825"/>
        <w:gridCol w:w="471"/>
        <w:gridCol w:w="304"/>
        <w:gridCol w:w="825"/>
        <w:gridCol w:w="326"/>
        <w:gridCol w:w="257"/>
        <w:gridCol w:w="823"/>
        <w:gridCol w:w="397"/>
        <w:gridCol w:w="257"/>
        <w:gridCol w:w="95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19960" cy="175260"/>
                      <wp:effectExtent l="0" t="0" r="0" b="0"/>
                      <wp:wrapNone/>
                      <wp:docPr id="117" name="Frame117"/>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93040" cy="175260"/>
                      <wp:effectExtent l="0" t="0" r="0" b="0"/>
                      <wp:wrapNone/>
                      <wp:docPr id="119" name="Frame119"/>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23875" cy="175260"/>
                      <wp:effectExtent l="0" t="0" r="0" b="0"/>
                      <wp:wrapNone/>
                      <wp:docPr id="120" name="Frame120"/>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99085" cy="175260"/>
                      <wp:effectExtent l="0" t="0" r="0" b="0"/>
                      <wp:wrapNone/>
                      <wp:docPr id="121" name="Frame121"/>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93040" cy="175260"/>
                      <wp:effectExtent l="0" t="0" r="0" b="0"/>
                      <wp:wrapNone/>
                      <wp:docPr id="122" name="Frame122"/>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23875" cy="175260"/>
                      <wp:effectExtent l="0" t="0" r="0" b="0"/>
                      <wp:wrapNone/>
                      <wp:docPr id="123" name="Frame123"/>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63195" cy="175260"/>
                      <wp:effectExtent l="0" t="0" r="0" b="0"/>
                      <wp:wrapNone/>
                      <wp:docPr id="125" name="Frame12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22605" cy="175260"/>
                      <wp:effectExtent l="0" t="0" r="0" b="0"/>
                      <wp:wrapNone/>
                      <wp:docPr id="126" name="Frame126"/>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52095" cy="175260"/>
                      <wp:effectExtent l="0" t="0" r="0" b="0"/>
                      <wp:wrapNone/>
                      <wp:docPr id="127" name="Frame127"/>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3195" cy="175260"/>
                      <wp:effectExtent l="0" t="0" r="0" b="0"/>
                      <wp:wrapNone/>
                      <wp:docPr id="128" name="Frame12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03885" cy="175260"/>
                      <wp:effectExtent l="0" t="0" r="0" b="0"/>
                      <wp:wrapNone/>
                      <wp:docPr id="129" name="Frame129"/>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6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1" w:type="dxa"/>
            <w:tcBorders/>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7" w:type="dxa"/>
            <w:tcBorders/>
            <w:vAlign w:val="center"/>
          </w:tcPr>
          <w:p>
            <w:pPr>
              <w:pStyle w:val="TableContents"/>
              <w:bidi w:val="0"/>
              <w:spacing w:before="0" w:after="0"/>
              <w:ind w:left="0" w:right="0" w:hanging="0"/>
              <w:jc w:val="left"/>
              <w:rPr/>
            </w:pPr>
            <w:r>
              <w:rPr/>
              <w:t>    </w:t>
            </w:r>
          </w:p>
        </w:tc>
        <w:tc>
          <w:tcPr>
            <w:tcW w:w="12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56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26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c>
          <w:tcPr>
            <w:tcW w:w="471"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2,342</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8,269</w:t>
            </w:r>
          </w:p>
        </w:tc>
        <w:tc>
          <w:tcPr>
            <w:tcW w:w="397"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5,754</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w:t>
            </w:r>
          </w:p>
        </w:tc>
        <w:tc>
          <w:tcPr>
            <w:tcW w:w="471"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2,154</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8,409</w:t>
            </w:r>
          </w:p>
        </w:tc>
        <w:tc>
          <w:tcPr>
            <w:tcW w:w="397"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stock-based compensation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7,121</w:t>
            </w:r>
          </w:p>
        </w:tc>
        <w:tc>
          <w:tcPr>
            <w:tcW w:w="471"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16,678</w:t>
            </w:r>
          </w:p>
        </w:tc>
        <w:tc>
          <w:tcPr>
            <w:tcW w:w="397"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11,103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fair values of employee, consultant and non-employee director stock options granted during the three and nine months ended September 30, 2023 and 2022 were valued using the Black-Scholes option pricing model with the following assumptions:</w:t>
      </w:r>
    </w:p>
    <w:p>
      <w:pPr>
        <w:pStyle w:val="TextBody"/>
        <w:bidi w:val="0"/>
        <w:spacing w:before="0" w:after="0"/>
        <w:ind w:left="0" w:right="0" w:hanging="0"/>
        <w:jc w:val="left"/>
        <w:rPr/>
      </w:pPr>
      <w:r>
        <w:rPr/>
        <w:t>​</w:t>
      </w:r>
    </w:p>
    <w:tbl>
      <w:tblPr>
        <w:tblW w:w="8737" w:type="dxa"/>
        <w:jc w:val="left"/>
        <w:tblInd w:w="0" w:type="dxa"/>
        <w:tblLayout w:type="fixed"/>
        <w:tblCellMar>
          <w:top w:w="0" w:type="dxa"/>
          <w:left w:w="0" w:type="dxa"/>
          <w:bottom w:w="0" w:type="dxa"/>
          <w:right w:w="0" w:type="dxa"/>
        </w:tblCellMar>
      </w:tblPr>
      <w:tblGrid>
        <w:gridCol w:w="2671"/>
        <w:gridCol w:w="326"/>
        <w:gridCol w:w="1083"/>
        <w:gridCol w:w="412"/>
        <w:gridCol w:w="1235"/>
        <w:gridCol w:w="326"/>
        <w:gridCol w:w="1128"/>
        <w:gridCol w:w="376"/>
        <w:gridCol w:w="1180"/>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696085" cy="175260"/>
                      <wp:effectExtent l="0" t="0" r="0" b="0"/>
                      <wp:wrapNone/>
                      <wp:docPr id="130" name="Frame130"/>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87705" cy="175260"/>
                      <wp:effectExtent l="0" t="0" r="0" b="0"/>
                      <wp:wrapNone/>
                      <wp:docPr id="132" name="Frame132"/>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61620" cy="175260"/>
                      <wp:effectExtent l="0" t="0" r="0" b="0"/>
                      <wp:wrapNone/>
                      <wp:docPr id="133" name="Frame13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84225" cy="175260"/>
                      <wp:effectExtent l="0" t="0" r="0" b="0"/>
                      <wp:wrapNone/>
                      <wp:docPr id="134" name="Frame134"/>
                      <a:graphic xmlns:a="http://schemas.openxmlformats.org/drawingml/2006/main">
                        <a:graphicData uri="http://schemas.microsoft.com/office/word/2010/wordprocessingShape">
                          <wps:wsp>
                            <wps:cNvSpPr txBox="1"/>
                            <wps:spPr>
                              <a:xfrm>
                                <a:off x="0" y="0"/>
                                <a:ext cx="784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16280" cy="175260"/>
                      <wp:effectExtent l="0" t="0" r="0" b="0"/>
                      <wp:wrapNone/>
                      <wp:docPr id="136" name="Frame136"/>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38760" cy="175260"/>
                      <wp:effectExtent l="0" t="0" r="0" b="0"/>
                      <wp:wrapNone/>
                      <wp:docPr id="137" name="Frame13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49300" cy="175260"/>
                      <wp:effectExtent l="0" t="0" r="0" b="0"/>
                      <wp:wrapNone/>
                      <wp:docPr id="138" name="Frame138"/>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6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67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2" w:type="dxa"/>
            <w:tcBorders/>
            <w:vAlign w:val="center"/>
          </w:tcPr>
          <w:p>
            <w:pPr>
              <w:pStyle w:val="TableContents"/>
              <w:bidi w:val="0"/>
              <w:spacing w:before="0" w:after="0"/>
              <w:ind w:left="0" w:right="0" w:hanging="0"/>
              <w:jc w:val="left"/>
              <w:rPr/>
            </w:pPr>
            <w:r>
              <w:rPr/>
              <w:t>    </w:t>
            </w:r>
          </w:p>
        </w:tc>
        <w:tc>
          <w:tcPr>
            <w:tcW w:w="12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6" w:type="dxa"/>
            <w:tcBorders/>
            <w:vAlign w:val="center"/>
          </w:tcPr>
          <w:p>
            <w:pPr>
              <w:pStyle w:val="TableContents"/>
              <w:bidi w:val="0"/>
              <w:spacing w:before="0" w:after="0"/>
              <w:ind w:left="0" w:right="0" w:hanging="0"/>
              <w:jc w:val="left"/>
              <w:rPr/>
            </w:pPr>
            <w:r>
              <w:rPr/>
              <w:t>    </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stock price volatility </w:t>
            </w:r>
          </w:p>
        </w:tc>
        <w:tc>
          <w:tcPr>
            <w:tcW w:w="326"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tc>
        <w:tc>
          <w:tcPr>
            <w:tcW w:w="412" w:type="dxa"/>
            <w:tcBorders/>
            <w:shd w:fill="CCEEFF" w:val="clear"/>
            <w:vAlign w:val="center"/>
          </w:tcPr>
          <w:p>
            <w:pPr>
              <w:pStyle w:val="TableContents"/>
              <w:bidi w:val="0"/>
              <w:spacing w:before="0" w:after="0"/>
              <w:ind w:left="0" w:right="0" w:hanging="0"/>
              <w:jc w:val="left"/>
              <w:rPr/>
            </w:pPr>
            <w:r>
              <w:rPr/>
              <w:t>​</w:t>
            </w:r>
          </w:p>
        </w:tc>
        <w:tc>
          <w:tcPr>
            <w:tcW w:w="123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tc>
        <w:tc>
          <w:tcPr>
            <w:tcW w:w="376"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 – 97%</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option term </w:t>
            </w:r>
          </w:p>
        </w:tc>
        <w:tc>
          <w:tcPr>
            <w:tcW w:w="326"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412" w:type="dxa"/>
            <w:tcBorders/>
            <w:vAlign w:val="center"/>
          </w:tcPr>
          <w:p>
            <w:pPr>
              <w:pStyle w:val="TableContents"/>
              <w:bidi w:val="0"/>
              <w:spacing w:before="0" w:after="0"/>
              <w:ind w:left="0" w:right="0" w:hanging="0"/>
              <w:jc w:val="left"/>
              <w:rPr/>
            </w:pPr>
            <w:r>
              <w:rPr/>
              <w:t>​</w:t>
            </w:r>
          </w:p>
        </w:tc>
        <w:tc>
          <w:tcPr>
            <w:tcW w:w="12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2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76"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Risk-free interest rate </w:t>
            </w:r>
          </w:p>
        </w:tc>
        <w:tc>
          <w:tcPr>
            <w:tcW w:w="326"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412" w:type="dxa"/>
            <w:tcBorders/>
            <w:shd w:fill="CCEEFF" w:val="clear"/>
            <w:vAlign w:val="center"/>
          </w:tcPr>
          <w:p>
            <w:pPr>
              <w:pStyle w:val="TableContents"/>
              <w:bidi w:val="0"/>
              <w:spacing w:before="0" w:after="0"/>
              <w:ind w:left="0" w:right="0" w:hanging="0"/>
              <w:jc w:val="left"/>
              <w:rPr/>
            </w:pPr>
            <w:r>
              <w:rPr/>
              <w:t>​</w:t>
            </w:r>
          </w:p>
        </w:tc>
        <w:tc>
          <w:tcPr>
            <w:tcW w:w="123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 – 3.5%</w:t>
            </w:r>
          </w:p>
        </w:tc>
        <w:tc>
          <w:tcPr>
            <w:tcW w:w="32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 – 4.1%</w:t>
            </w:r>
          </w:p>
        </w:tc>
        <w:tc>
          <w:tcPr>
            <w:tcW w:w="376"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 – 3.6%</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dividend yield </w:t>
            </w:r>
          </w:p>
        </w:tc>
        <w:tc>
          <w:tcPr>
            <w:tcW w:w="326"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412" w:type="dxa"/>
            <w:tcBorders/>
            <w:vAlign w:val="center"/>
          </w:tcPr>
          <w:p>
            <w:pPr>
              <w:pStyle w:val="TableContents"/>
              <w:bidi w:val="0"/>
              <w:spacing w:before="0" w:after="0"/>
              <w:ind w:left="0" w:right="0" w:hanging="0"/>
              <w:jc w:val="left"/>
              <w:rPr/>
            </w:pPr>
            <w:r>
              <w:rPr/>
              <w:t>​</w:t>
            </w:r>
          </w:p>
        </w:tc>
        <w:tc>
          <w:tcPr>
            <w:tcW w:w="12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2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76"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42" w:name="Tc_KWlYg_ZE6kSzdXHr-U6t4A_8_8"/>
      <w:bookmarkStart w:id="743" w:name="Tc_sfhJpaufskKJdV6UkvHRtA_8_5"/>
      <w:bookmarkStart w:id="744" w:name="Tc_3JyU6Uay-EKxNEbtoHAmsQ_8_2"/>
      <w:bookmarkStart w:id="745" w:name="Tc_2FXBK_-3Q0e0gXNNruG0yA_8_0"/>
      <w:bookmarkStart w:id="746" w:name="Tc_X_7Tl21UWUGnsQ4bzSbLVg_7_0"/>
      <w:bookmarkStart w:id="747" w:name="Tc_dRM5S64EmkOBLnyOHEO_vg_6_8"/>
      <w:bookmarkStart w:id="748" w:name="Tc_aqfcpTt9YUOXRusVMjUUog_6_5"/>
      <w:bookmarkStart w:id="749" w:name="Tc__Q9xYl78EUe_wm9f-EtgnQ_6_2"/>
      <w:bookmarkStart w:id="750" w:name="Tc_JKMmlgrKYEm_CVPqCdb1ng_6_0"/>
      <w:bookmarkStart w:id="751" w:name="Tc_Rj4pG_OmG0OsjKw9UNqMpg_5_2"/>
      <w:bookmarkStart w:id="752" w:name="Tc_8Co-BMBjLUCrKRPQ7N-yaQ_4_8"/>
      <w:bookmarkStart w:id="753" w:name="Tc_h9beOMQawUKaAejOYRqAFA_4_5"/>
      <w:bookmarkStart w:id="754" w:name="Tc_9W6d7GSJpEmmtiHWiv8qgg_4_2"/>
      <w:bookmarkStart w:id="755" w:name="Tc_64AZbV4x10-2tEHD1DW4Qg_3_5"/>
      <w:bookmarkStart w:id="756" w:name="Tc_AfrG043P4EaYmVtEHSzkag_3_2"/>
      <w:bookmarkStart w:id="757" w:name="Tc_wTLqwMK5lESyRFtlv3BYKw_2_2"/>
      <w:bookmarkStart w:id="758" w:name="Tc_w4o8bjkG90Cce3JOlc_thg_1_2"/>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rPr>
          <w:rFonts w:ascii="Times New Roman;Times;serif" w:hAnsi="Times New Roman;Times;serif"/>
          <w:b/>
          <w:sz w:val="20"/>
        </w:rPr>
        <w:t>(9)  Accumulated Other Comprehensive Income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accumulated other comprehensive income, which is reported as a component of stockholders’ equity, for the nine months ended September 30, 2023 are summarized below:</w:t>
      </w:r>
    </w:p>
    <w:p>
      <w:pPr>
        <w:pStyle w:val="TextBody"/>
        <w:bidi w:val="0"/>
        <w:spacing w:before="0" w:after="0"/>
        <w:ind w:left="0" w:right="0" w:hanging="0"/>
        <w:jc w:val="left"/>
        <w:rPr/>
      </w:pPr>
      <w:r>
        <w:rPr/>
        <w:t>​</w:t>
      </w:r>
    </w:p>
    <w:tbl>
      <w:tblPr>
        <w:tblW w:w="6683" w:type="dxa"/>
        <w:jc w:val="left"/>
        <w:tblInd w:w="0" w:type="dxa"/>
        <w:tblLayout w:type="fixed"/>
        <w:tblCellMar>
          <w:top w:w="0" w:type="dxa"/>
          <w:left w:w="0" w:type="dxa"/>
          <w:bottom w:w="0" w:type="dxa"/>
          <w:right w:w="0" w:type="dxa"/>
        </w:tblCellMar>
      </w:tblPr>
      <w:tblGrid>
        <w:gridCol w:w="2641"/>
        <w:gridCol w:w="326"/>
        <w:gridCol w:w="225"/>
        <w:gridCol w:w="721"/>
        <w:gridCol w:w="326"/>
        <w:gridCol w:w="332"/>
        <w:gridCol w:w="899"/>
        <w:gridCol w:w="326"/>
        <w:gridCol w:w="211"/>
        <w:gridCol w:w="67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77035" cy="175260"/>
                      <wp:effectExtent l="0" t="0" r="0" b="0"/>
                      <wp:wrapNone/>
                      <wp:docPr id="139" name="Frame139"/>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42875" cy="175260"/>
                      <wp:effectExtent l="0" t="0" r="0" b="0"/>
                      <wp:wrapNone/>
                      <wp:docPr id="141" name="Frame14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57835" cy="175260"/>
                      <wp:effectExtent l="0" t="0" r="0" b="0"/>
                      <wp:wrapNone/>
                      <wp:docPr id="142" name="Frame14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0820" cy="175260"/>
                      <wp:effectExtent l="0" t="0" r="0" b="0"/>
                      <wp:wrapNone/>
                      <wp:docPr id="144" name="Frame144"/>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70865" cy="175260"/>
                      <wp:effectExtent l="0" t="0" r="0" b="0"/>
                      <wp:wrapNone/>
                      <wp:docPr id="145" name="Frame145"/>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29260" cy="175260"/>
                      <wp:effectExtent l="0" t="0" r="0" b="0"/>
                      <wp:wrapNone/>
                      <wp:docPr id="148" name="Frame1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on</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Marketable</w:t>
            </w:r>
          </w:p>
        </w:tc>
        <w:tc>
          <w:tcPr>
            <w:tcW w:w="32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before="0" w:after="0"/>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Items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68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1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gain</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2,135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 amounts were reclassified out of accumulated other comprehensive income during the nine months ended September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Contract and Grants 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entered into agreements with Rockefeller University (“Rockefeller”) pursuant to which the Company performs manufacturing and research and development services on a time-and-materials basis or at a negotiated fixed-price. The Company recognized $1.5 million and $2.7 million in revenue under the agreements with Rockefeller during the three and nine months ended September 30, 2023, respectively, and $0.0 million and $0.2 million during the three and nine months ended September 30, 2022, respectively.</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September 30, 2023 and December 31, 2022, the Company’s right to consideration under all contracts was considered unconditional, and as such, there were no recorded contract assets. At September 30, 2023, the Company had $3.3 million in contract liabilities recorded, which is expected to be recognized during the next 12 months as manufacturing and research and development services are performed. At December 31, 2022, the Company had $0.1 million in contract liabilities recorded. Revenue recognized from contract liabilities as of December 31, 2022 during the three and nine months ended September 30, 2023 was less than $0.1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  Income Taxes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September 30, 2023 and December 31, 2022.</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net deferred tax liability of $1.6 million at September 30, 2023 and December 31, 2022 relates to the temporary differences associated with the IPR&amp;D intangible assets acquired in previous business combinations and is not deductible for tax purposes.</w:t>
      </w:r>
    </w:p>
    <w:p>
      <w:pPr>
        <w:pStyle w:val="TextBody"/>
        <w:bidi w:val="0"/>
        <w:spacing w:before="0" w:after="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Massachusetts, New Jersey, New York and Connecticut are the jurisdictions in which the Company primarily operates or has operated and has income tax nexus. The Company is not currently under examination by these or any other jurisdictions for any tax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59" w:name="Tc_uLV16fpOpEWEE_QtkL8bcg_4_4"/>
      <w:bookmarkStart w:id="760" w:name="Tc_9dnrlhhEg0KyN_gZ1ruBCg_4_2"/>
      <w:bookmarkStart w:id="761" w:name="Tc_2P_cbGL0aEugOpLKyjjhOw_4_0"/>
      <w:bookmarkStart w:id="762" w:name="Tc_J4nbRXso-kSAfAVv9CLw-w_3_0"/>
      <w:bookmarkStart w:id="763" w:name="Tc_reMEniXJxE--u-kH5pkqjA_2_4"/>
      <w:bookmarkStart w:id="764" w:name="Tc_swjQIPf3JEW82S4ZugMkag_2_2"/>
      <w:bookmarkStart w:id="765" w:name="Tc_-XJ_l_tc30ygkBMkF46Vgw_1_2"/>
      <w:bookmarkStart w:id="766" w:name="_a1b264bd_08a4_47c8_9283_98aa8e78affc"/>
      <w:bookmarkEnd w:id="759"/>
      <w:bookmarkEnd w:id="760"/>
      <w:bookmarkEnd w:id="761"/>
      <w:bookmarkEnd w:id="762"/>
      <w:bookmarkEnd w:id="763"/>
      <w:bookmarkEnd w:id="764"/>
      <w:bookmarkEnd w:id="765"/>
      <w:bookmarkEnd w:id="766"/>
      <w:r>
        <w:rPr>
          <w:rFonts w:ascii="Times New Roman;Times;serif" w:hAnsi="Times New Roman;Times;serif"/>
          <w:b/>
          <w:sz w:val="20"/>
        </w:rPr>
        <w:t>(12)  Net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pStyle w:val="TextBody"/>
        <w:bidi w:val="0"/>
        <w:spacing w:before="0" w:after="0"/>
        <w:ind w:left="0" w:right="0" w:hanging="0"/>
        <w:jc w:val="left"/>
        <w:rPr/>
      </w:pPr>
      <w:r>
        <w:rPr/>
        <w:t>​</w:t>
      </w:r>
    </w:p>
    <w:tbl>
      <w:tblPr>
        <w:tblW w:w="4466" w:type="dxa"/>
        <w:jc w:val="left"/>
        <w:tblInd w:w="0" w:type="dxa"/>
        <w:tblLayout w:type="fixed"/>
        <w:tblCellMar>
          <w:top w:w="0" w:type="dxa"/>
          <w:left w:w="0" w:type="dxa"/>
          <w:bottom w:w="0" w:type="dxa"/>
          <w:right w:w="0" w:type="dxa"/>
        </w:tblCellMar>
      </w:tblPr>
      <w:tblGrid>
        <w:gridCol w:w="1456"/>
        <w:gridCol w:w="326"/>
        <w:gridCol w:w="1090"/>
        <w:gridCol w:w="381"/>
        <w:gridCol w:w="1213"/>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24560" cy="175260"/>
                      <wp:effectExtent l="0" t="0" r="0" b="0"/>
                      <wp:wrapNone/>
                      <wp:docPr id="149" name="Frame149"/>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0" cy="175260"/>
                      <wp:effectExtent l="0" t="0" r="0" b="0"/>
                      <wp:wrapNone/>
                      <wp:docPr id="151" name="Frame151"/>
                      <a:graphic xmlns:a="http://schemas.openxmlformats.org/drawingml/2006/main">
                        <a:graphicData uri="http://schemas.microsoft.com/office/word/2010/wordprocessingShape">
                          <wps:wsp>
                            <wps:cNvSpPr txBox="1"/>
                            <wps:spPr>
                              <a:xfrm>
                                <a:off x="0" y="0"/>
                                <a:ext cx="692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41935" cy="175260"/>
                      <wp:effectExtent l="0" t="0" r="0" b="0"/>
                      <wp:wrapNone/>
                      <wp:docPr id="152" name="Frame152"/>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70255" cy="175260"/>
                      <wp:effectExtent l="0" t="0" r="0" b="0"/>
                      <wp:wrapNone/>
                      <wp:docPr id="153" name="Frame153"/>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1" w:type="dxa"/>
            <w:tcBorders/>
            <w:vAlign w:val="center"/>
          </w:tcPr>
          <w:p>
            <w:pPr>
              <w:pStyle w:val="TableContents"/>
              <w:bidi w:val="0"/>
              <w:spacing w:before="0" w:after="0"/>
              <w:ind w:left="0" w:right="0" w:hanging="0"/>
              <w:jc w:val="left"/>
              <w:rPr/>
            </w:pPr>
            <w:r>
              <w:rPr/>
              <w:t>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p>
        </w:tc>
        <w:tc>
          <w:tcPr>
            <w:tcW w:w="326"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6,407,584</w:t>
            </w:r>
          </w:p>
        </w:tc>
        <w:tc>
          <w:tcPr>
            <w:tcW w:w="381"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5,189,971</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w:t>
            </w:r>
          </w:p>
        </w:tc>
        <w:tc>
          <w:tcPr>
            <w:tcW w:w="326" w:type="dxa"/>
            <w:tcBorders/>
            <w:vAlign w:val="center"/>
          </w:tcPr>
          <w:p>
            <w:pPr>
              <w:pStyle w:val="TableContents"/>
              <w:bidi w:val="0"/>
              <w:spacing w:before="0" w:after="0"/>
              <w:ind w:left="0" w:right="0" w:hanging="0"/>
              <w:jc w:val="left"/>
              <w:rPr/>
            </w:pPr>
            <w:r>
              <w:rPr/>
              <w:t> </w:t>
            </w:r>
          </w:p>
        </w:tc>
        <w:tc>
          <w:tcPr>
            <w:tcW w:w="10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1" w:type="dxa"/>
            <w:tcBorders/>
            <w:vAlign w:val="center"/>
          </w:tcPr>
          <w:p>
            <w:pPr>
              <w:pStyle w:val="TableContents"/>
              <w:bidi w:val="0"/>
              <w:spacing w:before="0" w:after="0"/>
              <w:ind w:left="0" w:right="0" w:hanging="0"/>
              <w:jc w:val="left"/>
              <w:rPr/>
            </w:pPr>
            <w:r>
              <w:rPr/>
              <w:t>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6,407,584</w:t>
            </w:r>
          </w:p>
        </w:tc>
        <w:tc>
          <w:tcPr>
            <w:tcW w:w="381" w:type="dxa"/>
            <w:tcBorders/>
            <w:shd w:fill="CCEEFF" w:val="clear"/>
            <w:vAlign w:val="center"/>
          </w:tcPr>
          <w:p>
            <w:pPr>
              <w:pStyle w:val="TableContents"/>
              <w:bidi w:val="0"/>
              <w:spacing w:before="0" w:after="0"/>
              <w:ind w:left="0" w:right="0" w:hanging="0"/>
              <w:jc w:val="left"/>
              <w:rPr/>
            </w:pPr>
            <w:r>
              <w:rPr/>
              <w:t> </w:t>
            </w:r>
          </w:p>
        </w:tc>
        <w:tc>
          <w:tcPr>
            <w:tcW w:w="121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5,189,971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  Kolltan Acquisition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20, 2022, the Company entered into a binding settlement term sheet (the “Term Sheet”) with SRS, related to the Litigation, which, upon execution of a definitive settlement agreement and the payment of the Initial Payment (as defined below), would result in the joint dismissal, with prejudice, of all claims and counterclaims in the Litigation. The definitive settlement agreement between the Company and SRS was executed on July 15, 2022 (the “Settlement Agreement”) and the Company and SRS jointly filed a Stipulation of Dismissal with prejudice relating to the Litigation on July 19, 2022.</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terms of the Term Sheet and the Settlement Agreement, all milestone payments provided for by the Merger Agreement are replaced in their entirety with the following payments, each of which is payable only once:</w:t>
      </w:r>
    </w:p>
    <w:p>
      <w:pPr>
        <w:pStyle w:val="TextBody"/>
        <w:bidi w:val="0"/>
        <w:spacing w:before="0" w:after="0"/>
        <w:ind w:left="0" w:right="0" w:firstLine="720"/>
        <w:jc w:val="left"/>
        <w:rPr/>
      </w:pPr>
      <w:r>
        <w:rPr/>
        <w:t>​</w:t>
      </w:r>
    </w:p>
    <w:tbl>
      <w:tblPr>
        <w:tblW w:w="8901" w:type="dxa"/>
        <w:jc w:val="left"/>
        <w:tblInd w:w="0" w:type="dxa"/>
        <w:tblLayout w:type="fixed"/>
        <w:tblCellMar>
          <w:top w:w="28" w:type="dxa"/>
          <w:left w:w="28" w:type="dxa"/>
          <w:bottom w:w="28" w:type="dxa"/>
          <w:right w:w="28" w:type="dxa"/>
        </w:tblCellMar>
      </w:tblPr>
      <w:tblGrid>
        <w:gridCol w:w="124"/>
        <w:gridCol w:w="28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$15.0</w:t>
            </w:r>
            <w:r>
              <w:rPr>
                <w:caps w:val="false"/>
                <w:smallCaps w:val="false"/>
              </w:rPr>
              <w:t xml:space="preserve"> </w:t>
            </w:r>
            <w:r>
              <w:rPr>
                <w:rFonts w:ascii="Times New Roman;Times;serif" w:hAnsi="Times New Roman;Times;serif"/>
                <w:b w:val="false"/>
                <w:i w:val="false"/>
                <w:caps w:val="false"/>
                <w:smallCaps w:val="false"/>
                <w:sz w:val="20"/>
              </w:rPr>
              <w:t>million upon execution of the Settlement Agreement (the “Initial Payment”).</w:t>
            </w:r>
          </w:p>
        </w:tc>
      </w:tr>
    </w:tbl>
    <w:p>
      <w:pPr>
        <w:pStyle w:val="TextBody"/>
        <w:bidi w:val="0"/>
        <w:spacing w:before="0" w:after="0"/>
        <w:ind w:left="72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shall pay $15.0</w:t>
            </w:r>
            <w:r>
              <w:rPr>
                <w:caps w:val="false"/>
                <w:smallCaps w:val="false"/>
              </w:rPr>
              <w:t xml:space="preserve"> </w:t>
            </w:r>
            <w:r>
              <w:rPr>
                <w:rFonts w:ascii="Times New Roman;Times;serif" w:hAnsi="Times New Roman;Times;serif"/>
                <w:b w:val="false"/>
                <w:i w:val="false"/>
                <w:caps w:val="false"/>
                <w:smallCaps w:val="false"/>
                <w:sz w:val="20"/>
              </w:rPr>
              <w:t>million upon the Successful Completion (as defined in the Term Sheet) of a Phase 2 Clinical Trial (as defined in the Merger Agreement) of CDX-0159, subject to the $2.5</w:t>
            </w:r>
            <w:r>
              <w:rPr>
                <w:caps w:val="false"/>
                <w:smallCaps w:val="false"/>
              </w:rPr>
              <w:t xml:space="preserve"> </w:t>
            </w:r>
            <w:r>
              <w:rPr>
                <w:rFonts w:ascii="Times New Roman;Times;serif" w:hAnsi="Times New Roman;Times;serif"/>
                <w:b w:val="false"/>
                <w:i w:val="false"/>
                <w:caps w:val="false"/>
                <w:smallCaps w:val="false"/>
                <w:sz w:val="20"/>
              </w:rPr>
              <w:t>million contractual credit as set forth in the Merger Agreement.</w:t>
            </w:r>
          </w:p>
        </w:tc>
      </w:tr>
    </w:tbl>
    <w:tbl>
      <w:tblPr>
        <w:tblW w:w="10205" w:type="dxa"/>
        <w:jc w:val="left"/>
        <w:tblInd w:w="0" w:type="dxa"/>
        <w:tblLayout w:type="fixed"/>
        <w:tblCellMar>
          <w:top w:w="28" w:type="dxa"/>
          <w:left w:w="28" w:type="dxa"/>
          <w:bottom w:w="28" w:type="dxa"/>
          <w:right w:w="28" w:type="dxa"/>
        </w:tblCellMar>
      </w:tblPr>
      <w:tblGrid>
        <w:gridCol w:w="124"/>
        <w:gridCol w:w="371"/>
        <w:gridCol w:w="9710"/>
      </w:tblGrid>
      <w:tr>
        <w:trPr/>
        <w:tc>
          <w:tcPr>
            <w:tcW w:w="124" w:type="dxa"/>
            <w:tcBorders/>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1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shall pay $52.5</w:t>
            </w:r>
            <w:r>
              <w:rPr>
                <w:caps w:val="false"/>
                <w:smallCaps w:val="false"/>
              </w:rPr>
              <w:t xml:space="preserve"> </w:t>
            </w:r>
            <w:r>
              <w:rPr>
                <w:rFonts w:ascii="Times New Roman;Times;serif" w:hAnsi="Times New Roman;Times;serif"/>
                <w:b w:val="false"/>
                <w:i w:val="false"/>
                <w:caps w:val="false"/>
                <w:smallCaps w:val="false"/>
                <w:sz w:val="20"/>
              </w:rPr>
              <w:t>million upon the first United States Food and Drug Administration or European Medicines Agency, or, in each case, any successor organization, regulatory approval of a Surviving Company Product (as defined the Term Sheet).</w:t>
            </w:r>
          </w:p>
        </w:tc>
      </w:tr>
    </w:tbl>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above payment obligations replace, in their entirety, the contingent consideration in the form of development, regulatory approval and sales-based milestones of up to $172.5 million contained in the Merger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paid the Initial Payment in cash during the three months ended September 30, 2022. Any future milestone payments related to the CDX-0159 program, which was subject to the Litigation, will be recorded when and if payment becomes probable and reasonably estimable in accordance with the loss contingency model under ASC 450. Milestones related to the remaining Surviving Company Products are measured at fair value (refer to Note 3). When and if any of the remaining payments described above become due, they shall be payable, at the Company’s sole election, in either cash or stock (as set forth in the Merger Agreement) or a combination thereof.</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67" w:name="Item2ManagementsDiscussionandAnalysisofF"/>
      <w:bookmarkStart w:id="768" w:name="_1c3ef03c_6332_4ef9_839a_a73690731620"/>
      <w:bookmarkEnd w:id="767"/>
      <w:bookmarkEnd w:id="768"/>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Safe Harbor Statement under the Private Securities Litigation Reform Act of 1995:</w:t>
      </w:r>
      <w:r>
        <w:rPr>
          <w:rFonts w:ascii="Times New Roman;Times;serif" w:hAnsi="Times New Roman;Times;serif"/>
          <w:sz w:val="20"/>
        </w:rPr>
        <w:t xml:space="preserve"> This Quarterly Report on Form 10-Q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a number of important factors that could cause the actual results to differ materially from those expressed in any forward-looking statement made by us. These factors include, but are not limited to:</w:t>
      </w:r>
    </w:p>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product candidates that are still in an early development stage;</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research and further development, including preclinical and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timing for preclinical development, regulatory submissions, commencement and completion of clinical trials and product approvals;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strategic partnerships, where appropriate, for our drug candidates;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multiple clinical trials for a variety of drug candidates at different stages of development;</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scope and results of ongoing preclinical and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attributes of our product and development candidates, including pharmaceutical properties, efficacy, safety and dosing regimens;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uncertainty of obtaining regulatory approvals for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management services provided by our clinical research organization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and commercial-grade materials produced by our own manufacturing facility or supplied by contract manufacturers, suppliers and partners;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our drug candidates and the growth of the markets for those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before competitors that are superior to the alternatives developed by such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paying development, regulatory approval and sales-based milestones under the merger agreement by which we acquired Kolltan Pharmaceuticals, Inc. (“Kolltan”) and our related settlement agreement with Kolltan;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 and our ability to avoid intellectual property litigation, which can be costly and divert management time and attention;</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without infringing the intellectual property rights of third parties;</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on our business or on the economy generally;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2022 and other reports that we file with the SEC</w:t>
            </w:r>
            <w:r>
              <w:rPr>
                <w:rFonts w:ascii="Times New Roman;Times;serif" w:hAnsi="Times New Roman;Times;serif"/>
                <w:b w:val="false"/>
                <w:i/>
                <w:sz w:val="20"/>
              </w:rPr>
              <w: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(also referred to as CDX-0159), a monoclonal antibody that specifically binds the KIT receptor and potently inhibits its activity, which is currently being studied across multiple mast cell driven diseases including</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Urticarias: In June and July 2022 respectively, we announced that enrollment had opened and the first patients had been dosed in Phase 2 studies in chronic spontaneous urticaria (CSU) and chronic inducible urticaria (CIndU); completion of enrollment to the Phase 2 CSU study was announced in July 2023 and we anticipate reporting topline data from this study in late 2023. Data from the Phase 1b study in CSU were reported in February and June 2023. Positive interim data from the Phase 1b study in CIndU were reported in July and September 2021 and in December 2022 in patients with cold urticaria and symptomatic dermographism. Data from the cholinergic cohort included in the CIndU study were presented in June 2023;</w:t>
            </w:r>
          </w:p>
        </w:tc>
      </w:tr>
    </w:tbl>
    <w:p>
      <w:pPr>
        <w:pStyle w:val="TextBody"/>
        <w:bidi w:val="0"/>
        <w:spacing w:lineRule="auto" w:line="304" w:before="0" w:after="0"/>
        <w:ind w:left="180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Prurigo Nodularis (PN): In December 2021 we announced that the first patient had been dosed in a Phase 1b study in PN; enrollment was closed in February 2023 and we plan to present data from the study in November 2023;</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Eosinophilic Esophagitis (EoE): A Phase 2 study in EoE was initiated in June 2023 and the first patient was dosed late that month.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generation bispecific antibody platform to support pipeline expansion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p>
      <w:pPr>
        <w:pStyle w:val="TextBody"/>
        <w:bidi w:val="0"/>
        <w:spacing w:before="0" w:after="0"/>
        <w:ind w:left="0" w:right="0" w:hanging="0"/>
        <w:jc w:val="left"/>
        <w:rPr/>
      </w:pPr>
      <w:r>
        <w:rPr/>
        <w:t>​</w:t>
      </w:r>
    </w:p>
    <w:tbl>
      <w:tblPr>
        <w:tblW w:w="2533" w:type="dxa"/>
        <w:jc w:val="left"/>
        <w:tblInd w:w="0" w:type="dxa"/>
        <w:tblLayout w:type="fixed"/>
        <w:tblCellMar>
          <w:top w:w="0" w:type="dxa"/>
          <w:left w:w="0" w:type="dxa"/>
          <w:bottom w:w="0" w:type="dxa"/>
          <w:right w:w="0" w:type="dxa"/>
        </w:tblCellMar>
      </w:tblPr>
      <w:tblGrid>
        <w:gridCol w:w="1141"/>
        <w:gridCol w:w="326"/>
        <w:gridCol w:w="1066"/>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24535" cy="175260"/>
                      <wp:effectExtent l="0" t="0" r="0" b="0"/>
                      <wp:wrapNone/>
                      <wp:docPr id="154" name="Frame15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76910" cy="175260"/>
                      <wp:effectExtent l="0" t="0" r="0" b="0"/>
                      <wp:wrapNone/>
                      <wp:docPr id="156" name="Frame15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Completion</w:t>
            </w:r>
          </w:p>
        </w:tc>
      </w:tr>
      <w:tr>
        <w:trPr/>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Clinical Phase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1</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1 - 2 Years</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2</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1 - 5 Years</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3</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1 - 5 Years</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duration and the cost of clinical trials may vary significantly over the life of a project as a result of differences arising during the clinical trial protocol, including, among others, the following:</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ultimately participate in the trial;</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 that seems appropriate in view of results;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 subjects; and</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drug candidate.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past five years through December 31, 2022, we incurred an aggregate of $287.2 million in research and development expenses. The following table indicates the amount incurred for each of our significant research programs and for other identified research and development activities during the nine months ended September 30, 2023 and 2022. The amounts disclosed in the following table reflect direct research and development costs, license fees associated with the underlying technology and an allocation of indirect research and development costs to each program.</w:t>
      </w:r>
    </w:p>
    <w:p>
      <w:pPr>
        <w:pStyle w:val="TextBody"/>
        <w:bidi w:val="0"/>
        <w:spacing w:before="0" w:after="0"/>
        <w:ind w:left="0" w:right="0" w:hanging="0"/>
        <w:jc w:val="left"/>
        <w:rPr/>
      </w:pPr>
      <w:r>
        <w:rPr/>
        <w:t>​</w:t>
      </w:r>
    </w:p>
    <w:tbl>
      <w:tblPr>
        <w:tblW w:w="6640" w:type="dxa"/>
        <w:jc w:val="left"/>
        <w:tblInd w:w="0" w:type="dxa"/>
        <w:tblLayout w:type="fixed"/>
        <w:tblCellMar>
          <w:top w:w="0" w:type="dxa"/>
          <w:left w:w="0" w:type="dxa"/>
          <w:bottom w:w="0" w:type="dxa"/>
          <w:right w:w="0" w:type="dxa"/>
        </w:tblCellMar>
      </w:tblPr>
      <w:tblGrid>
        <w:gridCol w:w="2851"/>
        <w:gridCol w:w="326"/>
        <w:gridCol w:w="366"/>
        <w:gridCol w:w="1180"/>
        <w:gridCol w:w="326"/>
        <w:gridCol w:w="337"/>
        <w:gridCol w:w="1254"/>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10385" cy="175260"/>
                      <wp:effectExtent l="0" t="0" r="0" b="0"/>
                      <wp:wrapNone/>
                      <wp:docPr id="157" name="Frame157"/>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32410" cy="175260"/>
                      <wp:effectExtent l="0" t="0" r="0" b="0"/>
                      <wp:wrapNone/>
                      <wp:docPr id="159" name="Frame159"/>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49300" cy="175260"/>
                      <wp:effectExtent l="0" t="0" r="0" b="0"/>
                      <wp:wrapNone/>
                      <wp:docPr id="160" name="Frame160"/>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3995" cy="175260"/>
                      <wp:effectExtent l="0" t="0" r="0" b="0"/>
                      <wp:wrapNone/>
                      <wp:docPr id="162" name="Frame162"/>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96290" cy="175260"/>
                      <wp:effectExtent l="0" t="0" r="0" b="0"/>
                      <wp:wrapNone/>
                      <wp:docPr id="163" name="Frame163"/>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w:t>
            </w:r>
          </w:p>
        </w:tc>
        <w:tc>
          <w:tcPr>
            <w:tcW w:w="326" w:type="dxa"/>
            <w:tcBorders/>
            <w:vAlign w:val="center"/>
          </w:tcPr>
          <w:p>
            <w:pPr>
              <w:pStyle w:val="TableContents"/>
              <w:bidi w:val="0"/>
              <w:spacing w:before="0" w:after="0"/>
              <w:ind w:left="0" w:right="0" w:hanging="0"/>
              <w:jc w:val="center"/>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center"/>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2022</w:t>
            </w:r>
          </w:p>
        </w:tc>
      </w:tr>
      <w:tr>
        <w:trPr/>
        <w:tc>
          <w:tcPr>
            <w:tcW w:w="664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26"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59,009</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35,519</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w:t>
              <w:noBreakHyphen/>
              <w:t>585</w:t>
            </w:r>
          </w:p>
        </w:tc>
        <w:tc>
          <w:tcPr>
            <w:tcW w:w="326"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5,499</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8,638</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w:t>
            </w:r>
          </w:p>
        </w:tc>
        <w:tc>
          <w:tcPr>
            <w:tcW w:w="326" w:type="dxa"/>
            <w:tcBorders/>
            <w:shd w:fill="CCEEFF" w:val="clear"/>
            <w:vAlign w:val="center"/>
          </w:tcPr>
          <w:p>
            <w:pPr>
              <w:pStyle w:val="TableContents"/>
              <w:bidi w:val="0"/>
              <w:spacing w:before="0" w:after="0"/>
              <w:ind w:left="0" w:right="0" w:hanging="0"/>
              <w:jc w:val="left"/>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23,077</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15,202</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vAlign w:val="center"/>
          </w:tcPr>
          <w:p>
            <w:pPr>
              <w:pStyle w:val="TableContents"/>
              <w:bidi w:val="0"/>
              <w:spacing w:before="0" w:after="0"/>
              <w:ind w:left="0" w:right="0" w:hanging="0"/>
              <w:jc w:val="left"/>
              <w:rPr/>
            </w:pPr>
            <w:r>
              <w:rPr/>
              <w:t>​</w:t>
            </w:r>
          </w:p>
        </w:tc>
        <w:tc>
          <w:tcPr>
            <w:tcW w:w="3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87,585</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59,359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Clinical Development Programs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Barzolvolimab (also referred to as CDX-0159)</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We believe that by targeting KIT, barzolvolimab may be able to inhibit mast cell activity and decrease mast cell numbers to provide potential clinical benefit in mast cell related diseases.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certain inflammatory diseases, such as chronic spontaneous urticaria (CSU), also known as chronic idiopathic urticaria (CIU), and chronic inducible urticaria (CIndU), mast cell degranulation plays a central role in the onset and progression of the disease. In June 2020, we completed a randomized, double-blind, placebo-controlled, single ascending dose escalation Phase 1a study of barzolvolimab in healthy subjects (n = 32; 8 subjects per cohort, 6 barzolvolimab; 2 placebo). Subjects received a single intravenous infusion of barzolvolimab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Barzolvolimab demonstrated a favorable safety profile as well as profound and durable reductions of plasma tryptase, consistent with systemic mast cell suppression.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data supported expansion of the barzolvolimab program into mast cell driven diseases, including initially in CSU and CIndU, diseases where mast cell degranulation plays a central role in the onset and progression of the disease. Phase 1 studies in CSU and CIndU are complete and Phase 2 studies are ongoing. We continue to assess potential opportunities for barzolvolimab in other diseases where mast cells play an important role, such as dermatologic, respiratory, allergic, gastrointestinal and ophthalmic conditions. To this end, we are currently conducting an ongoing Phase 2 study in eosinophilic esophagitis and, after recently completing the Phase 1b study in PN, are planning for the initiation of a Phase 2 subcutaneous study in PN in early 2024. Phase 1 studies of barzolvolimab have been conducted with an intravenous formulation; a subcutaneous formulation has been successfully developed and is being used in Phase 2 studies.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Chronic Spontaneous Urticaria (CSU)</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CSU presents as itchy hives, angioedema or both for at least six weeks without a specific trigger; multiple episodes can play out over years or even decades. CSU is one of the most frequent dermatologic diseases with a prevalence of 0.5-1.0% of the total population or up to approximately 1 to 3 million patients in the United States (Weller et al. 2010. Hautarzt. 61(8), Bartlett et al. 2018. DermNet. Org). Approximately 50% of patients with CSU achieve symptomatic control with antihistamines. Omalizumab, an IgE inhibitor, provides relief for roughly half of the remaining antihistamine refractory patients. Consequently, there is a need for additional therapies.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2020, we announced that enrollment had opened and the first patient had been dosed in a Phase 1b multi-center study of barzolvolimab in CSU. This study is a randomized, double-blind, placebo-controlled clinical trial designed to assess the safety of multiple ascending doses of barzolvolimab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Barzolvolimab is administered intravenously (0.5, 1.5, 3 and 4.5 mg/kg at varying dosing schedules) as add on treatment to H1-antihistamines, either alone or in combination with H2-antihistamines and/or leukotriene receptor agonists.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February 2023 at the American Academy of Allergy, Asthma &amp; Immunology (AAAAI) Annual Meeting and in June 2023 at the European Academy of Allergy and Clinical Immunology (EAACI) Annual Congress, we reported positive data from the CSU study at 12- and 24-weeks, respectively. The study is now complete with 45 patients with moderate to severe CSU refractory to antihistamines enrolled and treated [35 barzolvolimab (n=9 in 0.5 mg/kg; n=8 in 1.5 mg/kg; n=9 in 3.0 mg/kg; n=9 in 4.5 mg/kg) and 10 placebo]. Activity data for the saturating doses (1.5 mg/kg and higher) are outlined below. Two patients did not receive all doses of study treatment [4.5 mg/kg (1), placebo (1)].</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resulted in rapid, marked and durable responses in patients with moderate to severe CSU refractory to antihistamines. Patients with prior omalizumab therapy also had similar symptom improvement as all patients. The 1.5 mg/kg, 3.0 mg/kg and 4.5 mg/kg dose groups showed similar markedly improved urticaria symptoms, including rapid onset of responses (as early as 1 week after the first dose) and prolonged disease control with sustained durability up to 24 weeks.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 reduction from baseline in urticaria activity (UAS7) at week 12 was 67% in the 1.5 mg/kg dose group (n=8), 67% in the 3.0 mg/kg dose group (n=9) and 82% in the 4.5 mg/kg dose group (n=9). Mean reduction from baseline in urticaria activity (UAS7) at week 24 was 80% in the 1.5 mg/kg dose group (n=7), 70% in the 3.0 mg/kg dose group (n=6) and 77% in the 4.5 mg/kg dose group (n=7).</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response (UAS7=0) at week 12 was 57% in the 1.5 mg/kg dose group, 44% in the 3.0 mg/kg dose group and 67% in the 4.5 mg/kg dose group. Complete response (UAS7=0) at week 24 was 57% in the 1.5 mg/kg dose group, 67% in the 3.0 mg/kg dose group and 43% in the 4.5 mg/kg dose group.</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Well-controlled disease (UCT≥ 12) at week 12 was 75% in the 1.5 mg/kg dose group, 63% in the 3.0 mg/kg dose group and 89% in the 4.5 mg/kg dose group. Well-controlled disease (UCT≥ 12) at week 24 was 75% in the 1.5 mg/kg dose group, 67% in the 3.0 mg/kg dose group and 67% in the 4.5 mg/kg dose group.</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post-treatment follow up, 71% (10 of 14) of patients who had been treated with doses greater than or equal to 1.5 mg/kg and had a complete response (UAS7=0) at week 12, remained urticaria free at week 24 (patients received last dose of barzolvolimab at week 8).</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Profound and durable improvement in angioedema symptoms as measured through the angioedema activity score over 7 days (AAS7) was achieved across all dose levels evaluated with sustained activity observed with the 1.5 mg/kg and greater dose levels.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patients on study (n=26 barzolvolimab; 5=placebo) reported angioedema activity at baseline when enrolling in the study. 86% of the barzolvolimab treated patients at 1.5 mg/kg or greater were angioedema free at week 12 and 83% were angioedema free at week 24.</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Tryptase suppression, indicative of mast cell depletion, paralleled symptom improvement, demonstrating the impact of mast cell depletion on CSU disease activity.</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effects of multiple dose administration were consistent with observations in single dose studies. Most AEs were mild or moderate in severity and resolved while on study. The most common treatment emergent adverse events were hair color changes, COVID-19, headache, neutropenia and urinary tract infections (UTIs). UTIs and COVID-19 were reported as unrelated to treatment. There was one serious adverse event of salmonella gastroenteritis which was also not related to study therapy. Changes in hematologic parameters were consistent with observations in single dose studies, with no pattern of further decreases with multiple doses; hematologic values generally remained within the normal range and returned to baseline levels during the follow up period. Five patients had decreases in neutrophil counts reported as AEs. The pattern observed in the neutrophil changes for these patients was similar to the pattern seen in patients across the barzolvolimab program to date— generally transient, asymptomatic, and mild and typically occurring in patients with screening and baseline neutrophil counts at the lower end of the normal range on study initiation.</w:t>
            </w:r>
          </w:p>
        </w:tc>
      </w:tr>
    </w:tbl>
    <w:p>
      <w:pPr>
        <w:pStyle w:val="TextBody"/>
        <w:bidi w:val="0"/>
        <w:spacing w:before="0" w:after="0"/>
        <w:ind w:left="108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October 2023, we presented data on quality of life outcomes from this study at the European Academy of Dermatology &amp; Venereology (EADV) Congress as assessed by the Dermatology Life Quality Index (DLQI). The DLQI survey assesses patients' perceptions of the impact of their disease across different aspects of their health-related quality of life and includes questions on symptoms and feelings, daily activities, leisure, work and school performance, personal relationships and treatment. A rapid improvement in the DLQI was noted within 4 weeks in all barzolvolimab treated patients. DLQI improvement was sustained at doses ≥1.5 mg/kg. Physician Global Assessment (PhysGA) for the treated cohorts also improved by week 1 and was sustained through Week 24. DLQI and PhysGA trended closely with the dose-dependent improvement in UAS7 and UCT, tryptase suppression, and increases in SCF.</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June 2022, we announced that the first patient had been dosed in a Phase 2 study in patients with CSU who remained symptomatic despite antihistamine therapy; in July 2023, we announced that enrollment had been completed to the study. The study is being conducted at approximately 75 sites across 9 countries. The study is a randomized, double-blind, placebo-controlled, parallel group Phase 2 study evaluating the efficacy and safety profile of multiple dose regimens of barzolvolimab to determine the optimal dosing strategy. 208 patients have been randomly assigned on a 1:1:1:1 ratio to receive subcutaneous injections of barzolvolimab at 75 mg every 4 weeks, 150 mg every 4 weeks, 300 mg every 8 weeks or placebo during a 16-week placebo-controlled treatment phase. Patients will then enter a 36-week active treatment phase, in which patients not already randomized to barzolvolimab at 150 mg every 4 weeks or 300 mg every 8 weeks will be randomized 1:1 to receive one of these two dose regimens; patients already randomized to these treatment arms will remain on the same regimen as during the placebo-controlled treatment phase. Following the treatment period, patients will enter a 24-week follow up phase. The primary endpoint of the study is mean change in baseline to week 12 in UAS7 (Urticaria Activity Score over 7 days). Secondary endpoints include safety and other assessments of clinical activity including ISS7 (Itch Severity Score over 7 days), HSS7 (Hive Severity Score over 7 days) and AAS7 (Angioedema Activity Score over 7 days). We plan to report topline data from this study late this year.</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Chronic Inducible Urticaria (CIndU)</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inducible urticarias other than antihistamines and patients attempt to manage symptoms associated with their disease through avoidance of triggers. We are exploring cold-induced, dermographism (scratch-induced) and cholinergic (exercise-induced) urticarias.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2020, we announced that enrollment had opened and the first patient had been dosed in a Phase 1b study in CIndU being conducted in Germany in patients who are refractory to antihistamines. This study is an open label clinical trial designed to evaluate the safety of a single dose (3 mg/kg) of barzolvolimab in patients with cold urticaria (ColdU) or symptomatic dermographism (SD). In March and June 2021, respectively, we added a third cohort (single dose, 3 mg/kg) in patients with cholinergic urticaria (“CholU”) and a fourth cohort at a lower dose (single dose, 1.5 mg/kg) in ColdU.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Barzolvolimab is administered intravenously on Day 1 as add on treatment to H1-antihistamines.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2022, data from the ColdU and SD cohorts treated with a single intravenous infusion of barzolvolimab at 3 mg/kg were published in </w:t>
      </w:r>
      <w:r>
        <w:rPr>
          <w:rFonts w:ascii="Times New Roman;Times;serif" w:hAnsi="Times New Roman;Times;serif"/>
          <w:i/>
          <w:sz w:val="20"/>
        </w:rPr>
        <w:t>Allergy</w:t>
      </w:r>
      <w:r>
        <w:rPr>
          <w:rFonts w:ascii="Times New Roman;Times;serif" w:hAnsi="Times New Roman;Times;serif"/>
          <w:sz w:val="20"/>
        </w:rPr>
        <w:t xml:space="preserve"> (Terhorst-Molawi et al Allergy. 2022 Nov 16. doi: 10.1111/all.15585). Safety results were reported for 21 patients; activity results were reported for the 20 patients who received a full dose of barzolvolimab. Patients had high disease activity. At baseline, patients’ mean scores (range) for Dermatology Life Quality Index (DLQI) [10.8 (2–21)] and Urticaria Control Test (UCT) [6.0 (0–13)] indicated marked impairment of quality of life (QoL) and poorly controlled disease, respectively. Three patients (1 with ColdU and 2 with SD) were previously treated with omalizumab and chose to discontinue that treatment because they remained symptomatic. At baseline, provocation thresholds, on average (range), were 18.9°C or 66°F (5–27°C or 41–80.6°F) for patients with ColdU and 3.5 (2–4) pins for patients with SD.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(as early as 1 week) and durable responses were observed in all patients as assessed by provocation testing. A complete response was achieved in 95% (n=19/20) of patients (n=10/10 ColdU; n=9/10 SD). The median duration (range) of complete response through the 12-week observation period was 77+ days (29–86; n=10) for patients with ColdU and 57+ days (16–70; n=9) for patients with SD. All three patients who experienced insufficient response to omalizumab treatment had a complete response after treatment with barzolvolimab.</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single dose of barzolvolimab rapid improvements in urticaria control was observed.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baseline, patients in both treatment groups reported disease impact on their QoL. Disease impact significantly decreased after dosing; a score of 0–1 (minimal/none) was achieved by 80% (n=16/20) for all patients who completed the DLQI during the study. Additionally, clinically meaningful improvements in QoL were attained and sustained to week 12.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Infusion reactions, which manifested as localized hives and itching as well as erythema and feeling hot, resolved spontaneously. One patient with a history of fainting experienced loss of consciousness during infusion. The patient rapidly recovered. Importantly, no evidence of mast cell activation as measured by serum tryptase monitoring was observed in this patient. Overall, mean hematology parameters remained within the normal ranges—an important finding for a KIT inhibitor. Mild, transient, and asymptomatic decreases in hemoglobin and white blood cell parameters occurred for some patients.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2022, we presented long term follow up data from the 3.0 mg/kg cohorts in cold urticaria and symptomatic dermographism at the GA²LEN Global Urticaria Forum (GUF) 2022. 14 patients consented to the optional long term follow up evaluation (6 cold, 8 symptomatic dermographism); 10 of the 14 still had complete control of their disease as assessed by provocation testing at week 12. Data were collected at one or more timepoints beyond week 12 through week 36.</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patients had return of symptoms and/or loss of urticaria control between 12 and 36 weeks. Remarkably, two patients remained provocation negative at 36 weeks, and four had well controlled disease (UCT ≥12) 36 weeks post dosing.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Serum tryptase exhibits a similar rate of recovery as clinical symptoms, while skin mast cells return at a slower rate. Tissue KIT signaling, as approximated by SCF levels, was rapidly inhibited after dose administration and fully reactivated approximately 18 weeks after dosing.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Tryptase levels return to pretreatment levels during follow up, while mast cells continue to recover. Drug related adverse events noted during the study all resolved.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2022, we also presented 12 week treatment results for the 1.5 mg/kg cohort in cold urticaria at the GA²LEN Global Urticaria Forum (GUF) 2022. 10 patients received a single intravenous infusion of barzolvolimab at 1.5 mg/kg. Patients had high disease activity as assessed by provocation threshold testing with a mean baseline critical temperature threshold of 18.4°C or 65°F with a range from 6 to 27°C or 43 to 81°F. All patients had disease refractory to antihistamines and five patients had disease refractory to omalizumab. Safety results were reported for all 10 patients; activity results were reported for the 9 patients who received a full dose of barzolvolimab, including four patients with omalizumab refractory disease.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9 of 9 (100%) patients evaluable for activity treated at 1.5 mg/kg experienced a complete response as assessed by provocation threshold testing, including 4 patients with disease refractory to omalizumab. Rapid onset of responses after dosing and sustained durability were observed in the 1.5 mg/kg cohort. 6 of 9 patients treated achieved a complete response within a week of dosing. The median duration of response was 51+ days (7+ weeks).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disease activity as reported by Urticaria Control Test (UCT) were consistent with the complete responses as measured by provocation testing. All patients entered the study with poorly controlled disease (mean UCT score at baseline of 5.9 and a range of 1-11). Following barzolvolimab administration, all patients achieved well controlled disease (UCT&gt;12) with 7 of 9 achieving complete control (UCT=16).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1.5 mg/kg dose of barzolvolimab resulted in rapid, marked and durable suppression of serum tryptase; the kinetics of tryptase depletion mirrored changes in provocation threshold and UCT. Barzolvolimab was generally well tolerated and the safety profile at 1.5mg/kg was similar to the profile observed with 3.0 mg/kg.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new treatment emergent AEs of concern were noted. While mild, transient and asymptomatic decreases in hemoglobin and white blood cell (WBC) parameters were noted, consistent with prior studies, the hematology parameters generally remained within the normal range.</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 date, 19 of 19 (100%) patients with cold urticaria treated with either a single dose of barzolvolimab at 1.5 or 3.0 mg/kg in this Phase 1b study have experienced a complete response by provocation testing, including 5 patients with omalizumab refractory disease.</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Data from the cholinergic cohort in the Phase 1b CIndU study were presented in June at the EAACI Hybrid Congress 2023. In this open-label, Phase 1 trial, a cohort of patients with antihistamine refractory cholinergic urticaria (n=9) received a single intravenous 3.0 mg/kg barzolvolimab dose with a 12-week follow-up. Assessments included provocation testing using pulse-controlled ergometry (PCE; complete response, CR=no whealing within 40 minutes of test initiation), urticaria control test (UCT), quality of life assessments, and measurement of circulating tryptase and stem cell factor and skin mast cell numbers. Safety assessments included adverse events and clinical laboratory monitoring. Data reported at EAACI included treatment and safety data through 12 weeks.</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(5/9) patients achieved a complete response (negative test) with PCE provocation testing with just one dose of barzolvolimab and most responses remained durable through to week 12. PCE testing included controlled exercise on a stationary bicycle with monitoring for development of itch and wheals.</w:t>
            </w:r>
          </w:p>
        </w:tc>
      </w:tr>
    </w:tbl>
    <w:p>
      <w:pPr>
        <w:pStyle w:val="TextBody"/>
        <w:bidi w:val="0"/>
        <w:spacing w:before="0" w:after="0"/>
        <w:ind w:left="1440" w:right="0" w:hanging="0"/>
        <w:jc w:val="left"/>
        <w:rPr/>
      </w:pPr>
      <w:r>
        <w:rPr/>
        <w:t>​</w:t>
      </w:r>
    </w:p>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(5/8) patients reported well controlled disease (UCT ≥12) at week 8 and 50% (4/8) at week 12, respectively.</w:t>
            </w:r>
          </w:p>
        </w:tc>
      </w:tr>
    </w:tbl>
    <w:p>
      <w:pPr>
        <w:pStyle w:val="TextBody"/>
        <w:bidi w:val="0"/>
        <w:spacing w:before="0" w:after="0"/>
        <w:ind w:left="144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(6/6) patients who reported on quality of life (QoL) measurements at week 8 had clinically significant improvements in QoL. These improvements in QoL were sustained through week 12 for the majority (5/7, 71%) of patients.</w:t>
            </w:r>
          </w:p>
        </w:tc>
      </w:tr>
    </w:tbl>
    <w:p>
      <w:pPr>
        <w:pStyle w:val="TextBody"/>
        <w:bidi w:val="0"/>
        <w:spacing w:before="0" w:after="0"/>
        <w:ind w:left="1440" w:right="0" w:hanging="0"/>
        <w:jc w:val="left"/>
        <w:rPr/>
      </w:pPr>
      <w:r>
        <w:rPr/>
        <w:t>​</w:t>
      </w:r>
    </w:p>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kinetics of tryptase and mast cell reduction mirrored clinical activity.</w:t>
            </w:r>
          </w:p>
        </w:tc>
      </w:tr>
    </w:tbl>
    <w:p>
      <w:pPr>
        <w:pStyle w:val="TextBody"/>
        <w:bidi w:val="0"/>
        <w:spacing w:before="0" w:after="0"/>
        <w:ind w:left="144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generally well tolerated in patients with CholU, with a similar safety profile to that reported previously. The most common AEs were mainly mild; hair color changes (78%), nasopharyngitis (67%), taste disorders (44%), and infusion related reactions (33%). Hematology parameters were consistent with previous observation and generally remained within the normal ranges. Mild, transient, and asymptomatic decreases in hemoglobin and white blood cell parameters were noted.</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July 2022, we announced that the first patient has been dosed in a Phase 2 study in patients with CIndU who remain symptomatic despite antihistamine therapy. The study is being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Approximately 180 patients in 2 cohorts (differentiated by CIndU subtype) including 90 patients with cold urticaria and 90 patients with symptomatic dermographism will be randomly assigned on a 1:1:1 ratio to receive subcutaneous injections of barzolvolimab at 150 mg every 4 weeks, 300 mg every 8 weeks or placebo during a 20-week treatment phase. Patients will then enter a follow-up phase for an additional 24 weeks. In addition, the study includes the option for patients who have symptoms following the treatment phase, including patients who were on placebo, to enroll in an open label extension where all patients receive 300 mg of barzolvolimab every 8 weeks. The primary endpoint of the study is the percentage of patients with a negative provocation test at week 12 (using TempTest(R) and FricTest(R)). Secondary endpoints include safety and other assessments of clinical activity including CTT (Critical Temperature Threshold), CFT (Critical Friction Threshold) and WI-NRS (Worst itch numeric rating scale).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Prurigo Nodularis (PN)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 In December 2021, the first patient was dosed in a Phase 1b multi-center, randomized, double-blind, placebo-controlled intravenous study designed to assess the safety and treatment effects across multiple dosing cohorts of barzolvolimab in up to 30 patients with PN. Enrolling an intravenous, early stage study in the dermatology setting was challenging and the study took longer than expected to complete. In February 2023, we closed enrollment at 24 patients, which we believed would provide sufficient data for analysis to inform future development decisions in PN. Data from the study, including 24 weeks of follow-up, have been accepted for presentation at the 12th World Congress on Itch (WCI) being held in early November 2023. We are currently planning for the initiation of a Phase 2 subcutaneous study in PN in early 2024.</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Eosinophilic Esophagitis (EoE)</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of 2023, we announced that the first patient had been dosed in a Phase 2 study of eosinophilic esophagitis (EoE). EoE, the most common type of eosinophilic gastrointestinal disease,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randomized, double-blind, placebo-controlled, parallel group Phase 2 study is evaluating the efficacy and safety profile of subcutaneous barzolvolimab in patients with active EoE. Approximately 60 patients will be randomly assigned on a 1:1 ratio to receive subcutaneous injections of barzolvolimab at 300 mg every 8 weeks or placebo during a 16-week placebo-controlled treatment phase. Patients then enter a 12-week active treatment phase, in which all patients will receive barzolvolimab 300 mg every 8 weeks. Patients then enter a follow-up phase for an additional 16 weeks. The primary endpoint of the study is reducing esophageal intraepithelial infiltration of mast cells as assessed by peak esophageal intraepithelial mast cell count. Secondary endpoints include the reduction of symptoms of dysphagia and esophageal intraepithelial infiltration of eosinophils and safety. When all clinical trial sites are open, the study will include approximately 60 clinical trial centers across 8 countries, including the United States.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Additional Barzolvolimab Development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Manufacturing activities to support the introduction of the barzolvolimab subcutaneous formulation into the clinical program have been completed and, in February 2022, we reported that subcutaneous administration of barzolvolimab administered to healthy volunteers was well tolerated and that multiple dose levels have been identified that possess promising pharmacokinetic and pharmacodynamic properties. Importantly, subcutaneous delivery of barzolvolimab resulted in dose-dependent, rapid and sustained decreases in serum tryptase compared with placebo and achieved sufficient exposure to produce tryptase suppression levels comparable with the levels that generated impressive clinical activity observed in the Phase 1 CIndU and CSU intravenous studies. The Phase 2 multi-dose studies in urticaria are designed to evaluate 75 mg and 150 mg administered every 4 weeks and 300 mg administered every 8 weeks. These doses support a 0.5 to 2 ml injection volume, allowing for a single injection as barzolvolimab advances towards potential commercialization. In 2022, we transferred our barzolvolimab manufacturing process to a contract manufacturing organization to support late-stage trials and to prepare for potential commercialization.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our Phase 2 studies in urticaria and in future indications.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Bispecific Platform</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next generation bispecific antibody platform is supporting the expansion of our pipeline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CDX-585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CDX-585 combines our proprietary highly active PD-1 blockade and anti-ILT4 blockade to overcome immunosuppressive signals in T cells and myeloid cells, respectively. ILT4 is emerging as an important immune checkpoint on myeloid cells and is thought to contribute to resistance to PD-1 blockade. Interactions of PD-1 and ILT4 with their ligands are known to deliver immune suppressive signals that can attenuate anti-tumor immune responses. The concept behind CDX-585 is to simultaneously inhibit both T cell and myeloid suppressive signals to potentiate the anti-tumor activity of both cell types, and potentially overcome PD-1 resistance. In preclinical studies, CDX-585 was demonstrated to be a potent inhibitor of PD-1 signaling in comparison to the approved PD-1 antibody, nivolumab. In addition, CDX-585 activated and promoted a strong inflammatory phenotype in human macrophage and dendritic cell cultures. Together these activities of CDX-585 enhanced the response in a mixed lymphocyte reaction assay above that observed for either parental mAb or the combination of the PD-1 and ILT4 mAbs. The </w:t>
      </w:r>
      <w:r>
        <w:rPr>
          <w:rFonts w:ascii="Times New Roman;Times;serif" w:hAnsi="Times New Roman;Times;serif"/>
          <w:i/>
          <w:sz w:val="20"/>
        </w:rPr>
        <w:t>in vivo</w:t>
      </w:r>
      <w:r>
        <w:rPr>
          <w:rFonts w:ascii="Times New Roman;Times;serif" w:hAnsi="Times New Roman;Times;serif"/>
          <w:sz w:val="20"/>
        </w:rPr>
        <w:t xml:space="preserve"> efficacy of CDX-585 was also demonstrated in a melanoma humanized mouse model. CDX-585 has successfully completed GMP manufacturing and IND-enabling studies to support clinical development. CDX-585 will initially be developed for the treatment of solid tumors either as monotherapy or in combination with other oncologic treatments.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late May 2023, we announced that the first patient had been dosed in the Phase 1 study of CDX-585. This open-label, multi-center, intravenous study of CDX-585 is being evaluated in patients with advanced or metastatic solid tumors that have progressed during or after standard of care therapy. The dose-escalation phase of the study (n=~30 patients) is designed to determine a maximum tolerated dose (MTD) and to select CDX-585 dose(s) for future evaluation in tumor specific expansion cohorts. In the first phase, increasing doses of CDX-585 will be administered intravenously (0.03 mg/kg up to 10.0 mg/kg) every 2 weeks until confirmed disease progression, intolerance, or for a maximum of 2 years. In the second phase, potential expansion cohorts will evaluate the safety, tolerability and biologic effects, including anti-tumor activity, of selected dose level(s) of CDX-585 in specific tumor types.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2022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Three Months Ended September 30, 2023 Compared with Three Months Ended September 30, 2022</w:t>
      </w:r>
    </w:p>
    <w:p>
      <w:pPr>
        <w:pStyle w:val="TextBody"/>
        <w:bidi w:val="0"/>
        <w:spacing w:before="0" w:after="0"/>
        <w:ind w:left="0" w:right="0" w:hanging="0"/>
        <w:jc w:val="left"/>
        <w:rPr/>
      </w:pPr>
      <w:r>
        <w:rPr/>
        <w:t>​</w:t>
      </w:r>
    </w:p>
    <w:tbl>
      <w:tblPr>
        <w:tblW w:w="9353" w:type="dxa"/>
        <w:jc w:val="left"/>
        <w:tblInd w:w="0" w:type="dxa"/>
        <w:tblLayout w:type="fixed"/>
        <w:tblCellMar>
          <w:top w:w="0" w:type="dxa"/>
          <w:left w:w="0" w:type="dxa"/>
          <w:bottom w:w="0" w:type="dxa"/>
          <w:right w:w="0" w:type="dxa"/>
        </w:tblCellMar>
      </w:tblPr>
      <w:tblGrid>
        <w:gridCol w:w="3961"/>
        <w:gridCol w:w="326"/>
        <w:gridCol w:w="211"/>
        <w:gridCol w:w="796"/>
        <w:gridCol w:w="326"/>
        <w:gridCol w:w="211"/>
        <w:gridCol w:w="796"/>
        <w:gridCol w:w="326"/>
        <w:gridCol w:w="211"/>
        <w:gridCol w:w="676"/>
        <w:gridCol w:w="326"/>
        <w:gridCol w:w="87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515235" cy="175260"/>
                      <wp:effectExtent l="0" t="0" r="0" b="0"/>
                      <wp:wrapNone/>
                      <wp:docPr id="164" name="Frame164"/>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05460" cy="175260"/>
                      <wp:effectExtent l="0" t="0" r="0" b="0"/>
                      <wp:wrapNone/>
                      <wp:docPr id="167" name="Frame1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05460" cy="175260"/>
                      <wp:effectExtent l="0" t="0" r="0" b="0"/>
                      <wp:wrapNone/>
                      <wp:docPr id="170" name="Frame17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9260" cy="175260"/>
                      <wp:effectExtent l="0" t="0" r="0" b="0"/>
                      <wp:wrapNone/>
                      <wp:docPr id="173" name="Frame1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53085" cy="175260"/>
                      <wp:effectExtent l="0" t="0" r="0" b="0"/>
                      <wp:wrapNone/>
                      <wp:docPr id="175" name="Frame17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0660" cy="175260"/>
                      <wp:effectExtent l="0" t="0" r="0" b="0"/>
                      <wp:wrapNone/>
                      <wp:docPr id="176" name="Frame17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935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75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12,963</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14,653</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13,543</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11,476</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$11.5 million increase in net loss for the three months ended September 30, 2023, as compared to the three months ended September 30, 2022, was primarily due to an increase in research and development expense, partially offset by an increase in investment and other income, net.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from product development and licensing agreements for the three months ended September 30, 2023 was relatively consistent with the three months ended September 30, 2022. The $1.1 million increase in contracts and grants revenue for the three months ended September 30, 2023, as compared to the three months ended September 30, 2022, was primarily due to an increase in revenue from our contract manufacturing and research and development agreements with Rockefeller University. We expect revenue to increase over the next twelve months primarily due to an increase in services expected to be performed under our contract manufacturing and research and development agreements with Rockefeller University.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pStyle w:val="TextBody"/>
        <w:bidi w:val="0"/>
        <w:spacing w:before="0" w:after="0"/>
        <w:ind w:left="0" w:right="0" w:hanging="0"/>
        <w:jc w:val="left"/>
        <w:rPr/>
      </w:pPr>
      <w:r>
        <w:rPr/>
        <w:t>​</w:t>
      </w:r>
    </w:p>
    <w:tbl>
      <w:tblPr>
        <w:tblW w:w="6458" w:type="dxa"/>
        <w:jc w:val="left"/>
        <w:tblInd w:w="0" w:type="dxa"/>
        <w:tblLayout w:type="fixed"/>
        <w:tblCellMar>
          <w:top w:w="0" w:type="dxa"/>
          <w:left w:w="0" w:type="dxa"/>
          <w:bottom w:w="0" w:type="dxa"/>
          <w:right w:w="0" w:type="dxa"/>
        </w:tblCellMar>
      </w:tblPr>
      <w:tblGrid>
        <w:gridCol w:w="1861"/>
        <w:gridCol w:w="326"/>
        <w:gridCol w:w="211"/>
        <w:gridCol w:w="676"/>
        <w:gridCol w:w="326"/>
        <w:gridCol w:w="211"/>
        <w:gridCol w:w="571"/>
        <w:gridCol w:w="326"/>
        <w:gridCol w:w="211"/>
        <w:gridCol w:w="676"/>
        <w:gridCol w:w="326"/>
        <w:gridCol w:w="421"/>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181735" cy="175260"/>
                      <wp:effectExtent l="0" t="0" r="0" b="0"/>
                      <wp:wrapNone/>
                      <wp:docPr id="177" name="Frame177"/>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29260" cy="175260"/>
                      <wp:effectExtent l="0" t="0" r="0" b="0"/>
                      <wp:wrapNone/>
                      <wp:docPr id="180" name="Frame1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62585" cy="175260"/>
                      <wp:effectExtent l="0" t="0" r="0" b="0"/>
                      <wp:wrapNone/>
                      <wp:docPr id="183" name="Frame18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9260" cy="175260"/>
                      <wp:effectExtent l="0" t="0" r="0" b="0"/>
                      <wp:wrapNone/>
                      <wp:docPr id="186" name="Frame1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67335" cy="175260"/>
                      <wp:effectExtent l="0" t="0" r="0" b="0"/>
                      <wp:wrapNone/>
                      <wp:docPr id="188" name="Frame18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0660" cy="175260"/>
                      <wp:effectExtent l="0" t="0" r="0" b="0"/>
                      <wp:wrapNone/>
                      <wp:docPr id="189" name="Frame1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63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16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645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3744"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10,186</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$1.9 million increase in personnel expenses for the three months ended September 30, 2023, as compared to the three months ended September 30, 2022, was primarily due to higher stock-based compensation expense and an increase in employee headcount. We expect personnel expenses to increase over the next twelve months as a result of additional headcount to support the expanded development of barzolvolimab.</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$0.2 million increase in laboratory supply expenses for the three months ended September 30, 2023, as compared to the three months ended September 30, 2022, was primarily due to higher laboratory materials and supplies purchases. We expect laboratory supplies expenses to remain relatively consistent over the next twelve months, although there may be fluctuations on a quarterly basis.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The $0.2 million increase in facility expenses for the three months ended September 30, 2023, as compared to the three months ended September 30, 2022, was primarily due to higher repairs and depreciation expense. We expect facility expenses to remain relatively consistent over the next twelve months, although there may be fluctuations on a quarterly basis.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$10.2 million increase in product development expenses for the three months ended September 30, 2023, as compared to the three months ended September 30, 2022, was primarily due to an increase in barzolvolimab clinical trial and contract manufacturing expenses. We expect product development expenses to increase over the next twelve months as a result of the expanded development of barzolvolimab, although there may be fluctuations on a quarterly basis.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$1.7 million increase in general and administrative expenses for the three months ended September 30, 2023, as compared to the three months ended September 30, 2022, was primarily due to higher stock-based compensation and recruiting expenses. We expect general and administrative expenses to remain relatively consistent over the next twelve months, although there may be fluctuations on a quarterly basis.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$2.1 million increase in investment and other income, net for the three months ended September 30, 2023, as compared to the three months ended September 30, 2022, was primarily due to higher interest rates on fixed income investments. We expect investment and other income to remain relatively consistent over the next twelve months, although there may be fluctuations on a quarterly basis.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Nine Months Ended September 30, 2023 Compared with Nine Months Ended September 30, 2022</w:t>
      </w:r>
    </w:p>
    <w:p>
      <w:pPr>
        <w:pStyle w:val="TextBody"/>
        <w:bidi w:val="0"/>
        <w:spacing w:before="0" w:after="0"/>
        <w:ind w:left="0" w:right="0" w:firstLine="72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4568"/>
        <w:gridCol w:w="326"/>
        <w:gridCol w:w="211"/>
        <w:gridCol w:w="892"/>
        <w:gridCol w:w="326"/>
        <w:gridCol w:w="211"/>
        <w:gridCol w:w="787"/>
        <w:gridCol w:w="326"/>
        <w:gridCol w:w="211"/>
        <w:gridCol w:w="787"/>
        <w:gridCol w:w="326"/>
        <w:gridCol w:w="862"/>
        <w:gridCol w:w="372"/>
      </w:tblGrid>
      <w:tr>
        <w:trPr/>
        <w:tc>
          <w:tcPr>
            <w:tcW w:w="4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900680" cy="175260"/>
                      <wp:effectExtent l="0" t="0" r="0" b="0"/>
                      <wp:wrapNone/>
                      <wp:docPr id="190" name="Frame190"/>
                      <a:graphic xmlns:a="http://schemas.openxmlformats.org/drawingml/2006/main">
                        <a:graphicData uri="http://schemas.microsoft.com/office/word/2010/wordprocessingShape">
                          <wps:wsp>
                            <wps:cNvSpPr txBox="1"/>
                            <wps:spPr>
                              <a:xfrm>
                                <a:off x="0" y="0"/>
                                <a:ext cx="290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66420" cy="175260"/>
                      <wp:effectExtent l="0" t="0" r="0" b="0"/>
                      <wp:wrapNone/>
                      <wp:docPr id="193" name="Frame193"/>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9745" cy="175260"/>
                      <wp:effectExtent l="0" t="0" r="0" b="0"/>
                      <wp:wrapNone/>
                      <wp:docPr id="196" name="Frame196"/>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99745" cy="175260"/>
                      <wp:effectExtent l="0" t="0" r="0" b="0"/>
                      <wp:wrapNone/>
                      <wp:docPr id="199" name="Frame199"/>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47370" cy="175260"/>
                      <wp:effectExtent l="0" t="0" r="0" b="0"/>
                      <wp:wrapNone/>
                      <wp:docPr id="201" name="Frame201"/>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36220" cy="175260"/>
                      <wp:effectExtent l="0" t="0" r="0" b="0"/>
                      <wp:wrapNone/>
                      <wp:docPr id="202" name="Frame202"/>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26" w:type="dxa"/>
            <w:tcBorders/>
            <w:vAlign w:val="center"/>
          </w:tcPr>
          <w:p>
            <w:pPr>
              <w:pStyle w:val="TableContents"/>
              <w:bidi w:val="0"/>
              <w:spacing w:before="0" w:after="0"/>
              <w:ind w:left="0" w:right="0" w:hanging="0"/>
              <w:jc w:val="center"/>
              <w:rPr/>
            </w:pPr>
            <w:r>
              <w:rPr/>
              <w:t>    </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86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72" w:type="dxa"/>
            <w:tcBorders/>
            <w:vAlign w:val="center"/>
          </w:tcPr>
          <w:p>
            <w:pPr>
              <w:pStyle w:val="TableContents"/>
              <w:bidi w:val="0"/>
              <w:spacing w:before="0" w:after="0"/>
              <w:ind w:left="0" w:right="0" w:hanging="0"/>
              <w:jc w:val="center"/>
              <w:rPr/>
            </w:pPr>
            <w:r>
              <w:rPr/>
              <w:t>    </w:t>
            </w:r>
          </w:p>
        </w:tc>
      </w:tr>
      <w:tr>
        <w:trPr/>
        <w:tc>
          <w:tcPr>
            <w:tcW w:w="45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72" w:type="dxa"/>
            <w:tcBorders/>
            <w:vAlign w:val="center"/>
          </w:tcPr>
          <w:p>
            <w:pPr>
              <w:pStyle w:val="TableContents"/>
              <w:bidi w:val="0"/>
              <w:spacing w:before="0" w:after="0"/>
              <w:ind w:left="0" w:right="0" w:hanging="0"/>
              <w:jc w:val="center"/>
              <w:rPr/>
            </w:pPr>
            <w:r>
              <w:rPr/>
              <w:t>​</w:t>
            </w:r>
          </w:p>
        </w:tc>
      </w:tr>
      <w:tr>
        <w:trPr/>
        <w:tc>
          <w:tcPr>
            <w:tcW w:w="45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72" w:type="dxa"/>
            <w:tcBorders/>
            <w:vAlign w:val="center"/>
          </w:tcPr>
          <w:p>
            <w:pPr>
              <w:pStyle w:val="TableContents"/>
              <w:bidi w:val="0"/>
              <w:spacing w:before="0" w:after="0"/>
              <w:ind w:left="0" w:right="0" w:hanging="0"/>
              <w:jc w:val="center"/>
              <w:rPr/>
            </w:pPr>
            <w:r>
              <w:rPr/>
              <w:t>​</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5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39"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2" w:type="dxa"/>
            <w:tcBorders/>
            <w:vAlign w:val="center"/>
          </w:tcPr>
          <w:p>
            <w:pPr>
              <w:pStyle w:val="TableContents"/>
              <w:bidi w:val="0"/>
              <w:spacing w:before="0" w:after="0"/>
              <w:ind w:left="0" w:right="0" w:hanging="0"/>
              <w:jc w:val="center"/>
              <w:rPr/>
            </w:pPr>
            <w:r>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  </w:t>
            </w:r>
          </w:p>
        </w:tc>
        <w:tc>
          <w:tcPr>
            <w:tcW w:w="372" w:type="dxa"/>
            <w:tcBorders/>
            <w:shd w:fill="CCEEFF" w:val="clear"/>
            <w:vAlign w:val="center"/>
          </w:tcPr>
          <w:p>
            <w:pPr>
              <w:pStyle w:val="TableContents"/>
              <w:bidi w:val="0"/>
              <w:spacing w:before="0" w:after="0"/>
              <w:ind w:left="0" w:right="0" w:hanging="0"/>
              <w:jc w:val="left"/>
              <w:rPr/>
            </w:pPr>
            <w:r>
              <w:rPr/>
              <w:t> </w:t>
            </w:r>
          </w:p>
        </w:tc>
      </w:tr>
      <w:tr>
        <w:trPr/>
        <w:tc>
          <w:tcPr>
            <w:tcW w:w="4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c>
          <w:tcPr>
            <w:tcW w:w="326"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26"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 </w:t>
            </w:r>
          </w:p>
        </w:tc>
      </w:tr>
      <w:tr>
        <w:trPr/>
        <w:tc>
          <w:tcPr>
            <w:tcW w:w="4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28,226</w:t>
            </w:r>
          </w:p>
        </w:tc>
        <w:tc>
          <w:tcPr>
            <w:tcW w:w="326"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w:t>
            </w:r>
          </w:p>
        </w:tc>
        <w:tc>
          <w:tcPr>
            <w:tcW w:w="326"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c>
          <w:tcPr>
            <w:tcW w:w="326"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settlement related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21,574</w:t>
            </w:r>
          </w:p>
        </w:tc>
        <w:tc>
          <w:tcPr>
            <w:tcW w:w="326"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19,566</w:t>
            </w:r>
          </w:p>
        </w:tc>
        <w:tc>
          <w:tcPr>
            <w:tcW w:w="326"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7,281</w:t>
            </w:r>
          </w:p>
        </w:tc>
        <w:tc>
          <w:tcPr>
            <w:tcW w:w="326"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12,285</w:t>
            </w:r>
          </w:p>
        </w:tc>
        <w:tc>
          <w:tcPr>
            <w:tcW w:w="326"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$12.3 million increase in net loss for the nine months ended September 30, 2023, as compared to the nine months ended September 30, 2022, was primarily due to an increase in research and development expenses and a decrease in the gain on fair value remeasurement of contingent consideration, partially offset by the $15.0 million litigation settlement related loss recorded in the second quarter of 2022 and an increase in investment and other income.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from product development and licensing agreements for the nine months ended September 30, 2023, was relatively consistent with the nine months ended September 30, 2022. The $2.0 million increase in contracts and grants revenue for the nine months ended September 30, 2023, as compared to the nine months ended September 30, 2022, was primarily related to an increase in services performed under our manufacturing and research and development agreements with Rockefeller University.</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pStyle w:val="TextBody"/>
        <w:bidi w:val="0"/>
        <w:spacing w:before="0" w:after="0"/>
        <w:ind w:left="0" w:right="0" w:firstLine="720"/>
        <w:jc w:val="left"/>
        <w:rPr/>
      </w:pPr>
      <w:r>
        <w:rPr/>
        <w:t>​</w:t>
      </w:r>
    </w:p>
    <w:tbl>
      <w:tblPr>
        <w:tblW w:w="6199" w:type="dxa"/>
        <w:jc w:val="left"/>
        <w:tblInd w:w="0" w:type="dxa"/>
        <w:tblLayout w:type="fixed"/>
        <w:tblCellMar>
          <w:top w:w="0" w:type="dxa"/>
          <w:left w:w="0" w:type="dxa"/>
          <w:bottom w:w="0" w:type="dxa"/>
          <w:right w:w="0" w:type="dxa"/>
        </w:tblCellMar>
      </w:tblPr>
      <w:tblGrid>
        <w:gridCol w:w="1861"/>
        <w:gridCol w:w="326"/>
        <w:gridCol w:w="211"/>
        <w:gridCol w:w="676"/>
        <w:gridCol w:w="109"/>
        <w:gridCol w:w="211"/>
        <w:gridCol w:w="676"/>
        <w:gridCol w:w="326"/>
        <w:gridCol w:w="211"/>
        <w:gridCol w:w="676"/>
        <w:gridCol w:w="109"/>
        <w:gridCol w:w="436"/>
        <w:gridCol w:w="371"/>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181735" cy="175260"/>
                      <wp:effectExtent l="0" t="0" r="0" b="0"/>
                      <wp:wrapNone/>
                      <wp:docPr id="203" name="Frame203"/>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29260" cy="175260"/>
                      <wp:effectExtent l="0" t="0" r="0" b="0"/>
                      <wp:wrapNone/>
                      <wp:docPr id="206" name="Frame2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29260" cy="175260"/>
                      <wp:effectExtent l="0" t="0" r="0" b="0"/>
                      <wp:wrapNone/>
                      <wp:docPr id="209" name="Frame2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29260" cy="175260"/>
                      <wp:effectExtent l="0" t="0" r="0" b="0"/>
                      <wp:wrapNone/>
                      <wp:docPr id="212" name="Frame2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76860" cy="175260"/>
                      <wp:effectExtent l="0" t="0" r="0" b="0"/>
                      <wp:wrapNone/>
                      <wp:docPr id="214" name="Frame21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35585" cy="175260"/>
                      <wp:effectExtent l="0" t="0" r="0" b="0"/>
                      <wp:wrapNone/>
                      <wp:docPr id="215" name="Frame21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8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26" w:type="dxa"/>
            <w:tcBorders/>
            <w:vAlign w:val="center"/>
          </w:tcPr>
          <w:p>
            <w:pPr>
              <w:pStyle w:val="TableContents"/>
              <w:bidi w:val="0"/>
              <w:spacing w:before="0" w:after="0"/>
              <w:ind w:left="0" w:right="0" w:hanging="0"/>
              <w:jc w:val="center"/>
              <w:rPr/>
            </w:pPr>
            <w:r>
              <w:rPr/>
              <w:t>    </w:t>
            </w:r>
          </w:p>
        </w:tc>
        <w:tc>
          <w:tcPr>
            <w:tcW w:w="1432"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71"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143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71" w:type="dxa"/>
            <w:tcBorders/>
            <w:vAlign w:val="center"/>
          </w:tcPr>
          <w:p>
            <w:pPr>
              <w:pStyle w:val="TableContents"/>
              <w:bidi w:val="0"/>
              <w:spacing w:before="0" w:after="0"/>
              <w:ind w:left="0" w:right="0" w:hanging="0"/>
              <w:jc w:val="center"/>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center"/>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71" w:type="dxa"/>
            <w:tcBorders/>
            <w:vAlign w:val="center"/>
          </w:tcPr>
          <w:p>
            <w:pPr>
              <w:pStyle w:val="TableContents"/>
              <w:bidi w:val="0"/>
              <w:spacing w:before="0" w:after="0"/>
              <w:ind w:left="0" w:right="0" w:hanging="0"/>
              <w:jc w:val="center"/>
              <w:rPr/>
            </w:pPr>
            <w:r>
              <w:rPr/>
              <w:t>​</w:t>
            </w:r>
          </w:p>
        </w:tc>
      </w:tr>
      <w:tr>
        <w:trPr/>
        <w:tc>
          <w:tcPr>
            <w:tcW w:w="619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641"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1" w:type="dxa"/>
            <w:tcBorders/>
            <w:vAlign w:val="center"/>
          </w:tcPr>
          <w:p>
            <w:pPr>
              <w:pStyle w:val="TableContents"/>
              <w:bidi w:val="0"/>
              <w:spacing w:before="0" w:after="0"/>
              <w:ind w:left="0" w:right="0" w:hanging="0"/>
              <w:jc w:val="center"/>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22,974</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$4.4 million increase in personnel expenses for the nine months ended September 30, 2023, as compared to the nine months ended September 30, 2022, was primarily due to higher stock-based compensation expense and an increase in employee headcount.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$0.7 million decrease in laboratory supply expenses for the nine months ended September 30, 2023, as compared to the nine months ended September 30, 2022, was primarily due to lower laboratory materials and supplies purchases.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Facility expenses include depreciation, amortization, utilities, rent, maintenance and other related expenses incurred at our facilities. The $0.1 million increase in facility expenses for the nine months ended September 30, 2023, as compared to the nine months ended September 30, 2022, was primarily due to higher repairs expense.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$23.0 million increase in product development expenses for the nine months ended September 30, 2023, as compared to the nine months ended September 30, 2022, was primarily due to an increase in barzolvolimab clinical trial and contract manufacturing expenses.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$1.5 million increase in general and administrative expenses for the nine months ended September 30, 2023, as compared to the nine months ended September 30, 2022, was primarily due to an increase in stock-based compensation and recruiting expenses, partially offset by a decrease in legal expenses.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Gain on Fair Value Remeasurement of Contingent Consideration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$6.9 million gain on fair value remeasurement of contingent consideration for the nine months ended September 30, 2022 was primarily due to our decision to deprioritize the CDX-1140 program.</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Litigation Settlement Related Loss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recorded a loss of $15.0 million in the second quarter of 2022 related to the Initial Payment due under the Term Sheet entered with SRS.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$7.3 million increase in investment and other income, net for the nine months ended September 30, 2023, as compared to the nine months ended September 30, 2022, was primarily due to higher interest rates on fixed income investments and higher other income related to our sale of New Jersey tax benefits.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September 30, 2023, our principal sources of liquidity consisted of cash, cash equivalents and marketable securities of $235.3 million. We have had recurring losses and incurred a loss of $98.1 million for the nine months ended September 30, 2023. Net cash used in operations for the nine months ended September 30, 2023 was $74.8 million. We believe that the cash, cash equivalents and marketable securities at September 30, 2023 are sufficient to meet estimated working capital requirements and fund planned operations through 2025, which include our ongoing and planned Phase 2 studies in CSU, CIndU, EoE, and PN. This could be impacted if we elect to pay the future milestones under the Settlement Agreement with SRS, if any, in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milestones under the Settlement Agreement with SRS, in the event that we achieve the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$74.8 million for the nine months ended September 30, 2023 as compared to $82.0 million for the nine months ended September 30, 2022. The decrease in net cash used in operating activities was primarily due to the $15.0 million Initial Payment made to SRS under the Settlement Agreement in the third quarter of 2022, an increase in investment income as a result of higher interest rates on fixed income investments and a decrease in prepayments, partially offset by an increase in research and development expenses. We expect that cash used in operating activities will remain relatively consistent over the next twelve months, although there may be fluctuations on a quarterly basis.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provided by investing activities was $65.4 million for the nine months ended September 30, 2023 as compared to $58.7 million for the nine months ended September 30, 2022. The increase in net cash provided by investing activities was primarily due to net sales and maturities of marketable securities of $66.5 million for the nine months ended September 30, 2023 as compared to $60.3 million for the nine months ended September 30, 2022.</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$1.1 million for the nine months ended September 30, 2023 as compared to $2.7 million for the nine months ended September 30, 2022. The decrease in net cash provided by financing activities was primarily due to a decrease in net proceeds from stock issuances under employee benefit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769" w:name="Item3QuantitativeandQualitativeDisclosur"/>
      <w:bookmarkStart w:id="770" w:name="_d8f5f598_6d46_4231_8bca_56753c566719"/>
      <w:bookmarkEnd w:id="769"/>
      <w:bookmarkEnd w:id="770"/>
      <w:r>
        <w:rPr>
          <w:rFonts w:ascii="Times New Roman;Times;serif" w:hAnsi="Times New Roman;Times;serif"/>
          <w:b/>
          <w:sz w:val="20"/>
        </w:rPr>
        <w:t>Item 3.</w:t>
      </w:r>
      <w:r>
        <w:rPr>
          <w:rFonts w:ascii="Times New Roman;Times;serif" w:hAnsi="Times New Roman;Times;serif"/>
          <w:sz w:val="20"/>
        </w:rPr>
        <w:t xml:space="preserve">  </w:t>
      </w:r>
      <w:r>
        <w:rPr>
          <w:rFonts w:ascii="Times New Roman;Times;serif" w:hAnsi="Times New Roman;Times;serif"/>
          <w:b/>
          <w:sz w:val="20"/>
        </w:rPr>
        <w:t>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do not utilize derivative financial instruments. The carrying amounts reflected in the consolidated balance sheet of cash and cash equivalents, accounts receivables and accounts payable approximate fair value at September 30, 2023 due to the short-term maturities of these instruments.</w:t>
      </w:r>
    </w:p>
    <w:p>
      <w:pPr>
        <w:pStyle w:val="TextBody"/>
        <w:bidi w:val="0"/>
        <w:spacing w:before="0" w:after="0"/>
        <w:ind w:left="0" w:right="0" w:hanging="0"/>
        <w:jc w:val="left"/>
        <w:rPr/>
      </w:pPr>
      <w:r>
        <w:rPr/>
        <w:t>​</w:t>
      </w:r>
    </w:p>
    <w:p>
      <w:pPr>
        <w:pStyle w:val="TextBody"/>
        <w:pBdr/>
        <w:bidi w:val="0"/>
        <w:spacing w:before="0" w:after="0"/>
        <w:ind w:left="0" w:right="0" w:hanging="1152"/>
        <w:jc w:val="left"/>
        <w:rPr>
          <w:rFonts w:ascii="Times New Roman;Times;serif" w:hAnsi="Times New Roman;Times;serif"/>
          <w:sz w:val="20"/>
        </w:rPr>
      </w:pPr>
      <w:bookmarkStart w:id="771" w:name="Item4ControlsandProcedures_940929"/>
      <w:bookmarkStart w:id="772" w:name="_27890da2_b1e7_42ea_98d6_e09465d1d63e"/>
      <w:bookmarkEnd w:id="771"/>
      <w:bookmarkEnd w:id="772"/>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Controls and Procedures</w:t>
      </w:r>
    </w:p>
    <w:p>
      <w:pPr>
        <w:pStyle w:val="TextBody"/>
        <w:pBdr/>
        <w:bidi w:val="0"/>
        <w:spacing w:before="0" w:after="0"/>
        <w:ind w:left="0" w:right="0" w:hanging="1152"/>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2023,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2023.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quarter ended September 30,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73" w:name="Item5OtherInformation_222271"/>
      <w:bookmarkStart w:id="774" w:name="_cbb1b30a_5257_4a89_a670_6910fa005ed7"/>
      <w:bookmarkEnd w:id="773"/>
      <w:bookmarkEnd w:id="774"/>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period covered by this Quarterly Report on Form 10-Q,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75" w:name="PARTIIOTHERINFORMATION_770534"/>
      <w:bookmarkStart w:id="776" w:name="_07121c2f_1afb_4f38_93e4_c5f422338361"/>
      <w:bookmarkEnd w:id="775"/>
      <w:bookmarkEnd w:id="776"/>
      <w:r>
        <w:rPr>
          <w:rFonts w:ascii="Times New Roman;Times;serif" w:hAnsi="Times New Roman;Times;serif"/>
          <w:b/>
          <w:sz w:val="20"/>
        </w:rPr>
        <w:t>PART II — OTHER INFORMATION</w:t>
      </w:r>
    </w:p>
    <w:p>
      <w:pPr>
        <w:pStyle w:val="TextBody"/>
        <w:pBdr/>
        <w:bidi w:val="0"/>
        <w:spacing w:before="0" w:after="240"/>
        <w:ind w:left="0" w:right="0" w:hanging="1152"/>
        <w:jc w:val="left"/>
        <w:rPr>
          <w:rFonts w:ascii="Times New Roman;Times;serif" w:hAnsi="Times New Roman;Times;serif"/>
          <w:sz w:val="20"/>
        </w:rPr>
      </w:pPr>
      <w:bookmarkStart w:id="777" w:name="Item1ARiskFactors_750939"/>
      <w:bookmarkEnd w:id="777"/>
      <w:r>
        <w:rPr>
          <w:rFonts w:ascii="Times New Roman;Times;serif" w:hAnsi="Times New Roman;Times;serif"/>
          <w:b/>
          <w:sz w:val="20"/>
        </w:rPr>
        <w:t>Item 1A.</w:t>
      </w:r>
      <w:r>
        <w:rPr>
          <w:rFonts w:ascii="Times New Roman;Times;serif" w:hAnsi="Times New Roman;Times;serif"/>
          <w:sz w:val="20"/>
        </w:rPr>
        <w:t>  </w:t>
      </w:r>
      <w:r>
        <w:rPr>
          <w:rFonts w:ascii="Times New Roman;Times;serif" w:hAnsi="Times New Roman;Times;serif"/>
          <w:b/>
          <w:sz w:val="20"/>
        </w:rPr>
        <w:t>Risk Factors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factors discussed in Part I, “Item 1A. Risk Factors” in our Annual Report on Form 10-K for the year ended December 31, 2022,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material changes to the risk factors previously disclosed in our Annual Report on Form 10-K filed with the SEC on February 28,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40"/>
        <w:ind w:left="0" w:right="0" w:hanging="0"/>
        <w:jc w:val="left"/>
        <w:rPr>
          <w:rFonts w:ascii="Times New Roman;Times;serif" w:hAnsi="Times New Roman;Times;serif"/>
          <w:b/>
          <w:sz w:val="20"/>
        </w:rPr>
      </w:pPr>
      <w:bookmarkStart w:id="778" w:name="Item6Exhibits_142075"/>
      <w:bookmarkStart w:id="779" w:name="_c8a2ca93_fbd9_4ff3_9451_905957ee4de6"/>
      <w:bookmarkEnd w:id="778"/>
      <w:bookmarkEnd w:id="779"/>
      <w:r>
        <w:rPr>
          <w:rFonts w:ascii="Times New Roman;Times;serif" w:hAnsi="Times New Roman;Times;serif"/>
          <w:b/>
          <w:sz w:val="20"/>
        </w:rPr>
        <w:t>Item 6.  Exhibits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exhibits filed as part of this Quarterly Report on Form 10-Q are listed in the exhibit index included herewith and are incorporated by reference herein.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780" w:name="Exhibitindex"/>
      <w:bookmarkEnd w:id="780"/>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83"/>
        <w:gridCol w:w="326"/>
        <w:gridCol w:w="8996"/>
      </w:tblGrid>
      <w:tr>
        <w:trPr/>
        <w:tc>
          <w:tcPr>
            <w:tcW w:w="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712460" cy="175260"/>
                      <wp:effectExtent l="0" t="0" r="0" b="0"/>
                      <wp:wrapNone/>
                      <wp:docPr id="216" name="Frame216"/>
                      <a:graphic xmlns:a="http://schemas.openxmlformats.org/drawingml/2006/main">
                        <a:graphicData uri="http://schemas.microsoft.com/office/word/2010/wordprocessingShape">
                          <wps:wsp>
                            <wps:cNvSpPr txBox="1"/>
                            <wps:spPr>
                              <a:xfrm>
                                <a:off x="0" y="0"/>
                                <a:ext cx="571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3" w:type="dxa"/>
            <w:tcBorders>
              <w:bottom w:val="single" w:sz="2" w:space="0" w:color="000000"/>
            </w:tcBorders>
            <w:tcMar>
              <w:bottom w:w="28" w:type="dxa"/>
            </w:tcMar>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b/>
                <w:sz w:val="20"/>
              </w:rPr>
              <w:t>Exhibit</w:t>
            </w:r>
            <w:r>
              <w:rPr>
                <w:rFonts w:ascii="Calibri;Helvetica;sans-serif" w:hAnsi="Calibri;Helvetica;sans-serif"/>
                <w:sz w:val="22"/>
              </w:rPr>
              <w:t xml:space="preserve"> </w:t>
            </w:r>
            <w:r>
              <w:rPr>
                <w:rFonts w:ascii="Times New Roman;Times;serif" w:hAnsi="Times New Roman;Times;serif"/>
                <w:sz w:val="20"/>
              </w:rPr>
              <w:br/>
            </w:r>
            <w:r>
              <w:rPr>
                <w:rFonts w:ascii="Times New Roman;Times;serif" w:hAnsi="Times New Roman;Times;serif"/>
                <w:b/>
                <w:sz w:val="20"/>
              </w:rPr>
              <w:t>No.</w:t>
            </w:r>
          </w:p>
        </w:tc>
        <w:tc>
          <w:tcPr>
            <w:tcW w:w="326" w:type="dxa"/>
            <w:tcBorders/>
            <w:vAlign w:val="center"/>
          </w:tcPr>
          <w:p>
            <w:pPr>
              <w:pStyle w:val="TableContents"/>
              <w:bidi w:val="0"/>
              <w:spacing w:before="0" w:after="0"/>
              <w:ind w:left="0" w:right="0" w:hanging="0"/>
              <w:jc w:val="left"/>
              <w:rPr/>
            </w:pPr>
            <w:r>
              <w:rPr/>
              <w:t>    </w:t>
            </w:r>
          </w:p>
        </w:tc>
        <w:tc>
          <w:tcPr>
            <w:tcW w:w="89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8996" w:type="dxa"/>
            <w:tcBorders/>
            <w:vAlign w:val="center"/>
          </w:tcPr>
          <w:p>
            <w:pPr>
              <w:pStyle w:val="TableContents"/>
              <w:bidi w:val="0"/>
              <w:spacing w:before="0" w:after="0"/>
              <w:ind w:left="0" w:right="0" w:hanging="0"/>
              <w:jc w:val="left"/>
              <w:rPr/>
            </w:pPr>
            <w:hyperlink w:anchor="cldx-20230930xex31d1.htm">
              <w:r>
                <w:rPr>
                  <w:rStyle w:val="InternetLink"/>
                  <w:rFonts w:ascii="Times New Roman;Times;serif" w:hAnsi="Times New Roman;Times;serif"/>
                  <w:b w:val="false"/>
                  <w:i w:val="false"/>
                  <w:caps w:val="false"/>
                  <w:smallCaps w:val="false"/>
                  <w:sz w:val="22"/>
                </w:rPr>
                <w:t>Certification of President and Chief Executive Officer</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8996" w:type="dxa"/>
            <w:tcBorders/>
            <w:vAlign w:val="center"/>
          </w:tcPr>
          <w:p>
            <w:pPr>
              <w:pStyle w:val="TableContents"/>
              <w:bidi w:val="0"/>
              <w:spacing w:before="0" w:after="0"/>
              <w:ind w:left="0" w:right="0" w:hanging="0"/>
              <w:jc w:val="left"/>
              <w:rPr/>
            </w:pPr>
            <w:hyperlink w:anchor="cldx-20230930xex31d2.htm">
              <w:r>
                <w:rPr>
                  <w:rStyle w:val="InternetLink"/>
                  <w:rFonts w:ascii="Times New Roman;Times;serif" w:hAnsi="Times New Roman;Times;serif"/>
                  <w:b w:val="false"/>
                  <w:i w:val="false"/>
                  <w:caps w:val="false"/>
                  <w:smallCaps w:val="false"/>
                  <w:sz w:val="22"/>
                </w:rPr>
                <w:t>Certification of Senior Vice President and Chief Financial Officer</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8996" w:type="dxa"/>
            <w:tcBorders/>
            <w:vAlign w:val="center"/>
          </w:tcPr>
          <w:p>
            <w:pPr>
              <w:pStyle w:val="TableContents"/>
              <w:bidi w:val="0"/>
              <w:spacing w:before="0" w:after="0"/>
              <w:ind w:left="0" w:right="0" w:hanging="0"/>
              <w:jc w:val="left"/>
              <w:rPr/>
            </w:pPr>
            <w:hyperlink w:anchor="cldx-20230930xex32d1.htm">
              <w:r>
                <w:rPr>
                  <w:rStyle w:val="InternetLink"/>
                  <w:rFonts w:ascii="Times New Roman;Times;serif" w:hAnsi="Times New Roman;Times;serif"/>
                  <w:b w:val="false"/>
                  <w:i w:val="false"/>
                  <w:caps w:val="false"/>
                  <w:smallCaps w:val="false"/>
                  <w:sz w:val="22"/>
                </w:rPr>
                <w:t>Section 1350 Certifications</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8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8996"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Schema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8996"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Calculation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8996"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Definition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8996"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Label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8996"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Presentation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8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tbl>
      <w:tblPr>
        <w:tblW w:w="6902" w:type="dxa"/>
        <w:jc w:val="left"/>
        <w:tblInd w:w="0" w:type="dxa"/>
        <w:tblLayout w:type="fixed"/>
        <w:tblCellMar>
          <w:top w:w="0" w:type="dxa"/>
          <w:left w:w="0" w:type="dxa"/>
          <w:bottom w:w="0" w:type="dxa"/>
          <w:right w:w="0" w:type="dxa"/>
        </w:tblCellMar>
      </w:tblPr>
      <w:tblGrid>
        <w:gridCol w:w="241"/>
        <w:gridCol w:w="6661"/>
      </w:tblGrid>
      <w:tr>
        <w:trPr/>
        <w:tc>
          <w:tcPr>
            <w:tcW w:w="241" w:type="dxa"/>
            <w:tcBorders/>
            <w:vAlign w:val="center"/>
          </w:tcPr>
          <w:p>
            <w:pPr>
              <w:pStyle w:val="TableContents"/>
              <w:bidi w:val="0"/>
              <w:spacing w:before="0" w:after="0"/>
              <w:jc w:val="left"/>
              <w:rPr/>
            </w:pPr>
            <w:r>
              <w:rPr/>
              <w:t>†</w:t>
            </w:r>
          </w:p>
        </w:tc>
        <w:tc>
          <w:tcPr>
            <w:tcW w:w="66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Indicates a management contract or compensation plan, contract or arrangement.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81" w:name="SIGNATURES_933986"/>
      <w:bookmarkStart w:id="782" w:name="_40b259ea_26c8_4872_99f1_7027b70a73cc"/>
      <w:bookmarkEnd w:id="781"/>
      <w:bookmarkEnd w:id="782"/>
      <w:r>
        <w:rPr>
          <w:rFonts w:ascii="Times New Roman;Times;serif" w:hAnsi="Times New Roman;Times;serif"/>
          <w:b/>
          <w:sz w:val="20"/>
        </w:rPr>
        <w:t>SIGNATURES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6347" w:type="dxa"/>
        <w:jc w:val="left"/>
        <w:tblInd w:w="0" w:type="dxa"/>
        <w:tblLayout w:type="fixed"/>
        <w:tblCellMar>
          <w:top w:w="0" w:type="dxa"/>
          <w:left w:w="0" w:type="dxa"/>
          <w:bottom w:w="0" w:type="dxa"/>
          <w:right w:w="0" w:type="dxa"/>
        </w:tblCellMar>
      </w:tblPr>
      <w:tblGrid>
        <w:gridCol w:w="2206"/>
        <w:gridCol w:w="4141"/>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629535" cy="29210"/>
                      <wp:effectExtent l="0" t="0" r="0" b="0"/>
                      <wp:wrapNone/>
                      <wp:docPr id="217" name="Frame217"/>
                      <a:graphic xmlns:a="http://schemas.openxmlformats.org/drawingml/2006/main">
                        <a:graphicData uri="http://schemas.microsoft.com/office/word/2010/wordprocessingShape">
                          <wps:wsp>
                            <wps:cNvSpPr txBox="1"/>
                            <wps:spPr>
                              <a:xfrm>
                                <a:off x="0" y="0"/>
                                <a:ext cx="2629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2206"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2206"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2, 2023</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2206"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206"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206"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2, 2023</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2206"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2206"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right"/>
        <w:rPr>
          <w:rFonts w:ascii="Times New Roman;Times;serif" w:hAnsi="Times New Roman;Times;serif"/>
          <w:b/>
          <w:sz w:val="20"/>
        </w:rPr>
      </w:pPr>
      <w:bookmarkStart w:id="783" w:name="cldx-20230930xex31d1.htm"/>
      <w:bookmarkStart w:id="784" w:name="kscldx20230930xex31d1"/>
      <w:bookmarkEnd w:id="783"/>
      <w:bookmarkEnd w:id="784"/>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0"/>
        <w:ind w:left="0" w:right="0" w:hanging="0"/>
        <w:jc w:val="left"/>
        <w:rPr/>
      </w:pPr>
      <w:r>
        <w:rPr/>
        <w:t>​</w:t>
      </w:r>
    </w:p>
    <w:p>
      <w:pPr>
        <w:pStyle w:val="TextBody"/>
        <w:bidi w:val="0"/>
        <w:spacing w:before="0" w:after="0"/>
        <w:ind w:left="113" w:right="0" w:hanging="0"/>
        <w:jc w:val="left"/>
        <w:rPr>
          <w:rFonts w:ascii="Times New Roman;Times;serif" w:hAnsi="Times New Roman;Times;serif"/>
          <w:sz w:val="20"/>
        </w:rPr>
      </w:pPr>
      <w:r>
        <w:rPr>
          <w:rFonts w:ascii="Times New Roman;Times;serif" w:hAnsi="Times New Roman;Times;serif"/>
          <w:sz w:val="20"/>
        </w:rPr>
        <w:t>I, Anthony S. Marucci, certify that:</w:t>
      </w:r>
    </w:p>
    <w:p>
      <w:pPr>
        <w:pStyle w:val="TextBody"/>
        <w:bidi w:val="0"/>
        <w:spacing w:before="0" w:after="0"/>
        <w:ind w:left="0" w:right="0" w:hanging="0"/>
        <w:jc w:val="left"/>
        <w:rPr/>
      </w:pPr>
      <w:r>
        <w:rPr/>
        <w:t>​</w:t>
      </w:r>
    </w:p>
    <w:tbl>
      <w:tblPr>
        <w:tblW w:w="5958" w:type="dxa"/>
        <w:jc w:val="left"/>
        <w:tblInd w:w="0" w:type="dxa"/>
        <w:tblLayout w:type="fixed"/>
        <w:tblCellMar>
          <w:top w:w="0" w:type="dxa"/>
          <w:left w:w="0" w:type="dxa"/>
          <w:bottom w:w="0" w:type="dxa"/>
          <w:right w:w="0" w:type="dxa"/>
        </w:tblCellMar>
      </w:tblPr>
      <w:tblGrid>
        <w:gridCol w:w="23"/>
        <w:gridCol w:w="155"/>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1.</w:t>
            </w:r>
          </w:p>
        </w:tc>
        <w:tc>
          <w:tcPr>
            <w:tcW w:w="57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7"/>
        <w:gridCol w:w="10055"/>
      </w:tblGrid>
      <w:tr>
        <w:trPr/>
        <w:tc>
          <w:tcPr>
            <w:tcW w:w="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2.</w:t>
            </w:r>
          </w:p>
        </w:tc>
        <w:tc>
          <w:tcPr>
            <w:tcW w:w="100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3.</w:t>
            </w:r>
          </w:p>
        </w:tc>
        <w:tc>
          <w:tcPr>
            <w:tcW w:w="100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6"/>
        <w:gridCol w:w="10056"/>
      </w:tblGrid>
      <w:tr>
        <w:trPr/>
        <w:tc>
          <w:tcPr>
            <w:tcW w:w="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4.</w:t>
            </w:r>
          </w:p>
        </w:tc>
        <w:tc>
          <w:tcPr>
            <w:tcW w:w="100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4"/>
        <w:gridCol w:w="10008"/>
      </w:tblGrid>
      <w:tr>
        <w:trPr/>
        <w:tc>
          <w:tcPr>
            <w:tcW w:w="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(a)</w:t>
            </w:r>
          </w:p>
        </w:tc>
        <w:tc>
          <w:tcPr>
            <w:tcW w:w="1000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(b)</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(c)</w:t>
            </w:r>
          </w:p>
        </w:tc>
        <w:tc>
          <w:tcPr>
            <w:tcW w:w="1000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(d)</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5.</w:t>
            </w:r>
          </w:p>
        </w:tc>
        <w:tc>
          <w:tcPr>
            <w:tcW w:w="100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(a)</w:t>
            </w:r>
          </w:p>
        </w:tc>
        <w:tc>
          <w:tcPr>
            <w:tcW w:w="100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(b)</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1"/>
        <w:ind w:left="735" w:right="0" w:hanging="622"/>
        <w:jc w:val="left"/>
        <w:rPr/>
      </w:pPr>
      <w:r>
        <w:rPr/>
        <w:t>​</w:t>
      </w:r>
    </w:p>
    <w:tbl>
      <w:tblPr>
        <w:tblW w:w="5943" w:type="dxa"/>
        <w:jc w:val="left"/>
        <w:tblInd w:w="0" w:type="dxa"/>
        <w:tblLayout w:type="fixed"/>
        <w:tblCellMar>
          <w:top w:w="0" w:type="dxa"/>
          <w:left w:w="0" w:type="dxa"/>
          <w:bottom w:w="0" w:type="dxa"/>
          <w:right w:w="0" w:type="dxa"/>
        </w:tblCellMar>
      </w:tblPr>
      <w:tblGrid>
        <w:gridCol w:w="2101"/>
        <w:gridCol w:w="631"/>
        <w:gridCol w:w="321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4135" cy="175260"/>
                      <wp:effectExtent l="0" t="0" r="0" b="0"/>
                      <wp:wrapNone/>
                      <wp:docPr id="218" name="Frame218"/>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38985" cy="175260"/>
                      <wp:effectExtent l="0" t="0" r="0" b="0"/>
                      <wp:wrapNone/>
                      <wp:docPr id="219" name="Frame219"/>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 2023</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210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210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85" w:name="cldx-20230930xex31d2.htm"/>
      <w:bookmarkStart w:id="786" w:name="kscldx20230930xex31d2"/>
      <w:bookmarkEnd w:id="785"/>
      <w:bookmarkEnd w:id="786"/>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Sam Martin, certify that:</w:t>
      </w:r>
    </w:p>
    <w:p>
      <w:pPr>
        <w:pStyle w:val="TextBody"/>
        <w:bidi w:val="0"/>
        <w:spacing w:before="0" w:after="0"/>
        <w:ind w:left="0" w:right="0" w:hanging="0"/>
        <w:jc w:val="left"/>
        <w:rPr/>
      </w:pPr>
      <w:r>
        <w:rPr/>
        <w:t>​</w:t>
      </w:r>
    </w:p>
    <w:tbl>
      <w:tblPr>
        <w:tblW w:w="5958" w:type="dxa"/>
        <w:jc w:val="left"/>
        <w:tblInd w:w="0" w:type="dxa"/>
        <w:tblLayout w:type="fixed"/>
        <w:tblCellMar>
          <w:top w:w="0" w:type="dxa"/>
          <w:left w:w="0" w:type="dxa"/>
          <w:bottom w:w="0" w:type="dxa"/>
          <w:right w:w="0" w:type="dxa"/>
        </w:tblCellMar>
      </w:tblPr>
      <w:tblGrid>
        <w:gridCol w:w="23"/>
        <w:gridCol w:w="155"/>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1.</w:t>
            </w:r>
          </w:p>
        </w:tc>
        <w:tc>
          <w:tcPr>
            <w:tcW w:w="57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7"/>
        <w:gridCol w:w="10055"/>
      </w:tblGrid>
      <w:tr>
        <w:trPr/>
        <w:tc>
          <w:tcPr>
            <w:tcW w:w="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2.</w:t>
            </w:r>
          </w:p>
        </w:tc>
        <w:tc>
          <w:tcPr>
            <w:tcW w:w="100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3.</w:t>
            </w:r>
          </w:p>
        </w:tc>
        <w:tc>
          <w:tcPr>
            <w:tcW w:w="100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6"/>
        <w:gridCol w:w="10056"/>
      </w:tblGrid>
      <w:tr>
        <w:trPr/>
        <w:tc>
          <w:tcPr>
            <w:tcW w:w="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4.</w:t>
            </w:r>
          </w:p>
        </w:tc>
        <w:tc>
          <w:tcPr>
            <w:tcW w:w="100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4"/>
        <w:gridCol w:w="10008"/>
      </w:tblGrid>
      <w:tr>
        <w:trPr/>
        <w:tc>
          <w:tcPr>
            <w:tcW w:w="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(a)</w:t>
            </w:r>
          </w:p>
        </w:tc>
        <w:tc>
          <w:tcPr>
            <w:tcW w:w="1000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(b)</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(c)</w:t>
            </w:r>
          </w:p>
        </w:tc>
        <w:tc>
          <w:tcPr>
            <w:tcW w:w="1000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(d)</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5.</w:t>
            </w:r>
          </w:p>
        </w:tc>
        <w:tc>
          <w:tcPr>
            <w:tcW w:w="100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(a)</w:t>
            </w:r>
          </w:p>
        </w:tc>
        <w:tc>
          <w:tcPr>
            <w:tcW w:w="100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(b)</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735" w:right="0" w:hanging="622"/>
        <w:jc w:val="left"/>
        <w:rPr/>
      </w:pPr>
      <w:r>
        <w:rPr/>
        <w:t>​</w:t>
      </w:r>
    </w:p>
    <w:tbl>
      <w:tblPr>
        <w:tblW w:w="6873" w:type="dxa"/>
        <w:jc w:val="left"/>
        <w:tblInd w:w="0" w:type="dxa"/>
        <w:tblLayout w:type="fixed"/>
        <w:tblCellMar>
          <w:top w:w="0" w:type="dxa"/>
          <w:left w:w="0" w:type="dxa"/>
          <w:bottom w:w="0" w:type="dxa"/>
          <w:right w:w="0" w:type="dxa"/>
        </w:tblCellMar>
      </w:tblPr>
      <w:tblGrid>
        <w:gridCol w:w="2101"/>
        <w:gridCol w:w="631"/>
        <w:gridCol w:w="414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4135" cy="175260"/>
                      <wp:effectExtent l="0" t="0" r="0" b="0"/>
                      <wp:wrapNone/>
                      <wp:docPr id="220" name="Frame220"/>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00685" cy="175260"/>
                      <wp:effectExtent l="0" t="0" r="0" b="0"/>
                      <wp:wrapNone/>
                      <wp:docPr id="221" name="Frame22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629535" cy="175260"/>
                      <wp:effectExtent l="0" t="0" r="0" b="0"/>
                      <wp:wrapNone/>
                      <wp:docPr id="222" name="Frame222"/>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 2023</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210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210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87" w:name="cldx-20230930xex32d1.htm"/>
      <w:bookmarkStart w:id="788" w:name="kscldx20230930xex32d1"/>
      <w:bookmarkEnd w:id="787"/>
      <w:bookmarkEnd w:id="788"/>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SECTION 1350 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pStyle w:val="TextBody"/>
        <w:bidi w:val="0"/>
        <w:spacing w:before="0" w:after="0"/>
        <w:ind w:left="113" w:right="0" w:hanging="0"/>
        <w:jc w:val="left"/>
        <w:rPr/>
      </w:pPr>
      <w:r>
        <w:rPr/>
        <w:t>​</w:t>
      </w:r>
    </w:p>
    <w:tbl>
      <w:tblPr>
        <w:tblW w:w="6918" w:type="dxa"/>
        <w:jc w:val="left"/>
        <w:tblInd w:w="0" w:type="dxa"/>
        <w:tblLayout w:type="fixed"/>
        <w:tblCellMar>
          <w:top w:w="0" w:type="dxa"/>
          <w:left w:w="0" w:type="dxa"/>
          <w:bottom w:w="0" w:type="dxa"/>
          <w:right w:w="0" w:type="dxa"/>
        </w:tblCellMar>
      </w:tblPr>
      <w:tblGrid>
        <w:gridCol w:w="2101"/>
        <w:gridCol w:w="676"/>
        <w:gridCol w:w="414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4135" cy="175260"/>
                      <wp:effectExtent l="0" t="0" r="0" b="0"/>
                      <wp:wrapNone/>
                      <wp:docPr id="223" name="Frame223"/>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29260" cy="175260"/>
                      <wp:effectExtent l="0" t="0" r="0" b="0"/>
                      <wp:wrapNone/>
                      <wp:docPr id="224" name="Frame2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629535" cy="175260"/>
                      <wp:effectExtent l="0" t="0" r="0" b="0"/>
                      <wp:wrapNone/>
                      <wp:docPr id="225" name="Frame225"/>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 2023</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210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210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 2023</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210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210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Symbol">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17268</Words>
  <Characters>96525</Characters>
  <CharactersWithSpaces>114770</CharactersWithSpaces>
  <Paragraphs>4066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